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cs="宋体"/>
          <w:b/>
          <w:bCs/>
          <w:color w:val="auto"/>
          <w:sz w:val="52"/>
          <w:szCs w:val="52"/>
          <w:lang w:eastAsia="zh-CN"/>
        </w:rPr>
      </w:pPr>
      <w:r>
        <w:rPr>
          <w:rFonts w:hint="eastAsia" w:ascii="宋体" w:hAnsi="宋体" w:cs="宋体"/>
          <w:b/>
          <w:bCs/>
          <w:color w:val="auto"/>
          <w:sz w:val="52"/>
          <w:szCs w:val="52"/>
          <w:lang w:eastAsia="zh-CN"/>
        </w:rPr>
        <w:t>中国石化销售股份有限公司</w:t>
      </w:r>
    </w:p>
    <w:p>
      <w:pPr>
        <w:jc w:val="center"/>
        <w:rPr>
          <w:rFonts w:hint="eastAsia" w:ascii="宋体" w:hAnsi="宋体" w:cs="宋体"/>
          <w:b/>
          <w:bCs/>
          <w:color w:val="auto"/>
          <w:sz w:val="52"/>
          <w:szCs w:val="52"/>
          <w:lang w:eastAsia="zh-CN"/>
        </w:rPr>
      </w:pPr>
      <w:r>
        <w:rPr>
          <w:rFonts w:hint="eastAsia" w:ascii="宋体" w:hAnsi="宋体" w:cs="宋体"/>
          <w:b/>
          <w:bCs/>
          <w:color w:val="auto"/>
          <w:sz w:val="52"/>
          <w:szCs w:val="52"/>
          <w:lang w:eastAsia="zh-CN"/>
        </w:rPr>
        <w:t>江西景德镇石油分公司</w:t>
      </w:r>
    </w:p>
    <w:p>
      <w:pPr>
        <w:jc w:val="center"/>
        <w:rPr>
          <w:rFonts w:hint="eastAsia" w:ascii="宋体" w:eastAsia="宋体" w:cs="Times New Roman"/>
          <w:b/>
          <w:bCs/>
          <w:color w:val="auto"/>
          <w:sz w:val="52"/>
          <w:szCs w:val="52"/>
          <w:lang w:eastAsia="zh-CN"/>
        </w:rPr>
      </w:pPr>
      <w:r>
        <w:rPr>
          <w:rFonts w:hint="eastAsia" w:ascii="宋体" w:hAnsi="宋体" w:cs="宋体"/>
          <w:b/>
          <w:bCs/>
          <w:color w:val="auto"/>
          <w:sz w:val="52"/>
          <w:szCs w:val="52"/>
          <w:lang w:eastAsia="zh-CN"/>
        </w:rPr>
        <w:t>鱼丽加油（充电、光伏）站</w:t>
      </w:r>
    </w:p>
    <w:p>
      <w:pPr>
        <w:jc w:val="center"/>
        <w:rPr>
          <w:rFonts w:ascii="宋体" w:cs="Times New Roman"/>
          <w:b/>
          <w:bCs/>
          <w:color w:val="auto"/>
          <w:sz w:val="52"/>
          <w:szCs w:val="52"/>
        </w:rPr>
      </w:pPr>
      <w:r>
        <w:rPr>
          <w:rFonts w:hint="eastAsia" w:ascii="宋体" w:hAnsi="宋体" w:cs="宋体"/>
          <w:b/>
          <w:bCs/>
          <w:color w:val="auto"/>
          <w:sz w:val="52"/>
          <w:szCs w:val="52"/>
        </w:rPr>
        <w:t>安全设施验收评价报告</w:t>
      </w:r>
    </w:p>
    <w:p>
      <w:pPr>
        <w:pStyle w:val="38"/>
        <w:jc w:val="center"/>
        <w:rPr>
          <w:rFonts w:hAnsi="宋体" w:cs="Times New Roman"/>
          <w:b/>
          <w:bCs/>
          <w:color w:val="auto"/>
          <w:sz w:val="44"/>
          <w:szCs w:val="44"/>
        </w:rPr>
      </w:pPr>
      <w:r>
        <w:rPr>
          <w:rFonts w:hint="eastAsia" w:hAnsi="宋体"/>
          <w:b/>
          <w:bCs/>
          <w:color w:val="auto"/>
          <w:sz w:val="44"/>
          <w:szCs w:val="44"/>
        </w:rPr>
        <w:t>（</w:t>
      </w:r>
      <w:r>
        <w:rPr>
          <w:rFonts w:hint="eastAsia" w:hAnsi="宋体"/>
          <w:b/>
          <w:bCs/>
          <w:color w:val="auto"/>
          <w:sz w:val="44"/>
          <w:szCs w:val="44"/>
          <w:lang w:eastAsia="zh-CN"/>
        </w:rPr>
        <w:t>终</w:t>
      </w:r>
      <w:r>
        <w:rPr>
          <w:rFonts w:hint="eastAsia" w:hAnsi="宋体"/>
          <w:b/>
          <w:bCs/>
          <w:color w:val="auto"/>
          <w:sz w:val="44"/>
          <w:szCs w:val="44"/>
        </w:rPr>
        <w:t>稿）</w:t>
      </w:r>
    </w:p>
    <w:p>
      <w:pPr>
        <w:pStyle w:val="38"/>
        <w:jc w:val="center"/>
        <w:rPr>
          <w:rFonts w:hAnsi="宋体" w:cs="Times New Roman"/>
          <w:b/>
          <w:bCs/>
          <w:color w:val="auto"/>
          <w:sz w:val="44"/>
          <w:szCs w:val="44"/>
        </w:rPr>
      </w:pPr>
    </w:p>
    <w:p>
      <w:pPr>
        <w:pStyle w:val="38"/>
        <w:jc w:val="center"/>
        <w:rPr>
          <w:rFonts w:hAnsi="宋体" w:cs="Times New Roman"/>
          <w:b/>
          <w:bCs/>
          <w:color w:val="auto"/>
          <w:sz w:val="44"/>
          <w:szCs w:val="44"/>
        </w:rPr>
      </w:pPr>
    </w:p>
    <w:p>
      <w:pPr>
        <w:pStyle w:val="38"/>
        <w:jc w:val="center"/>
        <w:rPr>
          <w:rFonts w:hAnsi="宋体" w:cs="Times New Roman"/>
          <w:b/>
          <w:bCs/>
          <w:color w:val="auto"/>
          <w:sz w:val="44"/>
          <w:szCs w:val="44"/>
        </w:rPr>
      </w:pPr>
    </w:p>
    <w:p>
      <w:pPr>
        <w:pStyle w:val="38"/>
        <w:jc w:val="center"/>
        <w:rPr>
          <w:rFonts w:hAnsi="宋体" w:cs="Times New Roman"/>
          <w:b/>
          <w:bCs/>
          <w:color w:val="auto"/>
          <w:sz w:val="44"/>
          <w:szCs w:val="44"/>
        </w:rPr>
      </w:pPr>
    </w:p>
    <w:p>
      <w:pPr>
        <w:pStyle w:val="38"/>
        <w:jc w:val="center"/>
        <w:rPr>
          <w:rFonts w:hAnsi="宋体" w:cs="Times New Roman"/>
          <w:b/>
          <w:bCs/>
          <w:color w:val="auto"/>
          <w:sz w:val="44"/>
          <w:szCs w:val="44"/>
        </w:rPr>
      </w:pPr>
    </w:p>
    <w:p>
      <w:pPr>
        <w:pStyle w:val="38"/>
        <w:jc w:val="center"/>
        <w:rPr>
          <w:rFonts w:hAnsi="宋体" w:cs="Times New Roman"/>
          <w:b/>
          <w:bCs/>
          <w:color w:val="auto"/>
          <w:sz w:val="44"/>
          <w:szCs w:val="44"/>
        </w:rPr>
      </w:pPr>
    </w:p>
    <w:p>
      <w:pPr>
        <w:pStyle w:val="38"/>
        <w:jc w:val="center"/>
        <w:rPr>
          <w:rFonts w:hAnsi="宋体" w:cs="Times New Roman"/>
          <w:b/>
          <w:bCs/>
          <w:color w:val="auto"/>
          <w:sz w:val="44"/>
          <w:szCs w:val="44"/>
        </w:rPr>
      </w:pPr>
    </w:p>
    <w:p>
      <w:pPr>
        <w:spacing w:line="600" w:lineRule="atLeast"/>
        <w:ind w:firstLine="1928" w:firstLineChars="600"/>
        <w:jc w:val="left"/>
        <w:rPr>
          <w:rFonts w:ascii="仿宋" w:hAnsi="仿宋" w:eastAsia="仿宋" w:cs="Times New Roman"/>
          <w:b/>
          <w:bCs/>
          <w:color w:val="auto"/>
          <w:sz w:val="32"/>
          <w:szCs w:val="32"/>
        </w:rPr>
      </w:pPr>
      <w:r>
        <w:rPr>
          <w:rFonts w:hint="eastAsia" w:ascii="仿宋" w:hAnsi="仿宋" w:eastAsia="仿宋" w:cs="仿宋"/>
          <w:b/>
          <w:bCs/>
          <w:color w:val="auto"/>
          <w:sz w:val="32"/>
          <w:szCs w:val="32"/>
        </w:rPr>
        <w:t>建设单位：中国石化江西景德镇石油分公司</w:t>
      </w:r>
    </w:p>
    <w:p>
      <w:pPr>
        <w:spacing w:line="600" w:lineRule="atLeast"/>
        <w:ind w:firstLine="1928" w:firstLineChars="6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建设单位</w:t>
      </w:r>
      <w:r>
        <w:rPr>
          <w:rFonts w:hint="eastAsia" w:ascii="仿宋" w:hAnsi="仿宋" w:eastAsia="仿宋" w:cs="仿宋"/>
          <w:b/>
          <w:bCs/>
          <w:color w:val="auto"/>
          <w:sz w:val="32"/>
          <w:szCs w:val="32"/>
          <w:lang w:eastAsia="zh-CN"/>
        </w:rPr>
        <w:t>负责人</w:t>
      </w:r>
      <w:r>
        <w:rPr>
          <w:rFonts w:hint="eastAsia" w:ascii="仿宋" w:hAnsi="仿宋" w:eastAsia="仿宋" w:cs="仿宋"/>
          <w:b/>
          <w:bCs/>
          <w:color w:val="auto"/>
          <w:sz w:val="32"/>
          <w:szCs w:val="32"/>
        </w:rPr>
        <w:t>：</w:t>
      </w:r>
      <w:r>
        <w:rPr>
          <w:rFonts w:hint="eastAsia" w:ascii="仿宋" w:hAnsi="仿宋" w:eastAsia="仿宋" w:cs="仿宋"/>
          <w:b/>
          <w:bCs/>
          <w:color w:val="auto"/>
          <w:sz w:val="32"/>
          <w:szCs w:val="32"/>
          <w:lang w:val="en-US" w:eastAsia="zh-CN"/>
        </w:rPr>
        <w:t>郑</w:t>
      </w:r>
      <w:r>
        <w:rPr>
          <w:rFonts w:hint="eastAsia" w:ascii="仿宋" w:hAnsi="仿宋" w:eastAsia="仿宋" w:cs="仿宋"/>
          <w:b/>
          <w:bCs/>
          <w:color w:val="auto"/>
          <w:sz w:val="32"/>
          <w:szCs w:val="32"/>
          <w:lang w:eastAsia="zh-CN"/>
        </w:rPr>
        <w:t>北芳</w:t>
      </w:r>
    </w:p>
    <w:p>
      <w:pPr>
        <w:spacing w:line="600" w:lineRule="atLeast"/>
        <w:ind w:firstLine="1928" w:firstLineChars="600"/>
        <w:jc w:val="left"/>
        <w:rPr>
          <w:rFonts w:ascii="仿宋" w:hAnsi="仿宋" w:eastAsia="仿宋" w:cs="Times New Roman"/>
          <w:b/>
          <w:bCs/>
          <w:color w:val="auto"/>
          <w:sz w:val="32"/>
          <w:szCs w:val="32"/>
        </w:rPr>
      </w:pPr>
      <w:r>
        <w:rPr>
          <w:rFonts w:hint="eastAsia" w:ascii="仿宋" w:hAnsi="仿宋" w:eastAsia="仿宋" w:cs="仿宋"/>
          <w:b/>
          <w:bCs/>
          <w:color w:val="auto"/>
          <w:sz w:val="32"/>
          <w:szCs w:val="32"/>
        </w:rPr>
        <w:t>建设项目单位：中国石化江西景德镇石油分公司</w:t>
      </w:r>
    </w:p>
    <w:p>
      <w:pPr>
        <w:spacing w:line="600" w:lineRule="atLeast"/>
        <w:ind w:firstLine="1928" w:firstLineChars="6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胡</w:t>
      </w:r>
      <w:r>
        <w:rPr>
          <w:rFonts w:hint="eastAsia" w:ascii="仿宋" w:hAnsi="仿宋" w:eastAsia="仿宋" w:cs="仿宋"/>
          <w:b/>
          <w:bCs/>
          <w:color w:val="auto"/>
          <w:sz w:val="32"/>
          <w:szCs w:val="32"/>
          <w:lang w:val="en-US" w:eastAsia="zh-CN"/>
        </w:rPr>
        <w:t>琦</w:t>
      </w:r>
    </w:p>
    <w:p>
      <w:pPr>
        <w:spacing w:line="600" w:lineRule="atLeast"/>
        <w:ind w:firstLine="1928" w:firstLineChars="6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r>
        <w:rPr>
          <w:rFonts w:hint="eastAsia" w:ascii="仿宋" w:hAnsi="仿宋" w:eastAsia="仿宋" w:cs="仿宋"/>
          <w:b/>
          <w:bCs/>
          <w:color w:val="auto"/>
          <w:sz w:val="32"/>
          <w:szCs w:val="32"/>
          <w:lang w:val="en-US" w:eastAsia="zh-CN"/>
        </w:rPr>
        <w:t>17779829134</w:t>
      </w:r>
    </w:p>
    <w:p>
      <w:pPr>
        <w:spacing w:line="600" w:lineRule="exact"/>
        <w:jc w:val="center"/>
        <w:rPr>
          <w:rFonts w:hAnsi="宋体" w:cs="Times New Roman"/>
          <w:b/>
          <w:bCs/>
          <w:color w:val="auto"/>
          <w:sz w:val="44"/>
          <w:szCs w:val="44"/>
        </w:rPr>
      </w:pPr>
    </w:p>
    <w:p>
      <w:pPr>
        <w:spacing w:line="640" w:lineRule="exact"/>
        <w:jc w:val="center"/>
        <w:rPr>
          <w:rFonts w:hAnsi="宋体" w:cs="Times New Roman"/>
          <w:b/>
          <w:bCs/>
          <w:color w:val="auto"/>
          <w:sz w:val="32"/>
          <w:szCs w:val="32"/>
        </w:rPr>
      </w:pPr>
    </w:p>
    <w:p>
      <w:pPr>
        <w:spacing w:line="640" w:lineRule="exact"/>
        <w:jc w:val="center"/>
        <w:rPr>
          <w:rFonts w:hAnsi="宋体" w:cs="Times New Roman"/>
          <w:b/>
          <w:bCs/>
          <w:color w:val="auto"/>
          <w:sz w:val="32"/>
          <w:szCs w:val="32"/>
        </w:rPr>
      </w:pPr>
      <w:r>
        <w:rPr>
          <w:rFonts w:hint="eastAsia" w:hAnsi="宋体" w:cs="宋体"/>
          <w:b/>
          <w:bCs/>
          <w:color w:val="auto"/>
          <w:sz w:val="32"/>
          <w:szCs w:val="32"/>
        </w:rPr>
        <w:t>二</w:t>
      </w:r>
      <w:r>
        <w:rPr>
          <w:rFonts w:hAnsi="宋体"/>
          <w:b/>
          <w:bCs/>
          <w:color w:val="auto"/>
          <w:sz w:val="32"/>
          <w:szCs w:val="32"/>
        </w:rPr>
        <w:t>O</w:t>
      </w:r>
      <w:r>
        <w:rPr>
          <w:rFonts w:hint="eastAsia" w:hAnsi="宋体" w:cs="宋体"/>
          <w:b/>
          <w:bCs/>
          <w:color w:val="auto"/>
          <w:sz w:val="32"/>
          <w:szCs w:val="32"/>
        </w:rPr>
        <w:t>二</w:t>
      </w:r>
      <w:r>
        <w:rPr>
          <w:rFonts w:hint="eastAsia" w:hAnsi="宋体" w:cs="宋体"/>
          <w:b/>
          <w:bCs/>
          <w:color w:val="auto"/>
          <w:sz w:val="32"/>
          <w:szCs w:val="32"/>
          <w:lang w:eastAsia="zh-CN"/>
        </w:rPr>
        <w:t>三</w:t>
      </w:r>
      <w:r>
        <w:rPr>
          <w:rFonts w:hint="eastAsia" w:hAnsi="宋体" w:cs="宋体"/>
          <w:b/>
          <w:bCs/>
          <w:color w:val="auto"/>
          <w:sz w:val="32"/>
          <w:szCs w:val="32"/>
        </w:rPr>
        <w:t>年</w:t>
      </w:r>
      <w:r>
        <w:rPr>
          <w:rFonts w:hint="eastAsia" w:hAnsi="宋体" w:cs="宋体"/>
          <w:b/>
          <w:bCs/>
          <w:color w:val="auto"/>
          <w:sz w:val="32"/>
          <w:szCs w:val="32"/>
          <w:lang w:val="en-US" w:eastAsia="zh-CN"/>
        </w:rPr>
        <w:t>六</w:t>
      </w:r>
      <w:r>
        <w:rPr>
          <w:rFonts w:hint="eastAsia" w:hAnsi="宋体" w:cs="宋体"/>
          <w:b/>
          <w:bCs/>
          <w:color w:val="auto"/>
          <w:sz w:val="32"/>
          <w:szCs w:val="32"/>
        </w:rPr>
        <w:t>月</w:t>
      </w:r>
      <w:r>
        <w:rPr>
          <w:rFonts w:hint="eastAsia" w:hAnsi="宋体" w:cs="宋体"/>
          <w:b/>
          <w:bCs/>
          <w:color w:val="auto"/>
          <w:sz w:val="32"/>
          <w:szCs w:val="32"/>
          <w:lang w:val="en-US" w:eastAsia="zh-CN"/>
        </w:rPr>
        <w:t>二</w:t>
      </w:r>
      <w:r>
        <w:rPr>
          <w:rFonts w:hint="eastAsia" w:hAnsi="宋体" w:cs="宋体"/>
          <w:b/>
          <w:bCs/>
          <w:color w:val="auto"/>
          <w:sz w:val="32"/>
          <w:szCs w:val="32"/>
          <w:lang w:eastAsia="zh-CN"/>
        </w:rPr>
        <w:t>十八</w:t>
      </w:r>
      <w:r>
        <w:rPr>
          <w:rFonts w:hint="eastAsia" w:hAnsi="宋体" w:cs="宋体"/>
          <w:b/>
          <w:bCs/>
          <w:color w:val="auto"/>
          <w:sz w:val="32"/>
          <w:szCs w:val="32"/>
        </w:rPr>
        <w:t>日</w:t>
      </w:r>
    </w:p>
    <w:p>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pPr>
        <w:jc w:val="center"/>
        <w:rPr>
          <w:rFonts w:ascii="Times New Roman" w:hAnsi="Times New Roman" w:cs="Times New Roman"/>
          <w:b/>
          <w:bCs/>
          <w:color w:val="auto"/>
          <w:sz w:val="36"/>
          <w:szCs w:val="36"/>
        </w:rPr>
      </w:pPr>
    </w:p>
    <w:p>
      <w:pPr>
        <w:pStyle w:val="38"/>
        <w:rPr>
          <w:rFonts w:cs="Times New Roman"/>
          <w:color w:val="auto"/>
        </w:rPr>
      </w:pPr>
    </w:p>
    <w:p>
      <w:pPr>
        <w:pStyle w:val="38"/>
        <w:rPr>
          <w:rFonts w:cs="Times New Roman"/>
          <w:color w:val="auto"/>
        </w:rPr>
      </w:pPr>
    </w:p>
    <w:p>
      <w:pPr>
        <w:jc w:val="center"/>
        <w:rPr>
          <w:rFonts w:hint="eastAsia" w:ascii="Times New Roman" w:hAnsi="Times New Roman" w:cs="宋体"/>
          <w:b/>
          <w:bCs/>
          <w:color w:val="auto"/>
          <w:sz w:val="44"/>
          <w:szCs w:val="44"/>
          <w:lang w:eastAsia="zh-CN"/>
        </w:rPr>
      </w:pPr>
      <w:r>
        <w:rPr>
          <w:rFonts w:hint="eastAsia" w:ascii="Times New Roman" w:hAnsi="Times New Roman" w:cs="宋体"/>
          <w:b/>
          <w:bCs/>
          <w:color w:val="auto"/>
          <w:sz w:val="44"/>
          <w:szCs w:val="44"/>
          <w:lang w:eastAsia="zh-CN"/>
        </w:rPr>
        <w:t>中国石化销售股份有限公司</w:t>
      </w:r>
    </w:p>
    <w:p>
      <w:pPr>
        <w:jc w:val="center"/>
        <w:rPr>
          <w:rFonts w:hint="eastAsia" w:ascii="Times New Roman" w:hAnsi="Times New Roman" w:cs="宋体"/>
          <w:b/>
          <w:bCs/>
          <w:color w:val="auto"/>
          <w:sz w:val="44"/>
          <w:szCs w:val="44"/>
          <w:lang w:eastAsia="zh-CN"/>
        </w:rPr>
      </w:pPr>
      <w:r>
        <w:rPr>
          <w:rFonts w:hint="eastAsia" w:ascii="Times New Roman" w:hAnsi="Times New Roman" w:cs="宋体"/>
          <w:b/>
          <w:bCs/>
          <w:color w:val="auto"/>
          <w:sz w:val="44"/>
          <w:szCs w:val="44"/>
          <w:lang w:eastAsia="zh-CN"/>
        </w:rPr>
        <w:t>江西景德镇石油分公司</w:t>
      </w:r>
    </w:p>
    <w:p>
      <w:pPr>
        <w:jc w:val="center"/>
        <w:rPr>
          <w:rFonts w:hint="eastAsia" w:ascii="Times New Roman" w:hAnsi="Times New Roman" w:eastAsia="宋体" w:cs="Times New Roman"/>
          <w:b/>
          <w:bCs/>
          <w:color w:val="auto"/>
          <w:sz w:val="44"/>
          <w:szCs w:val="44"/>
          <w:lang w:eastAsia="zh-CN"/>
        </w:rPr>
      </w:pPr>
      <w:r>
        <w:rPr>
          <w:rFonts w:hint="eastAsia" w:ascii="Times New Roman" w:hAnsi="Times New Roman" w:cs="宋体"/>
          <w:b/>
          <w:bCs/>
          <w:color w:val="auto"/>
          <w:sz w:val="44"/>
          <w:szCs w:val="44"/>
          <w:lang w:eastAsia="zh-CN"/>
        </w:rPr>
        <w:t>鱼丽加油（充电、光伏）站</w:t>
      </w:r>
    </w:p>
    <w:p>
      <w:pPr>
        <w:jc w:val="center"/>
        <w:rPr>
          <w:rFonts w:ascii="Times New Roman" w:hAnsi="Times New Roman" w:cs="Times New Roman"/>
          <w:b/>
          <w:bCs/>
          <w:color w:val="auto"/>
          <w:sz w:val="44"/>
          <w:szCs w:val="44"/>
        </w:rPr>
      </w:pPr>
      <w:r>
        <w:rPr>
          <w:rFonts w:hint="eastAsia" w:ascii="Times New Roman" w:hAnsi="Times New Roman" w:cs="宋体"/>
          <w:b/>
          <w:bCs/>
          <w:color w:val="auto"/>
          <w:sz w:val="44"/>
          <w:szCs w:val="44"/>
        </w:rPr>
        <w:t>安全设施验收评价报告</w:t>
      </w:r>
    </w:p>
    <w:p>
      <w:pPr>
        <w:jc w:val="center"/>
        <w:rPr>
          <w:rFonts w:ascii="Times New Roman" w:hAnsi="Times New Roman" w:cs="Times New Roman"/>
          <w:color w:val="auto"/>
          <w:sz w:val="28"/>
          <w:szCs w:val="28"/>
        </w:rPr>
      </w:pPr>
      <w:r>
        <w:rPr>
          <w:rFonts w:hint="eastAsia" w:ascii="宋体" w:hAnsi="宋体" w:cs="宋体"/>
          <w:b/>
          <w:bCs/>
          <w:color w:val="auto"/>
          <w:sz w:val="36"/>
          <w:szCs w:val="36"/>
        </w:rPr>
        <w:t>（</w:t>
      </w:r>
      <w:r>
        <w:rPr>
          <w:rFonts w:hint="eastAsia" w:ascii="宋体" w:hAnsi="宋体" w:cs="宋体"/>
          <w:b/>
          <w:bCs/>
          <w:color w:val="auto"/>
          <w:sz w:val="36"/>
          <w:szCs w:val="36"/>
          <w:lang w:eastAsia="zh-CN"/>
        </w:rPr>
        <w:t>终</w:t>
      </w:r>
      <w:r>
        <w:rPr>
          <w:rFonts w:hint="eastAsia" w:ascii="宋体" w:hAnsi="宋体" w:cs="宋体"/>
          <w:b/>
          <w:bCs/>
          <w:color w:val="auto"/>
          <w:sz w:val="36"/>
          <w:szCs w:val="36"/>
        </w:rPr>
        <w:t>稿）</w:t>
      </w:r>
    </w:p>
    <w:p>
      <w:pPr>
        <w:jc w:val="center"/>
        <w:rPr>
          <w:rFonts w:ascii="Times New Roman" w:hAnsi="Times New Roman" w:cs="Times New Roman"/>
          <w:color w:val="auto"/>
          <w:sz w:val="28"/>
          <w:szCs w:val="28"/>
        </w:rPr>
      </w:pPr>
    </w:p>
    <w:p>
      <w:pPr>
        <w:pStyle w:val="38"/>
        <w:jc w:val="center"/>
        <w:rPr>
          <w:rFonts w:cs="Times New Roman"/>
          <w:color w:val="auto"/>
        </w:rPr>
      </w:pPr>
    </w:p>
    <w:p>
      <w:pPr>
        <w:pStyle w:val="38"/>
        <w:jc w:val="center"/>
        <w:rPr>
          <w:rFonts w:cs="Times New Roman"/>
          <w:color w:val="auto"/>
        </w:rPr>
      </w:pPr>
    </w:p>
    <w:p>
      <w:pPr>
        <w:jc w:val="center"/>
        <w:rPr>
          <w:rFonts w:ascii="Times New Roman" w:hAnsi="Times New Roman" w:cs="Times New Roman"/>
          <w:color w:val="auto"/>
          <w:sz w:val="28"/>
          <w:szCs w:val="28"/>
        </w:rPr>
      </w:pPr>
    </w:p>
    <w:p>
      <w:pPr>
        <w:jc w:val="center"/>
        <w:rPr>
          <w:rFonts w:ascii="Times New Roman" w:hAnsi="Times New Roman" w:cs="Times New Roman"/>
          <w:color w:val="auto"/>
          <w:sz w:val="28"/>
          <w:szCs w:val="28"/>
        </w:rPr>
      </w:pPr>
    </w:p>
    <w:p>
      <w:pPr>
        <w:jc w:val="center"/>
        <w:rPr>
          <w:rFonts w:ascii="Times New Roman" w:hAnsi="Times New Roman" w:cs="Times New Roman"/>
          <w:color w:val="auto"/>
          <w:sz w:val="28"/>
          <w:szCs w:val="28"/>
        </w:rPr>
      </w:pPr>
    </w:p>
    <w:p>
      <w:pPr>
        <w:jc w:val="center"/>
        <w:rPr>
          <w:rFonts w:ascii="Times New Roman" w:hAnsi="Times New Roman" w:cs="Times New Roman"/>
          <w:color w:val="auto"/>
          <w:sz w:val="28"/>
          <w:szCs w:val="28"/>
        </w:rPr>
      </w:pPr>
    </w:p>
    <w:p>
      <w:pPr>
        <w:pStyle w:val="38"/>
        <w:jc w:val="center"/>
        <w:rPr>
          <w:rFonts w:cs="Times New Roman"/>
          <w:color w:val="auto"/>
        </w:rPr>
      </w:pPr>
    </w:p>
    <w:p>
      <w:pPr>
        <w:pStyle w:val="38"/>
        <w:jc w:val="both"/>
        <w:rPr>
          <w:rFonts w:cs="Times New Roman"/>
          <w:color w:val="auto"/>
        </w:rPr>
      </w:pPr>
    </w:p>
    <w:p>
      <w:pPr>
        <w:pStyle w:val="38"/>
        <w:jc w:val="center"/>
        <w:rPr>
          <w:rFonts w:cs="Times New Roman"/>
          <w:color w:val="auto"/>
        </w:rPr>
      </w:pPr>
    </w:p>
    <w:p>
      <w:pPr>
        <w:jc w:val="center"/>
        <w:rPr>
          <w:rFonts w:hint="eastAsia" w:ascii="Times New Roman" w:hAnsi="Times New Roman" w:eastAsia="宋体" w:cs="Times New Roman"/>
          <w:color w:val="auto"/>
          <w:sz w:val="28"/>
          <w:szCs w:val="28"/>
          <w:lang w:eastAsia="zh-CN"/>
        </w:rPr>
      </w:pPr>
      <w:r>
        <w:rPr>
          <w:rFonts w:hint="eastAsia" w:ascii="Times New Roman" w:hAnsi="Times New Roman" w:cs="宋体"/>
          <w:color w:val="auto"/>
          <w:sz w:val="28"/>
          <w:szCs w:val="28"/>
        </w:rPr>
        <w:t>法定代表人：</w:t>
      </w:r>
      <w:r>
        <w:rPr>
          <w:rFonts w:hint="eastAsia" w:ascii="Times New Roman" w:hAnsi="Times New Roman" w:cs="宋体"/>
          <w:color w:val="auto"/>
          <w:sz w:val="28"/>
          <w:szCs w:val="28"/>
          <w:lang w:eastAsia="zh-CN"/>
        </w:rPr>
        <w:t>应</w:t>
      </w:r>
      <w:r>
        <w:rPr>
          <w:rFonts w:hint="eastAsia" w:ascii="Times New Roman" w:hAnsi="Times New Roman" w:cs="宋体"/>
          <w:color w:val="auto"/>
          <w:sz w:val="28"/>
          <w:szCs w:val="28"/>
          <w:lang w:val="en-US" w:eastAsia="zh-CN"/>
        </w:rPr>
        <w:t xml:space="preserve">  </w:t>
      </w:r>
      <w:r>
        <w:rPr>
          <w:rFonts w:hint="eastAsia" w:ascii="Times New Roman" w:hAnsi="Times New Roman" w:cs="宋体"/>
          <w:color w:val="auto"/>
          <w:sz w:val="28"/>
          <w:szCs w:val="28"/>
          <w:lang w:eastAsia="zh-CN"/>
        </w:rPr>
        <w:t>宏</w:t>
      </w:r>
    </w:p>
    <w:p>
      <w:pPr>
        <w:jc w:val="center"/>
        <w:rPr>
          <w:rFonts w:hint="eastAsia" w:ascii="Times New Roman" w:hAnsi="Times New Roman" w:eastAsia="宋体" w:cs="Times New Roman"/>
          <w:color w:val="auto"/>
          <w:sz w:val="28"/>
          <w:szCs w:val="28"/>
          <w:lang w:eastAsia="zh-CN"/>
        </w:rPr>
      </w:pPr>
      <w:r>
        <w:rPr>
          <w:rFonts w:hint="eastAsia" w:ascii="Times New Roman" w:hAnsi="Times New Roman" w:cs="宋体"/>
          <w:color w:val="auto"/>
          <w:sz w:val="28"/>
          <w:szCs w:val="28"/>
        </w:rPr>
        <w:t>技术负责人：</w:t>
      </w:r>
      <w:r>
        <w:rPr>
          <w:rFonts w:hint="eastAsia" w:ascii="Times New Roman" w:hAnsi="Times New Roman" w:cs="宋体"/>
          <w:color w:val="auto"/>
          <w:sz w:val="28"/>
          <w:szCs w:val="28"/>
          <w:lang w:eastAsia="zh-CN"/>
        </w:rPr>
        <w:t>周红波</w:t>
      </w:r>
    </w:p>
    <w:p>
      <w:pPr>
        <w:jc w:val="center"/>
        <w:rPr>
          <w:rFonts w:hint="eastAsia" w:ascii="Times New Roman" w:hAnsi="Times New Roman" w:eastAsia="宋体" w:cs="Times New Roman"/>
          <w:color w:val="auto"/>
          <w:sz w:val="28"/>
          <w:szCs w:val="28"/>
          <w:lang w:eastAsia="zh-CN"/>
        </w:rPr>
      </w:pPr>
      <w:r>
        <w:rPr>
          <w:rFonts w:hint="eastAsia" w:ascii="Times New Roman" w:hAnsi="Times New Roman" w:cs="宋体"/>
          <w:color w:val="auto"/>
          <w:sz w:val="28"/>
          <w:szCs w:val="28"/>
        </w:rPr>
        <w:t>项目负责人：</w:t>
      </w:r>
      <w:r>
        <w:rPr>
          <w:rFonts w:hint="eastAsia" w:ascii="Times New Roman" w:hAnsi="Times New Roman" w:cs="宋体"/>
          <w:color w:val="auto"/>
          <w:sz w:val="28"/>
          <w:szCs w:val="28"/>
          <w:lang w:eastAsia="zh-CN"/>
        </w:rPr>
        <w:t>谢寒梅</w:t>
      </w:r>
    </w:p>
    <w:p>
      <w:pPr>
        <w:pStyle w:val="38"/>
        <w:rPr>
          <w:rFonts w:cs="Times New Roman"/>
          <w:color w:val="auto"/>
        </w:rPr>
      </w:pPr>
    </w:p>
    <w:p>
      <w:pPr>
        <w:rPr>
          <w:rFonts w:ascii="Times New Roman" w:hAnsi="Times New Roman" w:cs="Times New Roman"/>
          <w:b/>
          <w:bCs/>
          <w:color w:val="auto"/>
          <w:kern w:val="0"/>
          <w:sz w:val="24"/>
          <w:szCs w:val="24"/>
        </w:rPr>
      </w:pPr>
    </w:p>
    <w:p>
      <w:pPr>
        <w:jc w:val="center"/>
        <w:rPr>
          <w:rFonts w:ascii="Times New Roman" w:hAnsi="Times New Roman" w:cs="Times New Roman"/>
          <w:b/>
          <w:bCs/>
          <w:color w:val="auto"/>
          <w:sz w:val="24"/>
          <w:szCs w:val="24"/>
        </w:rPr>
      </w:pPr>
      <w:r>
        <w:rPr>
          <w:rFonts w:hint="eastAsia" w:ascii="Times New Roman" w:hAnsi="Times New Roman" w:cs="宋体"/>
          <w:b/>
          <w:bCs/>
          <w:color w:val="auto"/>
          <w:kern w:val="0"/>
          <w:sz w:val="24"/>
          <w:szCs w:val="24"/>
        </w:rPr>
        <w:t>评价报告完成日期：</w:t>
      </w:r>
      <w:r>
        <w:rPr>
          <w:rFonts w:ascii="Times New Roman" w:hAnsi="Times New Roman" w:cs="Times New Roman"/>
          <w:b/>
          <w:bCs/>
          <w:color w:val="auto"/>
          <w:kern w:val="0"/>
          <w:sz w:val="24"/>
          <w:szCs w:val="24"/>
        </w:rPr>
        <w:t>202</w:t>
      </w:r>
      <w:r>
        <w:rPr>
          <w:rFonts w:hint="eastAsia" w:ascii="Times New Roman" w:hAnsi="Times New Roman" w:cs="Times New Roman"/>
          <w:b/>
          <w:bCs/>
          <w:color w:val="auto"/>
          <w:kern w:val="0"/>
          <w:sz w:val="24"/>
          <w:szCs w:val="24"/>
          <w:lang w:val="en-US" w:eastAsia="zh-CN"/>
        </w:rPr>
        <w:t>3</w:t>
      </w:r>
      <w:r>
        <w:rPr>
          <w:rFonts w:hint="eastAsia" w:ascii="Times New Roman" w:hAnsi="Times New Roman" w:cs="宋体"/>
          <w:b/>
          <w:bCs/>
          <w:color w:val="auto"/>
          <w:kern w:val="0"/>
          <w:sz w:val="24"/>
          <w:szCs w:val="24"/>
        </w:rPr>
        <w:t>年</w:t>
      </w:r>
      <w:r>
        <w:rPr>
          <w:rFonts w:hint="eastAsia" w:ascii="Times New Roman" w:hAnsi="Times New Roman" w:cs="Times New Roman"/>
          <w:b/>
          <w:bCs/>
          <w:color w:val="auto"/>
          <w:kern w:val="0"/>
          <w:sz w:val="24"/>
          <w:szCs w:val="24"/>
          <w:lang w:val="en-US" w:eastAsia="zh-CN"/>
        </w:rPr>
        <w:t>06</w:t>
      </w:r>
      <w:r>
        <w:rPr>
          <w:rFonts w:hint="eastAsia" w:ascii="Times New Roman" w:hAnsi="Times New Roman" w:cs="宋体"/>
          <w:b/>
          <w:bCs/>
          <w:color w:val="auto"/>
          <w:kern w:val="0"/>
          <w:sz w:val="24"/>
          <w:szCs w:val="24"/>
        </w:rPr>
        <w:t>月</w:t>
      </w:r>
      <w:r>
        <w:rPr>
          <w:rFonts w:hint="eastAsia" w:ascii="Times New Roman" w:hAnsi="Times New Roman" w:cs="Times New Roman"/>
          <w:b/>
          <w:bCs/>
          <w:color w:val="auto"/>
          <w:kern w:val="0"/>
          <w:sz w:val="24"/>
          <w:szCs w:val="24"/>
          <w:lang w:val="en-US" w:eastAsia="zh-CN"/>
        </w:rPr>
        <w:t>28</w:t>
      </w:r>
      <w:r>
        <w:rPr>
          <w:rFonts w:hint="eastAsia" w:ascii="Times New Roman" w:hAnsi="Times New Roman" w:cs="宋体"/>
          <w:b/>
          <w:bCs/>
          <w:color w:val="auto"/>
          <w:kern w:val="0"/>
          <w:sz w:val="24"/>
          <w:szCs w:val="24"/>
        </w:rPr>
        <w:t>日</w:t>
      </w:r>
    </w:p>
    <w:p>
      <w:pPr>
        <w:jc w:val="center"/>
        <w:rPr>
          <w:rFonts w:ascii="Times New Roman" w:hAnsi="Times New Roman" w:cs="Times New Roman"/>
          <w:b/>
          <w:bCs/>
          <w:color w:val="auto"/>
          <w:sz w:val="36"/>
          <w:szCs w:val="36"/>
        </w:rPr>
      </w:pPr>
    </w:p>
    <w:p>
      <w:pPr>
        <w:jc w:val="center"/>
        <w:rPr>
          <w:rFonts w:ascii="Times New Roman" w:hAnsi="Times New Roman" w:cs="Times New Roman"/>
          <w:b/>
          <w:bCs/>
          <w:color w:val="auto"/>
          <w:sz w:val="36"/>
          <w:szCs w:val="36"/>
        </w:rPr>
      </w:pPr>
    </w:p>
    <w:p>
      <w:pPr>
        <w:jc w:val="center"/>
        <w:rPr>
          <w:rFonts w:ascii="Times New Roman" w:hAnsi="Times New Roman" w:cs="Times New Roman"/>
          <w:b/>
          <w:bCs/>
          <w:color w:val="auto"/>
          <w:sz w:val="36"/>
          <w:szCs w:val="36"/>
        </w:rPr>
      </w:pPr>
    </w:p>
    <w:p>
      <w:pPr>
        <w:jc w:val="center"/>
        <w:rPr>
          <w:rFonts w:hint="eastAsia" w:ascii="Times New Roman" w:hAnsi="Times New Roman" w:cs="宋体"/>
          <w:b/>
          <w:bCs/>
          <w:color w:val="auto"/>
          <w:sz w:val="44"/>
          <w:szCs w:val="44"/>
        </w:rPr>
      </w:pPr>
    </w:p>
    <w:p>
      <w:pPr>
        <w:jc w:val="center"/>
        <w:rPr>
          <w:rFonts w:hint="eastAsia" w:ascii="Times New Roman" w:hAnsi="Times New Roman" w:cs="宋体"/>
          <w:b/>
          <w:bCs/>
          <w:color w:val="auto"/>
          <w:sz w:val="44"/>
          <w:szCs w:val="44"/>
          <w:lang w:eastAsia="zh-CN"/>
        </w:rPr>
      </w:pPr>
      <w:r>
        <w:rPr>
          <w:rFonts w:hint="eastAsia" w:ascii="Times New Roman" w:hAnsi="Times New Roman" w:cs="宋体"/>
          <w:b/>
          <w:bCs/>
          <w:color w:val="auto"/>
          <w:sz w:val="44"/>
          <w:szCs w:val="44"/>
          <w:lang w:eastAsia="zh-CN"/>
        </w:rPr>
        <w:t>中国石化销售股份有限公司</w:t>
      </w:r>
    </w:p>
    <w:p>
      <w:pPr>
        <w:jc w:val="center"/>
        <w:rPr>
          <w:rFonts w:hint="eastAsia" w:ascii="Times New Roman" w:hAnsi="Times New Roman" w:cs="宋体"/>
          <w:b/>
          <w:bCs/>
          <w:color w:val="auto"/>
          <w:sz w:val="44"/>
          <w:szCs w:val="44"/>
          <w:lang w:eastAsia="zh-CN"/>
        </w:rPr>
      </w:pPr>
      <w:r>
        <w:rPr>
          <w:rFonts w:hint="eastAsia" w:ascii="Times New Roman" w:hAnsi="Times New Roman" w:cs="宋体"/>
          <w:b/>
          <w:bCs/>
          <w:color w:val="auto"/>
          <w:sz w:val="44"/>
          <w:szCs w:val="44"/>
          <w:lang w:eastAsia="zh-CN"/>
        </w:rPr>
        <w:t>江西景德镇石油分公司</w:t>
      </w:r>
    </w:p>
    <w:p>
      <w:pPr>
        <w:jc w:val="center"/>
        <w:rPr>
          <w:rFonts w:hint="eastAsia" w:ascii="Times New Roman" w:hAnsi="Times New Roman" w:cs="宋体"/>
          <w:b/>
          <w:bCs/>
          <w:color w:val="auto"/>
          <w:sz w:val="44"/>
          <w:szCs w:val="44"/>
          <w:lang w:eastAsia="zh-CN"/>
        </w:rPr>
      </w:pPr>
      <w:r>
        <w:rPr>
          <w:rFonts w:hint="eastAsia" w:ascii="Times New Roman" w:hAnsi="Times New Roman" w:cs="宋体"/>
          <w:b/>
          <w:bCs/>
          <w:color w:val="auto"/>
          <w:sz w:val="44"/>
          <w:szCs w:val="44"/>
          <w:lang w:eastAsia="zh-CN"/>
        </w:rPr>
        <w:t>鱼丽加油（充电、光伏）站</w:t>
      </w:r>
    </w:p>
    <w:p>
      <w:pPr>
        <w:jc w:val="center"/>
        <w:rPr>
          <w:rFonts w:ascii="Times New Roman" w:hAnsi="Times New Roman" w:cs="Times New Roman"/>
          <w:b/>
          <w:bCs/>
          <w:color w:val="auto"/>
          <w:kern w:val="0"/>
          <w:sz w:val="36"/>
          <w:szCs w:val="36"/>
        </w:rPr>
      </w:pPr>
      <w:r>
        <w:rPr>
          <w:rFonts w:hint="eastAsia" w:ascii="Times New Roman" w:hAnsi="Times New Roman" w:cs="宋体"/>
          <w:b/>
          <w:bCs/>
          <w:color w:val="auto"/>
          <w:sz w:val="44"/>
          <w:szCs w:val="44"/>
        </w:rPr>
        <w:t>安全设施验收评价报告</w:t>
      </w:r>
    </w:p>
    <w:p>
      <w:pPr>
        <w:jc w:val="center"/>
        <w:rPr>
          <w:rFonts w:ascii="Times New Roman" w:hAnsi="Times New Roman" w:cs="Times New Roman"/>
          <w:b/>
          <w:bCs/>
          <w:color w:val="auto"/>
          <w:kern w:val="0"/>
          <w:sz w:val="36"/>
          <w:szCs w:val="36"/>
        </w:rPr>
      </w:pPr>
      <w:r>
        <w:rPr>
          <w:rFonts w:hint="eastAsia" w:ascii="Times New Roman" w:hAnsi="Times New Roman" w:cs="宋体"/>
          <w:b/>
          <w:bCs/>
          <w:color w:val="auto"/>
          <w:kern w:val="0"/>
          <w:sz w:val="36"/>
          <w:szCs w:val="36"/>
        </w:rPr>
        <w:t>安全评价技术服务承诺书</w:t>
      </w:r>
    </w:p>
    <w:p>
      <w:pPr>
        <w:jc w:val="center"/>
        <w:rPr>
          <w:rFonts w:ascii="Times New Roman" w:hAnsi="Times New Roman" w:cs="Times New Roman"/>
          <w:b/>
          <w:bCs/>
          <w:color w:val="auto"/>
          <w:kern w:val="0"/>
          <w:sz w:val="36"/>
          <w:szCs w:val="36"/>
        </w:rPr>
      </w:pPr>
    </w:p>
    <w:p>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r>
        <w:rPr>
          <w:rFonts w:ascii="Times New Roman" w:hAnsi="Times New Roman" w:eastAsia="仿宋" w:cs="Times New Roman"/>
          <w:color w:val="auto"/>
          <w:kern w:val="0"/>
          <w:sz w:val="32"/>
          <w:szCs w:val="32"/>
        </w:rPr>
        <w:t xml:space="preserve"> </w:t>
      </w:r>
    </w:p>
    <w:p>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rPr>
        <w:t>江西赣安安全生产科学技术咨询服务中心（公章）</w:t>
      </w:r>
    </w:p>
    <w:p>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202</w:t>
      </w:r>
      <w:r>
        <w:rPr>
          <w:rFonts w:hint="eastAsia" w:ascii="Times New Roman" w:hAnsi="Times New Roman" w:cs="Times New Roman"/>
          <w:color w:val="auto"/>
          <w:kern w:val="0"/>
          <w:sz w:val="32"/>
          <w:szCs w:val="32"/>
          <w:lang w:val="en-US" w:eastAsia="zh-CN"/>
        </w:rPr>
        <w:t>3</w:t>
      </w:r>
      <w:r>
        <w:rPr>
          <w:rFonts w:hint="eastAsia" w:ascii="Times New Roman" w:hAnsi="Times New Roman" w:cs="宋体"/>
          <w:color w:val="auto"/>
          <w:kern w:val="0"/>
          <w:sz w:val="32"/>
          <w:szCs w:val="32"/>
        </w:rPr>
        <w:t>年</w:t>
      </w:r>
      <w:r>
        <w:rPr>
          <w:rFonts w:hint="eastAsia" w:ascii="Times New Roman" w:hAnsi="Times New Roman" w:cs="宋体"/>
          <w:color w:val="auto"/>
          <w:kern w:val="0"/>
          <w:sz w:val="32"/>
          <w:szCs w:val="32"/>
          <w:lang w:val="en-US" w:eastAsia="zh-CN"/>
        </w:rPr>
        <w:t>06</w:t>
      </w:r>
      <w:r>
        <w:rPr>
          <w:rFonts w:hint="eastAsia" w:ascii="Times New Roman" w:hAnsi="Times New Roman" w:cs="宋体"/>
          <w:color w:val="auto"/>
          <w:kern w:val="0"/>
          <w:sz w:val="32"/>
          <w:szCs w:val="32"/>
        </w:rPr>
        <w:t>月</w:t>
      </w:r>
      <w:r>
        <w:rPr>
          <w:rFonts w:hint="eastAsia" w:ascii="Times New Roman" w:hAnsi="Times New Roman" w:cs="Times New Roman"/>
          <w:color w:val="auto"/>
          <w:kern w:val="0"/>
          <w:sz w:val="32"/>
          <w:szCs w:val="32"/>
          <w:lang w:val="en-US" w:eastAsia="zh-CN"/>
        </w:rPr>
        <w:t>28</w:t>
      </w:r>
      <w:r>
        <w:rPr>
          <w:rFonts w:hint="eastAsia" w:ascii="Times New Roman" w:hAnsi="Times New Roman" w:cs="宋体"/>
          <w:color w:val="auto"/>
          <w:kern w:val="0"/>
          <w:sz w:val="32"/>
          <w:szCs w:val="32"/>
        </w:rPr>
        <w:t>日</w:t>
      </w:r>
      <w:r>
        <w:rPr>
          <w:rFonts w:ascii="Times New Roman" w:hAnsi="Times New Roman" w:cs="Times New Roman"/>
          <w:color w:val="auto"/>
          <w:kern w:val="0"/>
          <w:sz w:val="32"/>
          <w:szCs w:val="32"/>
        </w:rPr>
        <w:t xml:space="preserve"> </w:t>
      </w:r>
    </w:p>
    <w:p>
      <w:pPr>
        <w:pStyle w:val="38"/>
        <w:rPr>
          <w:rFonts w:ascii="Times New Roman" w:cs="Times New Roman"/>
          <w:color w:val="auto"/>
          <w:sz w:val="32"/>
          <w:szCs w:val="32"/>
        </w:rPr>
      </w:pPr>
    </w:p>
    <w:p>
      <w:pPr>
        <w:widowControl/>
        <w:spacing w:beforeLines="200" w:afterLines="100" w:line="600" w:lineRule="exact"/>
        <w:jc w:val="center"/>
        <w:rPr>
          <w:rFonts w:ascii="Times New Roman" w:hAnsi="Times New Roman" w:cs="Times New Roman"/>
          <w:b/>
          <w:bCs/>
          <w:color w:val="auto"/>
          <w:sz w:val="36"/>
          <w:szCs w:val="36"/>
        </w:rPr>
      </w:pPr>
      <w:r>
        <w:rPr>
          <w:rFonts w:hint="eastAsia" w:ascii="Times New Roman" w:hAnsi="Times New Roman" w:cs="宋体"/>
          <w:b/>
          <w:bCs/>
          <w:color w:val="auto"/>
          <w:sz w:val="36"/>
          <w:szCs w:val="36"/>
        </w:rPr>
        <w:t>规范安全生产中介行为的九条禁令</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一、禁止从事安全生产和职业卫生服务的中介服务机构（以下统称中介机构）租借资质证书、非法挂靠、转包服务项目的行为；</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二、禁止中介机构假借、冒用他人名义要求服务对象接受有偿服务，或者恶意低价竞争以及采取串标、围标等不正当竞争手段，扰乱技术服务市场秩序的行为；</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三、禁止中介机构出具虚假或漏项、缺项技术报告的行为；</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四、禁止中介机构出租、出借资格证书、在报告上冒用他人签名的行为；</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五、禁止中介机构有应到而不到现场开展技术服务的行为；</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六、禁止安全生产监管部门及其工作人员要求生产经营单位接受指定的中介机构开展技术服务的行为；</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七、禁止安全生产监管部门及其工作人员没有法律依据组织由生产经营单位或机构支付费用的行政性评审的行为；</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八、禁止安全生产监管部门及其工作人员干预市场定价，违规擅自出台技术服务收费标准的行为；</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九、禁止安全生产监管部门及其工作人员参与、擅自干预中介机构从业活动，或者有获取不正当利益的行为。</w:t>
      </w:r>
    </w:p>
    <w:p>
      <w:pPr>
        <w:jc w:val="center"/>
        <w:rPr>
          <w:rFonts w:ascii="Times New Roman" w:hAnsi="Times New Roman" w:eastAsia="黑体" w:cs="Times New Roman"/>
          <w:color w:val="auto"/>
          <w:sz w:val="36"/>
          <w:szCs w:val="36"/>
        </w:rPr>
      </w:pPr>
      <w:r>
        <w:rPr>
          <w:rFonts w:ascii="Times New Roman" w:hAnsi="Times New Roman" w:eastAsia="黑体" w:cs="Times New Roman"/>
          <w:color w:val="auto"/>
          <w:sz w:val="36"/>
          <w:szCs w:val="36"/>
        </w:rPr>
        <w:br w:type="page"/>
      </w:r>
    </w:p>
    <w:p>
      <w:pPr>
        <w:jc w:val="center"/>
        <w:rPr>
          <w:rFonts w:cs="Times New Roman"/>
          <w:b/>
          <w:bCs/>
          <w:color w:val="auto"/>
          <w:sz w:val="32"/>
          <w:szCs w:val="32"/>
        </w:rPr>
      </w:pPr>
      <w:r>
        <w:rPr>
          <w:rFonts w:hint="eastAsia" w:cs="宋体"/>
          <w:b/>
          <w:bCs/>
          <w:color w:val="auto"/>
          <w:sz w:val="32"/>
          <w:szCs w:val="32"/>
        </w:rPr>
        <w:t>评</w:t>
      </w:r>
      <w:r>
        <w:rPr>
          <w:b/>
          <w:bCs/>
          <w:color w:val="auto"/>
          <w:sz w:val="32"/>
          <w:szCs w:val="32"/>
        </w:rPr>
        <w:t xml:space="preserve">  </w:t>
      </w:r>
      <w:r>
        <w:rPr>
          <w:rFonts w:hint="eastAsia" w:cs="宋体"/>
          <w:b/>
          <w:bCs/>
          <w:color w:val="auto"/>
          <w:sz w:val="32"/>
          <w:szCs w:val="32"/>
        </w:rPr>
        <w:t>价</w:t>
      </w:r>
      <w:r>
        <w:rPr>
          <w:b/>
          <w:bCs/>
          <w:color w:val="auto"/>
          <w:sz w:val="32"/>
          <w:szCs w:val="32"/>
        </w:rPr>
        <w:t xml:space="preserve">  </w:t>
      </w:r>
      <w:r>
        <w:rPr>
          <w:rFonts w:hint="eastAsia" w:cs="宋体"/>
          <w:b/>
          <w:bCs/>
          <w:color w:val="auto"/>
          <w:sz w:val="32"/>
          <w:szCs w:val="32"/>
        </w:rPr>
        <w:t>人</w:t>
      </w:r>
      <w:r>
        <w:rPr>
          <w:b/>
          <w:bCs/>
          <w:color w:val="auto"/>
          <w:sz w:val="32"/>
          <w:szCs w:val="32"/>
        </w:rPr>
        <w:t xml:space="preserve">  </w:t>
      </w:r>
      <w:r>
        <w:rPr>
          <w:rFonts w:hint="eastAsia" w:cs="宋体"/>
          <w:b/>
          <w:bCs/>
          <w:color w:val="auto"/>
          <w:sz w:val="32"/>
          <w:szCs w:val="32"/>
        </w:rPr>
        <w:t>员</w:t>
      </w:r>
    </w:p>
    <w:p>
      <w:pPr>
        <w:pStyle w:val="19"/>
        <w:rPr>
          <w:rFonts w:cs="Times New Roman"/>
          <w:color w:val="auto"/>
        </w:rPr>
      </w:pPr>
    </w:p>
    <w:tbl>
      <w:tblPr>
        <w:tblStyle w:val="20"/>
        <w:tblW w:w="92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063"/>
        <w:gridCol w:w="1273"/>
        <w:gridCol w:w="3216"/>
        <w:gridCol w:w="1398"/>
        <w:gridCol w:w="130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26" w:hRule="atLeast"/>
          <w:jc w:val="center"/>
        </w:trPr>
        <w:tc>
          <w:tcPr>
            <w:tcW w:w="2063" w:type="dxa"/>
            <w:vAlign w:val="center"/>
          </w:tcPr>
          <w:p>
            <w:pPr>
              <w:jc w:val="center"/>
              <w:rPr>
                <w:rFonts w:cs="Times New Roman"/>
                <w:color w:val="auto"/>
                <w:sz w:val="24"/>
                <w:szCs w:val="24"/>
              </w:rPr>
            </w:pPr>
          </w:p>
        </w:tc>
        <w:tc>
          <w:tcPr>
            <w:tcW w:w="1273" w:type="dxa"/>
            <w:vAlign w:val="center"/>
          </w:tcPr>
          <w:p>
            <w:pPr>
              <w:jc w:val="center"/>
              <w:rPr>
                <w:rFonts w:cs="Times New Roman"/>
                <w:color w:val="auto"/>
                <w:sz w:val="24"/>
                <w:szCs w:val="24"/>
              </w:rPr>
            </w:pPr>
            <w:r>
              <w:rPr>
                <w:rFonts w:hint="eastAsia" w:cs="宋体"/>
                <w:color w:val="auto"/>
                <w:sz w:val="24"/>
                <w:szCs w:val="24"/>
              </w:rPr>
              <w:t>姓</w:t>
            </w:r>
            <w:r>
              <w:rPr>
                <w:color w:val="auto"/>
                <w:sz w:val="24"/>
                <w:szCs w:val="24"/>
              </w:rPr>
              <w:t xml:space="preserve">  </w:t>
            </w:r>
            <w:r>
              <w:rPr>
                <w:rFonts w:hint="eastAsia" w:cs="宋体"/>
                <w:color w:val="auto"/>
                <w:sz w:val="24"/>
                <w:szCs w:val="24"/>
              </w:rPr>
              <w:t>名</w:t>
            </w:r>
          </w:p>
        </w:tc>
        <w:tc>
          <w:tcPr>
            <w:tcW w:w="3216" w:type="dxa"/>
            <w:vAlign w:val="center"/>
          </w:tcPr>
          <w:p>
            <w:pPr>
              <w:jc w:val="center"/>
              <w:rPr>
                <w:rFonts w:cs="Times New Roman"/>
                <w:color w:val="auto"/>
                <w:sz w:val="24"/>
                <w:szCs w:val="24"/>
              </w:rPr>
            </w:pPr>
            <w:r>
              <w:rPr>
                <w:rFonts w:hint="eastAsia" w:cs="宋体"/>
                <w:color w:val="auto"/>
                <w:sz w:val="24"/>
                <w:szCs w:val="24"/>
              </w:rPr>
              <w:t>职业资格证书编号</w:t>
            </w:r>
          </w:p>
        </w:tc>
        <w:tc>
          <w:tcPr>
            <w:tcW w:w="1398" w:type="dxa"/>
            <w:vAlign w:val="center"/>
          </w:tcPr>
          <w:p>
            <w:pPr>
              <w:jc w:val="center"/>
              <w:rPr>
                <w:rFonts w:cs="Times New Roman"/>
                <w:color w:val="auto"/>
                <w:sz w:val="24"/>
                <w:szCs w:val="24"/>
              </w:rPr>
            </w:pPr>
            <w:r>
              <w:rPr>
                <w:rFonts w:hint="eastAsia" w:cs="宋体"/>
                <w:color w:val="auto"/>
                <w:sz w:val="24"/>
                <w:szCs w:val="24"/>
              </w:rPr>
              <w:t>从业编号</w:t>
            </w:r>
          </w:p>
        </w:tc>
        <w:tc>
          <w:tcPr>
            <w:tcW w:w="1308" w:type="dxa"/>
            <w:vAlign w:val="center"/>
          </w:tcPr>
          <w:p>
            <w:pPr>
              <w:jc w:val="center"/>
              <w:rPr>
                <w:rFonts w:cs="Times New Roman"/>
                <w:color w:val="auto"/>
                <w:sz w:val="24"/>
                <w:szCs w:val="24"/>
              </w:rPr>
            </w:pPr>
            <w:r>
              <w:rPr>
                <w:rFonts w:hint="eastAsia" w:cs="宋体"/>
                <w:color w:val="auto"/>
                <w:sz w:val="24"/>
                <w:szCs w:val="24"/>
              </w:rPr>
              <w:t>签</w:t>
            </w:r>
            <w:r>
              <w:rPr>
                <w:color w:val="auto"/>
                <w:sz w:val="24"/>
                <w:szCs w:val="24"/>
              </w:rPr>
              <w:t xml:space="preserve">    </w:t>
            </w:r>
            <w:r>
              <w:rPr>
                <w:rFonts w:hint="eastAsia" w:cs="宋体"/>
                <w:color w:val="auto"/>
                <w:sz w:val="24"/>
                <w:szCs w:val="24"/>
              </w:rPr>
              <w:t>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6" w:hRule="atLeast"/>
          <w:jc w:val="center"/>
        </w:trPr>
        <w:tc>
          <w:tcPr>
            <w:tcW w:w="2063" w:type="dxa"/>
            <w:vAlign w:val="center"/>
          </w:tcPr>
          <w:p>
            <w:pPr>
              <w:jc w:val="center"/>
              <w:rPr>
                <w:rFonts w:cs="Times New Roman"/>
                <w:color w:val="auto"/>
                <w:sz w:val="24"/>
                <w:szCs w:val="24"/>
              </w:rPr>
            </w:pPr>
            <w:r>
              <w:rPr>
                <w:rFonts w:hint="eastAsia" w:cs="宋体"/>
                <w:color w:val="auto"/>
                <w:sz w:val="24"/>
                <w:szCs w:val="24"/>
              </w:rPr>
              <w:t>项目负责人</w:t>
            </w:r>
          </w:p>
        </w:tc>
        <w:tc>
          <w:tcPr>
            <w:tcW w:w="1273" w:type="dxa"/>
            <w:vAlign w:val="center"/>
          </w:tcPr>
          <w:p>
            <w:pPr>
              <w:jc w:val="center"/>
              <w:rPr>
                <w:rFonts w:hint="eastAsia" w:eastAsia="宋体" w:cs="Times New Roman"/>
                <w:color w:val="auto"/>
                <w:sz w:val="24"/>
                <w:szCs w:val="24"/>
                <w:lang w:eastAsia="zh-CN"/>
              </w:rPr>
            </w:pPr>
            <w:r>
              <w:rPr>
                <w:rFonts w:hint="eastAsia" w:cs="宋体"/>
                <w:color w:val="auto"/>
                <w:sz w:val="24"/>
                <w:szCs w:val="24"/>
                <w:lang w:eastAsia="zh-CN"/>
              </w:rPr>
              <w:t>谢寒梅</w:t>
            </w:r>
          </w:p>
        </w:tc>
        <w:tc>
          <w:tcPr>
            <w:tcW w:w="3216" w:type="dxa"/>
            <w:vAlign w:val="center"/>
          </w:tcPr>
          <w:p>
            <w:pPr>
              <w:jc w:val="center"/>
              <w:rPr>
                <w:color w:val="auto"/>
                <w:sz w:val="24"/>
                <w:szCs w:val="24"/>
              </w:rPr>
            </w:pPr>
            <w:r>
              <w:rPr>
                <w:rFonts w:hint="eastAsia"/>
                <w:color w:val="auto"/>
                <w:sz w:val="24"/>
                <w:szCs w:val="24"/>
              </w:rPr>
              <w:t>S011035000110192001584</w:t>
            </w:r>
          </w:p>
        </w:tc>
        <w:tc>
          <w:tcPr>
            <w:tcW w:w="1398" w:type="dxa"/>
            <w:vAlign w:val="center"/>
          </w:tcPr>
          <w:p>
            <w:pPr>
              <w:jc w:val="center"/>
              <w:rPr>
                <w:color w:val="auto"/>
                <w:sz w:val="24"/>
                <w:szCs w:val="24"/>
              </w:rPr>
            </w:pPr>
            <w:r>
              <w:rPr>
                <w:color w:val="auto"/>
                <w:sz w:val="24"/>
                <w:szCs w:val="24"/>
              </w:rPr>
              <w:t xml:space="preserve"> </w:t>
            </w:r>
            <w:r>
              <w:rPr>
                <w:rFonts w:hint="eastAsia"/>
                <w:color w:val="auto"/>
                <w:sz w:val="24"/>
                <w:szCs w:val="24"/>
              </w:rPr>
              <w:t>027089</w:t>
            </w:r>
          </w:p>
        </w:tc>
        <w:tc>
          <w:tcPr>
            <w:tcW w:w="1308" w:type="dxa"/>
            <w:vAlign w:val="center"/>
          </w:tcPr>
          <w:p>
            <w:pPr>
              <w:jc w:val="center"/>
              <w:rPr>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8" w:hRule="atLeast"/>
          <w:jc w:val="center"/>
        </w:trPr>
        <w:tc>
          <w:tcPr>
            <w:tcW w:w="2063" w:type="dxa"/>
            <w:vMerge w:val="restart"/>
            <w:vAlign w:val="center"/>
          </w:tcPr>
          <w:p>
            <w:pPr>
              <w:jc w:val="center"/>
              <w:rPr>
                <w:rFonts w:cs="Times New Roman"/>
                <w:color w:val="auto"/>
                <w:sz w:val="24"/>
                <w:szCs w:val="24"/>
              </w:rPr>
            </w:pPr>
            <w:r>
              <w:rPr>
                <w:rFonts w:hint="eastAsia" w:cs="宋体"/>
                <w:color w:val="auto"/>
                <w:sz w:val="24"/>
                <w:szCs w:val="24"/>
              </w:rPr>
              <w:t>项目组成员</w:t>
            </w:r>
          </w:p>
        </w:tc>
        <w:tc>
          <w:tcPr>
            <w:tcW w:w="1273" w:type="dxa"/>
            <w:vAlign w:val="center"/>
          </w:tcPr>
          <w:p>
            <w:pPr>
              <w:jc w:val="center"/>
              <w:rPr>
                <w:rFonts w:cs="Times New Roman"/>
                <w:color w:val="auto"/>
                <w:sz w:val="24"/>
                <w:szCs w:val="24"/>
              </w:rPr>
            </w:pPr>
            <w:r>
              <w:rPr>
                <w:rFonts w:hint="eastAsia" w:cs="宋体"/>
                <w:color w:val="auto"/>
                <w:sz w:val="24"/>
                <w:szCs w:val="24"/>
                <w:lang w:eastAsia="zh-CN"/>
              </w:rPr>
              <w:t>谢寒梅</w:t>
            </w:r>
          </w:p>
        </w:tc>
        <w:tc>
          <w:tcPr>
            <w:tcW w:w="3216" w:type="dxa"/>
            <w:vAlign w:val="center"/>
          </w:tcPr>
          <w:p>
            <w:pPr>
              <w:jc w:val="center"/>
              <w:rPr>
                <w:color w:val="auto"/>
                <w:sz w:val="24"/>
                <w:szCs w:val="24"/>
              </w:rPr>
            </w:pPr>
            <w:r>
              <w:rPr>
                <w:rFonts w:hint="eastAsia"/>
                <w:color w:val="auto"/>
                <w:sz w:val="24"/>
                <w:szCs w:val="24"/>
              </w:rPr>
              <w:t>S011035000110192001584</w:t>
            </w:r>
          </w:p>
        </w:tc>
        <w:tc>
          <w:tcPr>
            <w:tcW w:w="1398" w:type="dxa"/>
            <w:vAlign w:val="center"/>
          </w:tcPr>
          <w:p>
            <w:pPr>
              <w:jc w:val="center"/>
              <w:rPr>
                <w:color w:val="auto"/>
                <w:sz w:val="24"/>
                <w:szCs w:val="24"/>
              </w:rPr>
            </w:pPr>
            <w:r>
              <w:rPr>
                <w:color w:val="auto"/>
                <w:sz w:val="24"/>
                <w:szCs w:val="24"/>
              </w:rPr>
              <w:t xml:space="preserve"> </w:t>
            </w:r>
            <w:r>
              <w:rPr>
                <w:rFonts w:hint="eastAsia"/>
                <w:color w:val="auto"/>
                <w:sz w:val="24"/>
                <w:szCs w:val="24"/>
              </w:rPr>
              <w:t>027089</w:t>
            </w:r>
          </w:p>
        </w:tc>
        <w:tc>
          <w:tcPr>
            <w:tcW w:w="1308" w:type="dxa"/>
            <w:vAlign w:val="center"/>
          </w:tcPr>
          <w:p>
            <w:pPr>
              <w:jc w:val="center"/>
              <w:rPr>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8" w:hRule="atLeast"/>
          <w:jc w:val="center"/>
        </w:trPr>
        <w:tc>
          <w:tcPr>
            <w:tcW w:w="2063" w:type="dxa"/>
            <w:vMerge w:val="continue"/>
            <w:vAlign w:val="center"/>
          </w:tcPr>
          <w:p>
            <w:pPr>
              <w:jc w:val="center"/>
              <w:rPr>
                <w:rFonts w:cs="Times New Roman"/>
                <w:color w:val="auto"/>
                <w:sz w:val="24"/>
                <w:szCs w:val="24"/>
              </w:rPr>
            </w:pPr>
          </w:p>
        </w:tc>
        <w:tc>
          <w:tcPr>
            <w:tcW w:w="1273" w:type="dxa"/>
            <w:vAlign w:val="center"/>
          </w:tcPr>
          <w:p>
            <w:pPr>
              <w:jc w:val="center"/>
              <w:rPr>
                <w:rFonts w:hint="eastAsia" w:eastAsia="宋体" w:cs="宋体"/>
                <w:color w:val="auto"/>
                <w:sz w:val="24"/>
                <w:szCs w:val="24"/>
                <w:lang w:eastAsia="zh-CN"/>
              </w:rPr>
            </w:pPr>
            <w:r>
              <w:rPr>
                <w:rFonts w:hint="eastAsia" w:eastAsia="宋体" w:cs="宋体"/>
                <w:color w:val="auto"/>
                <w:sz w:val="24"/>
                <w:szCs w:val="24"/>
                <w:lang w:eastAsia="zh-CN"/>
              </w:rPr>
              <w:t>许玉才</w:t>
            </w:r>
          </w:p>
        </w:tc>
        <w:tc>
          <w:tcPr>
            <w:tcW w:w="3216" w:type="dxa"/>
            <w:vAlign w:val="center"/>
          </w:tcPr>
          <w:p>
            <w:pPr>
              <w:jc w:val="center"/>
              <w:rPr>
                <w:rFonts w:hint="eastAsia" w:eastAsia="宋体" w:cs="宋体"/>
                <w:color w:val="auto"/>
                <w:sz w:val="24"/>
                <w:szCs w:val="24"/>
                <w:lang w:eastAsia="zh-CN"/>
              </w:rPr>
            </w:pPr>
            <w:r>
              <w:rPr>
                <w:rFonts w:hint="eastAsia" w:eastAsia="宋体" w:cs="宋体"/>
                <w:color w:val="auto"/>
                <w:sz w:val="24"/>
                <w:szCs w:val="24"/>
                <w:lang w:eastAsia="zh-CN"/>
              </w:rPr>
              <w:t>1800000000200658</w:t>
            </w:r>
          </w:p>
        </w:tc>
        <w:tc>
          <w:tcPr>
            <w:tcW w:w="1398" w:type="dxa"/>
            <w:vAlign w:val="center"/>
          </w:tcPr>
          <w:p>
            <w:pPr>
              <w:jc w:val="center"/>
              <w:rPr>
                <w:rFonts w:hint="eastAsia" w:eastAsia="宋体" w:cs="宋体"/>
                <w:color w:val="auto"/>
                <w:sz w:val="24"/>
                <w:szCs w:val="24"/>
                <w:lang w:eastAsia="zh-CN"/>
              </w:rPr>
            </w:pPr>
            <w:r>
              <w:rPr>
                <w:rFonts w:hint="eastAsia" w:eastAsia="宋体" w:cs="宋体"/>
                <w:color w:val="auto"/>
                <w:sz w:val="24"/>
                <w:szCs w:val="24"/>
                <w:lang w:eastAsia="zh-CN"/>
              </w:rPr>
              <w:t>033460</w:t>
            </w:r>
          </w:p>
        </w:tc>
        <w:tc>
          <w:tcPr>
            <w:tcW w:w="1308" w:type="dxa"/>
            <w:vAlign w:val="center"/>
          </w:tcPr>
          <w:p>
            <w:pPr>
              <w:jc w:val="center"/>
              <w:rPr>
                <w:rFonts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8" w:hRule="atLeast"/>
          <w:jc w:val="center"/>
        </w:trPr>
        <w:tc>
          <w:tcPr>
            <w:tcW w:w="2063" w:type="dxa"/>
            <w:vMerge w:val="continue"/>
            <w:vAlign w:val="center"/>
          </w:tcPr>
          <w:p>
            <w:pPr>
              <w:jc w:val="center"/>
              <w:rPr>
                <w:rFonts w:cs="Times New Roman"/>
                <w:color w:val="auto"/>
                <w:sz w:val="24"/>
                <w:szCs w:val="24"/>
              </w:rPr>
            </w:pPr>
          </w:p>
        </w:tc>
        <w:tc>
          <w:tcPr>
            <w:tcW w:w="1273" w:type="dxa"/>
            <w:vAlign w:val="center"/>
          </w:tcPr>
          <w:p>
            <w:pPr>
              <w:jc w:val="center"/>
              <w:rPr>
                <w:rFonts w:hint="eastAsia" w:eastAsia="宋体" w:cs="Times New Roman"/>
                <w:color w:val="auto"/>
                <w:sz w:val="24"/>
                <w:szCs w:val="24"/>
                <w:lang w:eastAsia="zh-CN"/>
              </w:rPr>
            </w:pPr>
            <w:r>
              <w:rPr>
                <w:rFonts w:hint="eastAsia" w:ascii="Times New Roman" w:hAnsi="Times New Roman" w:cs="宋体"/>
                <w:color w:val="auto"/>
                <w:sz w:val="24"/>
                <w:szCs w:val="24"/>
                <w:lang w:eastAsia="zh-CN"/>
              </w:rPr>
              <w:t>苏睿劼</w:t>
            </w:r>
          </w:p>
        </w:tc>
        <w:tc>
          <w:tcPr>
            <w:tcW w:w="3216" w:type="dxa"/>
            <w:vAlign w:val="center"/>
          </w:tcPr>
          <w:p>
            <w:pPr>
              <w:jc w:val="center"/>
              <w:rPr>
                <w:rFonts w:hint="default"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17</w:t>
            </w:r>
            <w:r>
              <w:rPr>
                <w:rFonts w:hint="eastAsia" w:eastAsia="宋体" w:cs="宋体"/>
                <w:color w:val="auto"/>
                <w:sz w:val="24"/>
                <w:szCs w:val="24"/>
                <w:lang w:eastAsia="zh-CN"/>
              </w:rPr>
              <w:t>00000000</w:t>
            </w:r>
            <w:r>
              <w:rPr>
                <w:rFonts w:hint="eastAsia" w:eastAsia="宋体" w:cs="宋体"/>
                <w:color w:val="auto"/>
                <w:sz w:val="24"/>
                <w:szCs w:val="24"/>
                <w:lang w:val="en-US" w:eastAsia="zh-CN"/>
              </w:rPr>
              <w:t>301009</w:t>
            </w:r>
          </w:p>
        </w:tc>
        <w:tc>
          <w:tcPr>
            <w:tcW w:w="1398" w:type="dxa"/>
            <w:vAlign w:val="center"/>
          </w:tcPr>
          <w:p>
            <w:pPr>
              <w:jc w:val="center"/>
              <w:rPr>
                <w:rFonts w:hint="default"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030858</w:t>
            </w:r>
          </w:p>
        </w:tc>
        <w:tc>
          <w:tcPr>
            <w:tcW w:w="1308" w:type="dxa"/>
            <w:vAlign w:val="center"/>
          </w:tcPr>
          <w:p>
            <w:pPr>
              <w:jc w:val="center"/>
              <w:rPr>
                <w:rFonts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6" w:hRule="atLeast"/>
          <w:jc w:val="center"/>
        </w:trPr>
        <w:tc>
          <w:tcPr>
            <w:tcW w:w="2063" w:type="dxa"/>
            <w:vMerge w:val="continue"/>
            <w:vAlign w:val="center"/>
          </w:tcPr>
          <w:p>
            <w:pPr>
              <w:jc w:val="center"/>
              <w:rPr>
                <w:rFonts w:cs="Times New Roman"/>
                <w:color w:val="auto"/>
                <w:sz w:val="24"/>
                <w:szCs w:val="24"/>
              </w:rPr>
            </w:pPr>
          </w:p>
        </w:tc>
        <w:tc>
          <w:tcPr>
            <w:tcW w:w="1273" w:type="dxa"/>
            <w:vAlign w:val="center"/>
          </w:tcPr>
          <w:p>
            <w:pPr>
              <w:spacing w:line="240" w:lineRule="auto"/>
              <w:jc w:val="center"/>
              <w:rPr>
                <w:rFonts w:hint="eastAsia" w:eastAsia="宋体" w:cs="Times New Roman"/>
                <w:color w:val="auto"/>
                <w:sz w:val="24"/>
                <w:szCs w:val="24"/>
                <w:lang w:eastAsia="zh-CN"/>
              </w:rPr>
            </w:pPr>
            <w:r>
              <w:rPr>
                <w:rFonts w:hint="eastAsia" w:cs="宋体"/>
                <w:color w:val="auto"/>
                <w:sz w:val="24"/>
                <w:szCs w:val="24"/>
                <w:lang w:val="en-US" w:eastAsia="zh-CN"/>
              </w:rPr>
              <w:t>郑强</w:t>
            </w:r>
          </w:p>
        </w:tc>
        <w:tc>
          <w:tcPr>
            <w:tcW w:w="3216" w:type="dxa"/>
            <w:vAlign w:val="center"/>
          </w:tcPr>
          <w:p>
            <w:pPr>
              <w:spacing w:line="240" w:lineRule="auto"/>
              <w:jc w:val="center"/>
              <w:rPr>
                <w:rFonts w:hint="default" w:eastAsia="宋体" w:cs="Times New Roman"/>
                <w:color w:val="auto"/>
                <w:sz w:val="24"/>
                <w:szCs w:val="24"/>
                <w:lang w:val="en-US" w:eastAsia="zh-CN"/>
              </w:rPr>
            </w:pPr>
            <w:r>
              <w:rPr>
                <w:rFonts w:hint="eastAsia"/>
                <w:color w:val="auto"/>
                <w:sz w:val="24"/>
                <w:szCs w:val="24"/>
              </w:rPr>
              <w:t>0800000000</w:t>
            </w:r>
            <w:r>
              <w:rPr>
                <w:rFonts w:hint="eastAsia"/>
                <w:color w:val="auto"/>
                <w:sz w:val="24"/>
                <w:szCs w:val="24"/>
                <w:lang w:val="en-US" w:eastAsia="zh-CN"/>
              </w:rPr>
              <w:t>101605</w:t>
            </w:r>
          </w:p>
        </w:tc>
        <w:tc>
          <w:tcPr>
            <w:tcW w:w="1398" w:type="dxa"/>
            <w:vAlign w:val="center"/>
          </w:tcPr>
          <w:p>
            <w:pPr>
              <w:spacing w:line="240" w:lineRule="auto"/>
              <w:jc w:val="center"/>
              <w:rPr>
                <w:rFonts w:hint="default" w:eastAsia="宋体" w:cs="Times New Roman"/>
                <w:color w:val="auto"/>
                <w:sz w:val="24"/>
                <w:szCs w:val="24"/>
                <w:lang w:val="en-US" w:eastAsia="zh-CN"/>
              </w:rPr>
            </w:pPr>
            <w:r>
              <w:rPr>
                <w:rFonts w:hint="eastAsia"/>
                <w:color w:val="auto"/>
                <w:sz w:val="24"/>
                <w:szCs w:val="24"/>
                <w:lang w:val="en-US" w:eastAsia="zh-CN"/>
              </w:rPr>
              <w:t>001851</w:t>
            </w:r>
          </w:p>
        </w:tc>
        <w:tc>
          <w:tcPr>
            <w:tcW w:w="1308" w:type="dxa"/>
            <w:vAlign w:val="center"/>
          </w:tcPr>
          <w:p>
            <w:pPr>
              <w:jc w:val="center"/>
              <w:rPr>
                <w:rFonts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6" w:hRule="atLeast"/>
          <w:jc w:val="center"/>
        </w:trPr>
        <w:tc>
          <w:tcPr>
            <w:tcW w:w="2063" w:type="dxa"/>
            <w:vMerge w:val="continue"/>
            <w:vAlign w:val="center"/>
          </w:tcPr>
          <w:p>
            <w:pPr>
              <w:jc w:val="center"/>
              <w:rPr>
                <w:rFonts w:cs="Times New Roman"/>
                <w:color w:val="auto"/>
                <w:sz w:val="24"/>
                <w:szCs w:val="24"/>
              </w:rPr>
            </w:pPr>
          </w:p>
        </w:tc>
        <w:tc>
          <w:tcPr>
            <w:tcW w:w="1273" w:type="dxa"/>
            <w:vAlign w:val="center"/>
          </w:tcPr>
          <w:p>
            <w:pPr>
              <w:jc w:val="center"/>
              <w:rPr>
                <w:rFonts w:cs="Times New Roman"/>
                <w:color w:val="auto"/>
                <w:sz w:val="24"/>
                <w:szCs w:val="24"/>
              </w:rPr>
            </w:pPr>
            <w:r>
              <w:rPr>
                <w:rFonts w:hint="eastAsia" w:cs="宋体"/>
                <w:color w:val="auto"/>
                <w:sz w:val="24"/>
                <w:szCs w:val="24"/>
              </w:rPr>
              <w:t>王</w:t>
            </w:r>
            <w:r>
              <w:rPr>
                <w:color w:val="auto"/>
                <w:sz w:val="24"/>
                <w:szCs w:val="24"/>
              </w:rPr>
              <w:t xml:space="preserve">  </w:t>
            </w:r>
            <w:r>
              <w:rPr>
                <w:rFonts w:hint="eastAsia" w:cs="宋体"/>
                <w:color w:val="auto"/>
                <w:sz w:val="24"/>
                <w:szCs w:val="24"/>
              </w:rPr>
              <w:t>波</w:t>
            </w:r>
          </w:p>
        </w:tc>
        <w:tc>
          <w:tcPr>
            <w:tcW w:w="3216" w:type="dxa"/>
            <w:vAlign w:val="center"/>
          </w:tcPr>
          <w:p>
            <w:pPr>
              <w:jc w:val="center"/>
              <w:rPr>
                <w:color w:val="auto"/>
                <w:sz w:val="24"/>
                <w:szCs w:val="24"/>
              </w:rPr>
            </w:pPr>
            <w:r>
              <w:rPr>
                <w:color w:val="auto"/>
                <w:sz w:val="24"/>
                <w:szCs w:val="24"/>
              </w:rPr>
              <w:t>S011035000110202001263</w:t>
            </w:r>
          </w:p>
        </w:tc>
        <w:tc>
          <w:tcPr>
            <w:tcW w:w="1398" w:type="dxa"/>
            <w:vAlign w:val="center"/>
          </w:tcPr>
          <w:p>
            <w:pPr>
              <w:jc w:val="center"/>
              <w:rPr>
                <w:color w:val="auto"/>
                <w:sz w:val="24"/>
                <w:szCs w:val="24"/>
              </w:rPr>
            </w:pPr>
            <w:r>
              <w:rPr>
                <w:color w:val="auto"/>
                <w:sz w:val="24"/>
                <w:szCs w:val="24"/>
              </w:rPr>
              <w:t>040122</w:t>
            </w:r>
          </w:p>
        </w:tc>
        <w:tc>
          <w:tcPr>
            <w:tcW w:w="1308" w:type="dxa"/>
            <w:vAlign w:val="center"/>
          </w:tcPr>
          <w:p>
            <w:pPr>
              <w:jc w:val="center"/>
              <w:rPr>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6" w:hRule="atLeast"/>
          <w:jc w:val="center"/>
        </w:trPr>
        <w:tc>
          <w:tcPr>
            <w:tcW w:w="2063" w:type="dxa"/>
            <w:vAlign w:val="center"/>
          </w:tcPr>
          <w:p>
            <w:pPr>
              <w:jc w:val="center"/>
              <w:rPr>
                <w:rFonts w:cs="Times New Roman"/>
                <w:color w:val="auto"/>
                <w:sz w:val="24"/>
                <w:szCs w:val="24"/>
              </w:rPr>
            </w:pPr>
            <w:r>
              <w:rPr>
                <w:rFonts w:hint="eastAsia" w:cs="宋体"/>
                <w:color w:val="auto"/>
                <w:sz w:val="24"/>
                <w:szCs w:val="24"/>
              </w:rPr>
              <w:t>报告编制人</w:t>
            </w:r>
          </w:p>
        </w:tc>
        <w:tc>
          <w:tcPr>
            <w:tcW w:w="1273" w:type="dxa"/>
            <w:vAlign w:val="center"/>
          </w:tcPr>
          <w:p>
            <w:pPr>
              <w:jc w:val="center"/>
              <w:rPr>
                <w:rFonts w:ascii="宋体" w:cs="Times New Roman"/>
                <w:color w:val="auto"/>
                <w:sz w:val="24"/>
                <w:szCs w:val="24"/>
              </w:rPr>
            </w:pPr>
            <w:r>
              <w:rPr>
                <w:rFonts w:hint="eastAsia" w:cs="宋体"/>
                <w:color w:val="auto"/>
                <w:sz w:val="24"/>
                <w:szCs w:val="24"/>
                <w:lang w:eastAsia="zh-CN"/>
              </w:rPr>
              <w:t>谢寒梅</w:t>
            </w:r>
          </w:p>
        </w:tc>
        <w:tc>
          <w:tcPr>
            <w:tcW w:w="3216" w:type="dxa"/>
            <w:vAlign w:val="center"/>
          </w:tcPr>
          <w:p>
            <w:pPr>
              <w:jc w:val="center"/>
              <w:rPr>
                <w:rFonts w:ascii="宋体" w:cs="Times New Roman"/>
                <w:color w:val="auto"/>
                <w:sz w:val="24"/>
                <w:szCs w:val="24"/>
              </w:rPr>
            </w:pPr>
            <w:r>
              <w:rPr>
                <w:rFonts w:hint="eastAsia"/>
                <w:color w:val="auto"/>
                <w:sz w:val="24"/>
                <w:szCs w:val="24"/>
              </w:rPr>
              <w:t>S011035000110192001584</w:t>
            </w:r>
          </w:p>
        </w:tc>
        <w:tc>
          <w:tcPr>
            <w:tcW w:w="1398" w:type="dxa"/>
            <w:vAlign w:val="center"/>
          </w:tcPr>
          <w:p>
            <w:pPr>
              <w:jc w:val="center"/>
              <w:rPr>
                <w:rFonts w:ascii="宋体" w:cs="Times New Roman"/>
                <w:color w:val="auto"/>
                <w:sz w:val="24"/>
                <w:szCs w:val="24"/>
              </w:rPr>
            </w:pPr>
            <w:r>
              <w:rPr>
                <w:color w:val="auto"/>
                <w:sz w:val="24"/>
                <w:szCs w:val="24"/>
              </w:rPr>
              <w:t xml:space="preserve"> </w:t>
            </w:r>
            <w:r>
              <w:rPr>
                <w:rFonts w:hint="eastAsia"/>
                <w:color w:val="auto"/>
                <w:sz w:val="24"/>
                <w:szCs w:val="24"/>
              </w:rPr>
              <w:t>027089</w:t>
            </w:r>
          </w:p>
        </w:tc>
        <w:tc>
          <w:tcPr>
            <w:tcW w:w="1308" w:type="dxa"/>
            <w:vAlign w:val="center"/>
          </w:tcPr>
          <w:p>
            <w:pPr>
              <w:jc w:val="center"/>
              <w:rPr>
                <w:rFonts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6" w:hRule="atLeast"/>
          <w:jc w:val="center"/>
        </w:trPr>
        <w:tc>
          <w:tcPr>
            <w:tcW w:w="2063" w:type="dxa"/>
            <w:vAlign w:val="center"/>
          </w:tcPr>
          <w:p>
            <w:pPr>
              <w:jc w:val="center"/>
              <w:rPr>
                <w:rFonts w:cs="Times New Roman"/>
                <w:color w:val="auto"/>
                <w:sz w:val="24"/>
                <w:szCs w:val="24"/>
              </w:rPr>
            </w:pPr>
            <w:r>
              <w:rPr>
                <w:rFonts w:hint="eastAsia" w:cs="宋体"/>
                <w:color w:val="auto"/>
                <w:sz w:val="24"/>
                <w:szCs w:val="24"/>
              </w:rPr>
              <w:t>报告审核人</w:t>
            </w:r>
          </w:p>
        </w:tc>
        <w:tc>
          <w:tcPr>
            <w:tcW w:w="1273" w:type="dxa"/>
            <w:vAlign w:val="center"/>
          </w:tcPr>
          <w:p>
            <w:pPr>
              <w:jc w:val="center"/>
              <w:rPr>
                <w:rFonts w:cs="Times New Roman"/>
                <w:color w:val="auto"/>
                <w:sz w:val="24"/>
                <w:szCs w:val="24"/>
              </w:rPr>
            </w:pPr>
            <w:r>
              <w:rPr>
                <w:rFonts w:hint="eastAsia" w:cs="宋体"/>
                <w:color w:val="auto"/>
                <w:sz w:val="24"/>
                <w:szCs w:val="24"/>
              </w:rPr>
              <w:t>檀廷斌</w:t>
            </w:r>
          </w:p>
        </w:tc>
        <w:tc>
          <w:tcPr>
            <w:tcW w:w="3216" w:type="dxa"/>
            <w:vAlign w:val="center"/>
          </w:tcPr>
          <w:p>
            <w:pPr>
              <w:pStyle w:val="46"/>
              <w:jc w:val="center"/>
              <w:rPr>
                <w:color w:val="auto"/>
                <w:sz w:val="24"/>
                <w:szCs w:val="24"/>
              </w:rPr>
            </w:pPr>
            <w:r>
              <w:rPr>
                <w:color w:val="auto"/>
                <w:kern w:val="2"/>
                <w:sz w:val="24"/>
                <w:szCs w:val="24"/>
              </w:rPr>
              <w:t>1600000000200717</w:t>
            </w:r>
          </w:p>
        </w:tc>
        <w:tc>
          <w:tcPr>
            <w:tcW w:w="1398" w:type="dxa"/>
            <w:vAlign w:val="center"/>
          </w:tcPr>
          <w:p>
            <w:pPr>
              <w:pStyle w:val="46"/>
              <w:jc w:val="center"/>
              <w:rPr>
                <w:color w:val="auto"/>
                <w:sz w:val="24"/>
                <w:szCs w:val="24"/>
              </w:rPr>
            </w:pPr>
            <w:r>
              <w:rPr>
                <w:color w:val="auto"/>
                <w:kern w:val="2"/>
                <w:sz w:val="24"/>
                <w:szCs w:val="24"/>
              </w:rPr>
              <w:t>029648</w:t>
            </w:r>
          </w:p>
        </w:tc>
        <w:tc>
          <w:tcPr>
            <w:tcW w:w="1308" w:type="dxa"/>
            <w:vAlign w:val="center"/>
          </w:tcPr>
          <w:p>
            <w:pPr>
              <w:jc w:val="center"/>
              <w:rPr>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6" w:hRule="atLeast"/>
          <w:jc w:val="center"/>
        </w:trPr>
        <w:tc>
          <w:tcPr>
            <w:tcW w:w="2063" w:type="dxa"/>
            <w:vAlign w:val="center"/>
          </w:tcPr>
          <w:p>
            <w:pPr>
              <w:jc w:val="center"/>
              <w:rPr>
                <w:rFonts w:cs="Times New Roman"/>
                <w:color w:val="auto"/>
                <w:sz w:val="24"/>
                <w:szCs w:val="24"/>
              </w:rPr>
            </w:pPr>
            <w:r>
              <w:rPr>
                <w:rFonts w:hint="eastAsia" w:cs="宋体"/>
                <w:color w:val="auto"/>
                <w:sz w:val="24"/>
                <w:szCs w:val="24"/>
              </w:rPr>
              <w:t>过程控制负责人</w:t>
            </w:r>
          </w:p>
        </w:tc>
        <w:tc>
          <w:tcPr>
            <w:tcW w:w="1273" w:type="dxa"/>
            <w:vAlign w:val="center"/>
          </w:tcPr>
          <w:p>
            <w:pPr>
              <w:jc w:val="center"/>
              <w:rPr>
                <w:rFonts w:cs="Times New Roman"/>
                <w:color w:val="auto"/>
                <w:sz w:val="24"/>
                <w:szCs w:val="24"/>
              </w:rPr>
            </w:pPr>
            <w:r>
              <w:rPr>
                <w:rFonts w:hint="eastAsia" w:cs="宋体"/>
                <w:color w:val="auto"/>
                <w:sz w:val="24"/>
                <w:szCs w:val="24"/>
              </w:rPr>
              <w:t>王海波</w:t>
            </w:r>
          </w:p>
        </w:tc>
        <w:tc>
          <w:tcPr>
            <w:tcW w:w="3216" w:type="dxa"/>
            <w:vAlign w:val="center"/>
          </w:tcPr>
          <w:p>
            <w:pPr>
              <w:jc w:val="center"/>
              <w:rPr>
                <w:color w:val="auto"/>
                <w:sz w:val="24"/>
                <w:szCs w:val="24"/>
              </w:rPr>
            </w:pPr>
            <w:r>
              <w:rPr>
                <w:color w:val="auto"/>
                <w:sz w:val="24"/>
                <w:szCs w:val="24"/>
              </w:rPr>
              <w:t>S011035000110201000579</w:t>
            </w:r>
          </w:p>
        </w:tc>
        <w:tc>
          <w:tcPr>
            <w:tcW w:w="1398" w:type="dxa"/>
            <w:vAlign w:val="center"/>
          </w:tcPr>
          <w:p>
            <w:pPr>
              <w:jc w:val="center"/>
              <w:rPr>
                <w:color w:val="auto"/>
                <w:sz w:val="24"/>
                <w:szCs w:val="24"/>
              </w:rPr>
            </w:pPr>
            <w:r>
              <w:rPr>
                <w:color w:val="auto"/>
                <w:sz w:val="24"/>
                <w:szCs w:val="24"/>
              </w:rPr>
              <w:t>032727</w:t>
            </w:r>
          </w:p>
        </w:tc>
        <w:tc>
          <w:tcPr>
            <w:tcW w:w="1308" w:type="dxa"/>
            <w:vAlign w:val="center"/>
          </w:tcPr>
          <w:p>
            <w:pPr>
              <w:jc w:val="center"/>
              <w:rPr>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7" w:hRule="atLeast"/>
          <w:jc w:val="center"/>
        </w:trPr>
        <w:tc>
          <w:tcPr>
            <w:tcW w:w="2063" w:type="dxa"/>
            <w:vAlign w:val="center"/>
          </w:tcPr>
          <w:p>
            <w:pPr>
              <w:jc w:val="center"/>
              <w:rPr>
                <w:rFonts w:cs="Times New Roman"/>
                <w:color w:val="auto"/>
                <w:sz w:val="24"/>
                <w:szCs w:val="24"/>
              </w:rPr>
            </w:pPr>
            <w:r>
              <w:rPr>
                <w:rFonts w:hint="eastAsia" w:cs="宋体"/>
                <w:color w:val="auto"/>
                <w:sz w:val="24"/>
                <w:szCs w:val="24"/>
              </w:rPr>
              <w:t>技术负责人</w:t>
            </w:r>
          </w:p>
        </w:tc>
        <w:tc>
          <w:tcPr>
            <w:tcW w:w="1273" w:type="dxa"/>
            <w:vAlign w:val="center"/>
          </w:tcPr>
          <w:p>
            <w:pPr>
              <w:jc w:val="center"/>
              <w:rPr>
                <w:rFonts w:cs="Times New Roman"/>
                <w:color w:val="auto"/>
                <w:sz w:val="24"/>
                <w:szCs w:val="24"/>
              </w:rPr>
            </w:pPr>
            <w:r>
              <w:rPr>
                <w:rFonts w:hint="eastAsia" w:cs="宋体"/>
                <w:color w:val="auto"/>
                <w:sz w:val="24"/>
                <w:szCs w:val="24"/>
              </w:rPr>
              <w:t>周红波</w:t>
            </w:r>
          </w:p>
        </w:tc>
        <w:tc>
          <w:tcPr>
            <w:tcW w:w="3216" w:type="dxa"/>
            <w:vAlign w:val="center"/>
          </w:tcPr>
          <w:p>
            <w:pPr>
              <w:jc w:val="center"/>
              <w:rPr>
                <w:color w:val="auto"/>
                <w:sz w:val="24"/>
                <w:szCs w:val="24"/>
              </w:rPr>
            </w:pPr>
            <w:r>
              <w:rPr>
                <w:color w:val="auto"/>
                <w:sz w:val="24"/>
                <w:szCs w:val="24"/>
              </w:rPr>
              <w:t>1700000000100121</w:t>
            </w:r>
          </w:p>
        </w:tc>
        <w:tc>
          <w:tcPr>
            <w:tcW w:w="1398" w:type="dxa"/>
            <w:vAlign w:val="center"/>
          </w:tcPr>
          <w:p>
            <w:pPr>
              <w:jc w:val="center"/>
              <w:rPr>
                <w:color w:val="auto"/>
                <w:sz w:val="24"/>
                <w:szCs w:val="24"/>
              </w:rPr>
            </w:pPr>
            <w:r>
              <w:rPr>
                <w:color w:val="auto"/>
                <w:sz w:val="24"/>
                <w:szCs w:val="24"/>
              </w:rPr>
              <w:t>020702</w:t>
            </w:r>
          </w:p>
        </w:tc>
        <w:tc>
          <w:tcPr>
            <w:tcW w:w="1308" w:type="dxa"/>
            <w:vAlign w:val="center"/>
          </w:tcPr>
          <w:p>
            <w:pPr>
              <w:jc w:val="center"/>
              <w:rPr>
                <w:color w:val="auto"/>
                <w:sz w:val="24"/>
                <w:szCs w:val="24"/>
              </w:rPr>
            </w:pPr>
          </w:p>
        </w:tc>
      </w:tr>
    </w:tbl>
    <w:p>
      <w:pPr>
        <w:jc w:val="center"/>
        <w:rPr>
          <w:rFonts w:ascii="宋体" w:cs="Times New Roman"/>
          <w:b/>
          <w:bCs/>
          <w:color w:val="auto"/>
          <w:sz w:val="24"/>
          <w:szCs w:val="24"/>
        </w:rPr>
      </w:pPr>
    </w:p>
    <w:p>
      <w:pPr>
        <w:autoSpaceDE w:val="0"/>
        <w:autoSpaceDN w:val="0"/>
        <w:adjustRightInd w:val="0"/>
        <w:ind w:firstLine="643"/>
        <w:jc w:val="center"/>
        <w:rPr>
          <w:rFonts w:cs="Times New Roman"/>
          <w:color w:val="auto"/>
        </w:rPr>
      </w:pPr>
      <w:r>
        <w:rPr>
          <w:rFonts w:hint="eastAsia" w:cs="宋体"/>
          <w:b/>
          <w:bCs/>
          <w:color w:val="auto"/>
          <w:sz w:val="32"/>
          <w:szCs w:val="32"/>
        </w:rPr>
        <w:t>参</w:t>
      </w:r>
      <w:r>
        <w:rPr>
          <w:b/>
          <w:bCs/>
          <w:color w:val="auto"/>
          <w:sz w:val="32"/>
          <w:szCs w:val="32"/>
        </w:rPr>
        <w:t xml:space="preserve">  </w:t>
      </w:r>
      <w:r>
        <w:rPr>
          <w:rFonts w:hint="eastAsia" w:cs="宋体"/>
          <w:b/>
          <w:bCs/>
          <w:color w:val="auto"/>
          <w:sz w:val="32"/>
          <w:szCs w:val="32"/>
        </w:rPr>
        <w:t>与</w:t>
      </w:r>
      <w:r>
        <w:rPr>
          <w:b/>
          <w:bCs/>
          <w:color w:val="auto"/>
          <w:sz w:val="32"/>
          <w:szCs w:val="32"/>
        </w:rPr>
        <w:t xml:space="preserve">  </w:t>
      </w:r>
      <w:r>
        <w:rPr>
          <w:rFonts w:hint="eastAsia" w:cs="宋体"/>
          <w:b/>
          <w:bCs/>
          <w:color w:val="auto"/>
          <w:sz w:val="32"/>
          <w:szCs w:val="32"/>
        </w:rPr>
        <w:t>人</w:t>
      </w:r>
      <w:r>
        <w:rPr>
          <w:b/>
          <w:bCs/>
          <w:color w:val="auto"/>
          <w:sz w:val="32"/>
          <w:szCs w:val="32"/>
        </w:rPr>
        <w:t xml:space="preserve">  </w:t>
      </w:r>
      <w:r>
        <w:rPr>
          <w:rFonts w:hint="eastAsia" w:cs="宋体"/>
          <w:b/>
          <w:bCs/>
          <w:color w:val="auto"/>
          <w:sz w:val="32"/>
          <w:szCs w:val="32"/>
        </w:rPr>
        <w:t>员</w:t>
      </w:r>
    </w:p>
    <w:tbl>
      <w:tblPr>
        <w:tblStyle w:val="2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9"/>
        <w:gridCol w:w="3180"/>
        <w:gridCol w:w="2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95" w:type="dxa"/>
            <w:vAlign w:val="center"/>
          </w:tcPr>
          <w:p>
            <w:pPr>
              <w:spacing w:line="600" w:lineRule="exact"/>
              <w:jc w:val="center"/>
              <w:rPr>
                <w:rFonts w:cs="Times New Roman"/>
                <w:color w:val="auto"/>
                <w:sz w:val="28"/>
                <w:szCs w:val="28"/>
              </w:rPr>
            </w:pPr>
            <w:r>
              <w:rPr>
                <w:rFonts w:hint="eastAsia" w:cs="宋体"/>
                <w:color w:val="auto"/>
                <w:sz w:val="28"/>
                <w:szCs w:val="28"/>
              </w:rPr>
              <w:t>姓</w:t>
            </w:r>
            <w:r>
              <w:rPr>
                <w:color w:val="auto"/>
                <w:sz w:val="28"/>
                <w:szCs w:val="28"/>
              </w:rPr>
              <w:t xml:space="preserve">  </w:t>
            </w:r>
            <w:r>
              <w:rPr>
                <w:rFonts w:hint="eastAsia" w:cs="宋体"/>
                <w:color w:val="auto"/>
                <w:sz w:val="28"/>
                <w:szCs w:val="28"/>
              </w:rPr>
              <w:t>名</w:t>
            </w:r>
          </w:p>
        </w:tc>
        <w:tc>
          <w:tcPr>
            <w:tcW w:w="3095" w:type="dxa"/>
            <w:vAlign w:val="center"/>
          </w:tcPr>
          <w:p>
            <w:pPr>
              <w:spacing w:line="600" w:lineRule="exact"/>
              <w:jc w:val="center"/>
              <w:rPr>
                <w:rFonts w:cs="Times New Roman"/>
                <w:color w:val="auto"/>
                <w:sz w:val="28"/>
                <w:szCs w:val="28"/>
              </w:rPr>
            </w:pPr>
            <w:r>
              <w:rPr>
                <w:rFonts w:hint="eastAsia" w:cs="宋体"/>
                <w:color w:val="auto"/>
                <w:sz w:val="28"/>
                <w:szCs w:val="28"/>
              </w:rPr>
              <w:t>专</w:t>
            </w:r>
            <w:r>
              <w:rPr>
                <w:color w:val="auto"/>
                <w:sz w:val="28"/>
                <w:szCs w:val="28"/>
              </w:rPr>
              <w:t xml:space="preserve">  </w:t>
            </w:r>
            <w:r>
              <w:rPr>
                <w:rFonts w:hint="eastAsia" w:cs="宋体"/>
                <w:color w:val="auto"/>
                <w:sz w:val="28"/>
                <w:szCs w:val="28"/>
              </w:rPr>
              <w:t>业</w:t>
            </w:r>
          </w:p>
        </w:tc>
        <w:tc>
          <w:tcPr>
            <w:tcW w:w="2849" w:type="dxa"/>
            <w:vAlign w:val="center"/>
          </w:tcPr>
          <w:p>
            <w:pPr>
              <w:spacing w:line="600" w:lineRule="exact"/>
              <w:jc w:val="center"/>
              <w:rPr>
                <w:rFonts w:cs="Times New Roman"/>
                <w:color w:val="auto"/>
                <w:sz w:val="28"/>
                <w:szCs w:val="28"/>
              </w:rPr>
            </w:pPr>
            <w:r>
              <w:rPr>
                <w:rFonts w:hint="eastAsia" w:cs="宋体"/>
                <w:color w:val="auto"/>
                <w:sz w:val="28"/>
                <w:szCs w:val="28"/>
              </w:rPr>
              <w:t>签</w:t>
            </w:r>
            <w:r>
              <w:rPr>
                <w:color w:val="auto"/>
                <w:sz w:val="28"/>
                <w:szCs w:val="28"/>
              </w:rPr>
              <w:t xml:space="preserve">  </w:t>
            </w:r>
            <w:r>
              <w:rPr>
                <w:rFonts w:hint="eastAsia" w:cs="宋体"/>
                <w:color w:val="auto"/>
                <w:sz w:val="28"/>
                <w:szCs w:val="28"/>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95" w:type="dxa"/>
            <w:vAlign w:val="center"/>
          </w:tcPr>
          <w:p>
            <w:pPr>
              <w:spacing w:line="600" w:lineRule="exact"/>
              <w:jc w:val="center"/>
              <w:rPr>
                <w:rFonts w:hint="eastAsia" w:eastAsia="宋体" w:cs="Times New Roman"/>
                <w:color w:val="auto"/>
                <w:sz w:val="28"/>
                <w:szCs w:val="28"/>
                <w:lang w:eastAsia="zh-CN"/>
              </w:rPr>
            </w:pPr>
            <w:r>
              <w:rPr>
                <w:rFonts w:hint="eastAsia" w:cs="宋体"/>
                <w:color w:val="auto"/>
                <w:sz w:val="28"/>
                <w:szCs w:val="28"/>
                <w:lang w:eastAsia="zh-CN"/>
              </w:rPr>
              <w:t>李家伟</w:t>
            </w:r>
          </w:p>
        </w:tc>
        <w:tc>
          <w:tcPr>
            <w:tcW w:w="3095" w:type="dxa"/>
            <w:vAlign w:val="center"/>
          </w:tcPr>
          <w:p>
            <w:pPr>
              <w:spacing w:line="600" w:lineRule="exact"/>
              <w:jc w:val="center"/>
              <w:rPr>
                <w:rFonts w:cs="Times New Roman"/>
                <w:color w:val="auto"/>
                <w:sz w:val="28"/>
                <w:szCs w:val="28"/>
              </w:rPr>
            </w:pPr>
            <w:r>
              <w:rPr>
                <w:rFonts w:hint="eastAsia" w:cs="宋体"/>
                <w:color w:val="auto"/>
                <w:sz w:val="28"/>
                <w:szCs w:val="28"/>
              </w:rPr>
              <w:t>化学工程与技术</w:t>
            </w:r>
          </w:p>
        </w:tc>
        <w:tc>
          <w:tcPr>
            <w:tcW w:w="2849" w:type="dxa"/>
            <w:vAlign w:val="center"/>
          </w:tcPr>
          <w:p>
            <w:pPr>
              <w:spacing w:line="600" w:lineRule="exact"/>
              <w:jc w:val="center"/>
              <w:rPr>
                <w:rFonts w:cs="Times New Roman"/>
                <w:color w:val="auto"/>
                <w:sz w:val="28"/>
                <w:szCs w:val="28"/>
              </w:rPr>
            </w:pPr>
          </w:p>
        </w:tc>
      </w:tr>
    </w:tbl>
    <w:p>
      <w:pPr>
        <w:jc w:val="center"/>
        <w:rPr>
          <w:rFonts w:ascii="Times New Roman" w:hAnsi="Times New Roman" w:eastAsia="黑体" w:cs="Times New Roman"/>
          <w:color w:val="auto"/>
          <w:sz w:val="36"/>
          <w:szCs w:val="36"/>
        </w:rPr>
      </w:pPr>
    </w:p>
    <w:p>
      <w:pPr>
        <w:jc w:val="center"/>
        <w:rPr>
          <w:rFonts w:ascii="Times New Roman" w:hAnsi="Times New Roman" w:cs="Times New Roman"/>
          <w:b/>
          <w:bCs/>
          <w:color w:val="auto"/>
          <w:sz w:val="32"/>
          <w:szCs w:val="32"/>
        </w:rPr>
      </w:pPr>
    </w:p>
    <w:p>
      <w:pPr>
        <w:pStyle w:val="37"/>
        <w:rPr>
          <w:color w:val="auto"/>
        </w:rPr>
      </w:pPr>
    </w:p>
    <w:p>
      <w:pPr>
        <w:pStyle w:val="38"/>
        <w:rPr>
          <w:rFonts w:ascii="Times New Roman" w:cs="Times New Roman"/>
          <w:color w:val="auto"/>
          <w:sz w:val="32"/>
          <w:szCs w:val="32"/>
        </w:rPr>
      </w:pPr>
    </w:p>
    <w:p>
      <w:pPr>
        <w:jc w:val="center"/>
        <w:rPr>
          <w:rFonts w:ascii="Times New Roman" w:hAnsi="Times New Roman" w:cs="Times New Roman"/>
          <w:b/>
          <w:bCs/>
          <w:color w:val="auto"/>
          <w:sz w:val="32"/>
          <w:szCs w:val="32"/>
        </w:rPr>
      </w:pPr>
      <w:r>
        <w:rPr>
          <w:rFonts w:ascii="Times New Roman" w:hAnsi="Times New Roman" w:cs="Times New Roman"/>
          <w:color w:val="auto"/>
          <w:kern w:val="0"/>
          <w:sz w:val="32"/>
          <w:szCs w:val="32"/>
        </w:rPr>
        <w:br w:type="page"/>
      </w:r>
      <w:r>
        <w:rPr>
          <w:rFonts w:hint="eastAsia" w:ascii="Times New Roman" w:hAnsi="Times New Roman" w:cs="宋体"/>
          <w:b/>
          <w:bCs/>
          <w:color w:val="auto"/>
          <w:sz w:val="32"/>
          <w:szCs w:val="32"/>
        </w:rPr>
        <w:t>前</w:t>
      </w:r>
      <w:r>
        <w:rPr>
          <w:rFonts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中国石化江西景德镇石油分公司鱼丽加油（充电、光伏）站</w:t>
      </w: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实际未建充电设备，</w:t>
      </w:r>
      <w:r>
        <w:rPr>
          <w:rFonts w:hint="eastAsia" w:ascii="Times New Roman" w:hAnsi="Times New Roman" w:cs="宋体"/>
          <w:color w:val="auto"/>
          <w:sz w:val="28"/>
          <w:szCs w:val="28"/>
        </w:rPr>
        <w:t>以下简称：“该项目”）位于</w:t>
      </w:r>
      <w:r>
        <w:rPr>
          <w:rFonts w:hint="eastAsia" w:ascii="Times New Roman" w:hAnsi="Times New Roman" w:cs="宋体"/>
          <w:color w:val="auto"/>
          <w:sz w:val="28"/>
          <w:szCs w:val="28"/>
          <w:lang w:eastAsia="zh-CN"/>
        </w:rPr>
        <w:t>江西省景德镇市昌江区鱼山镇（国道与鱼丽公路交叉口东侧）</w:t>
      </w:r>
      <w:r>
        <w:rPr>
          <w:rFonts w:hint="eastAsia" w:ascii="Times New Roman" w:hAnsi="Times New Roman" w:cs="宋体"/>
          <w:color w:val="auto"/>
          <w:sz w:val="28"/>
          <w:szCs w:val="28"/>
        </w:rPr>
        <w:t>。站内分为加油罩棚区、站房区、储罐区；加油站设</w:t>
      </w:r>
      <w:r>
        <w:rPr>
          <w:rFonts w:hint="eastAsia" w:ascii="Times New Roman" w:hAnsi="Times New Roman" w:cs="Times New Roman"/>
          <w:color w:val="auto"/>
          <w:sz w:val="28"/>
          <w:szCs w:val="28"/>
          <w:lang w:val="en-US" w:eastAsia="zh-CN"/>
        </w:rPr>
        <w:t>3</w:t>
      </w:r>
      <w:r>
        <w:rPr>
          <w:rFonts w:hint="eastAsia" w:ascii="Times New Roman" w:hAnsi="Times New Roman" w:cs="宋体"/>
          <w:color w:val="auto"/>
          <w:sz w:val="28"/>
          <w:szCs w:val="28"/>
        </w:rPr>
        <w:t>个埋地卧式储罐，其中容量为</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0m³</w:t>
      </w:r>
      <w:r>
        <w:rPr>
          <w:rFonts w:hint="eastAsia" w:ascii="Times New Roman" w:hAnsi="Times New Roman" w:cs="宋体"/>
          <w:color w:val="auto"/>
          <w:sz w:val="28"/>
          <w:szCs w:val="28"/>
        </w:rPr>
        <w:t>的</w:t>
      </w:r>
      <w:r>
        <w:rPr>
          <w:rFonts w:ascii="Times New Roman" w:hAnsi="Times New Roman" w:cs="Times New Roman"/>
          <w:color w:val="auto"/>
          <w:sz w:val="28"/>
          <w:szCs w:val="28"/>
        </w:rPr>
        <w:t>0</w:t>
      </w:r>
      <w:r>
        <w:rPr>
          <w:rFonts w:ascii="Times New Roman" w:hAnsi="Times New Roman" w:cs="Times New Roman"/>
          <w:color w:val="auto"/>
          <w:sz w:val="28"/>
          <w:szCs w:val="28"/>
          <w:vertAlign w:val="superscript"/>
        </w:rPr>
        <w:t>#</w:t>
      </w:r>
      <w:r>
        <w:rPr>
          <w:rFonts w:hint="eastAsia" w:ascii="Times New Roman" w:hAnsi="Times New Roman" w:cs="宋体"/>
          <w:color w:val="auto"/>
          <w:sz w:val="28"/>
          <w:szCs w:val="28"/>
        </w:rPr>
        <w:t>柴油储罐</w:t>
      </w:r>
      <w:r>
        <w:rPr>
          <w:rFonts w:hint="eastAsia" w:ascii="Times New Roman" w:hAnsi="Times New Roman" w:cs="Times New Roman"/>
          <w:color w:val="auto"/>
          <w:sz w:val="28"/>
          <w:szCs w:val="28"/>
          <w:lang w:val="en-US" w:eastAsia="zh-CN"/>
        </w:rPr>
        <w:t>1</w:t>
      </w:r>
      <w:r>
        <w:rPr>
          <w:rFonts w:hint="eastAsia" w:ascii="Times New Roman" w:hAnsi="Times New Roman" w:cs="宋体"/>
          <w:color w:val="auto"/>
          <w:sz w:val="28"/>
          <w:szCs w:val="28"/>
        </w:rPr>
        <w:t>个、</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0m³</w:t>
      </w:r>
      <w:r>
        <w:rPr>
          <w:rFonts w:hint="eastAsia" w:ascii="Times New Roman" w:hAnsi="Times New Roman" w:cs="宋体"/>
          <w:color w:val="auto"/>
          <w:sz w:val="28"/>
          <w:szCs w:val="28"/>
        </w:rPr>
        <w:t>的</w:t>
      </w:r>
      <w:r>
        <w:rPr>
          <w:rFonts w:ascii="Times New Roman" w:hAnsi="Times New Roman" w:cs="Times New Roman"/>
          <w:color w:val="auto"/>
          <w:sz w:val="28"/>
          <w:szCs w:val="28"/>
        </w:rPr>
        <w:t>95</w:t>
      </w:r>
      <w:r>
        <w:rPr>
          <w:rFonts w:ascii="Times New Roman" w:hAnsi="Times New Roman" w:cs="Times New Roman"/>
          <w:color w:val="auto"/>
          <w:sz w:val="28"/>
          <w:szCs w:val="28"/>
          <w:vertAlign w:val="superscript"/>
        </w:rPr>
        <w:t>#</w:t>
      </w:r>
      <w:r>
        <w:rPr>
          <w:rFonts w:hint="eastAsia" w:ascii="Times New Roman" w:hAnsi="Times New Roman" w:cs="宋体"/>
          <w:color w:val="auto"/>
          <w:sz w:val="28"/>
          <w:szCs w:val="28"/>
        </w:rPr>
        <w:t>汽油储罐</w:t>
      </w:r>
      <w:r>
        <w:rPr>
          <w:rFonts w:ascii="Times New Roman" w:hAnsi="Times New Roman" w:cs="Times New Roman"/>
          <w:color w:val="auto"/>
          <w:sz w:val="28"/>
          <w:szCs w:val="28"/>
        </w:rPr>
        <w:t>1</w:t>
      </w:r>
      <w:r>
        <w:rPr>
          <w:rFonts w:hint="eastAsia" w:ascii="Times New Roman" w:hAnsi="Times New Roman" w:cs="宋体"/>
          <w:color w:val="auto"/>
          <w:sz w:val="28"/>
          <w:szCs w:val="28"/>
        </w:rPr>
        <w:t>个、</w:t>
      </w:r>
      <w:r>
        <w:rPr>
          <w:rFonts w:hint="eastAsia" w:ascii="Times New Roman" w:hAnsi="Times New Roman" w:cs="宋体"/>
          <w:color w:val="auto"/>
          <w:sz w:val="28"/>
          <w:szCs w:val="28"/>
          <w:lang w:val="en-US" w:eastAsia="zh-CN"/>
        </w:rPr>
        <w:t>50</w:t>
      </w:r>
      <w:r>
        <w:rPr>
          <w:rFonts w:ascii="Times New Roman" w:hAnsi="Times New Roman" w:cs="Times New Roman"/>
          <w:color w:val="auto"/>
          <w:sz w:val="28"/>
          <w:szCs w:val="28"/>
        </w:rPr>
        <w:t>m³</w:t>
      </w:r>
      <w:r>
        <w:rPr>
          <w:rFonts w:hint="eastAsia" w:ascii="Times New Roman" w:hAnsi="Times New Roman" w:cs="宋体"/>
          <w:color w:val="auto"/>
          <w:sz w:val="28"/>
          <w:szCs w:val="28"/>
        </w:rPr>
        <w:t>的</w:t>
      </w:r>
      <w:r>
        <w:rPr>
          <w:rFonts w:ascii="Times New Roman" w:hAnsi="Times New Roman" w:cs="Times New Roman"/>
          <w:color w:val="auto"/>
          <w:sz w:val="28"/>
          <w:szCs w:val="28"/>
        </w:rPr>
        <w:t>92</w:t>
      </w:r>
      <w:r>
        <w:rPr>
          <w:rFonts w:ascii="Times New Roman" w:hAnsi="Times New Roman" w:cs="Times New Roman"/>
          <w:color w:val="auto"/>
          <w:sz w:val="28"/>
          <w:szCs w:val="28"/>
          <w:vertAlign w:val="superscript"/>
        </w:rPr>
        <w:t>#</w:t>
      </w:r>
      <w:r>
        <w:rPr>
          <w:rFonts w:hint="eastAsia" w:ascii="Times New Roman" w:hAnsi="Times New Roman" w:cs="宋体"/>
          <w:color w:val="auto"/>
          <w:sz w:val="28"/>
          <w:szCs w:val="28"/>
        </w:rPr>
        <w:t>汽油</w:t>
      </w:r>
      <w:r>
        <w:rPr>
          <w:rFonts w:hint="eastAsia" w:ascii="Times New Roman" w:hAnsi="Times New Roman" w:cs="Times New Roman"/>
          <w:color w:val="auto"/>
          <w:sz w:val="28"/>
          <w:szCs w:val="28"/>
          <w:lang w:val="en-US" w:eastAsia="zh-CN"/>
        </w:rPr>
        <w:t>1</w:t>
      </w:r>
      <w:r>
        <w:rPr>
          <w:rFonts w:hint="eastAsia" w:ascii="Times New Roman" w:hAnsi="Times New Roman" w:cs="宋体"/>
          <w:color w:val="auto"/>
          <w:sz w:val="28"/>
          <w:szCs w:val="28"/>
        </w:rPr>
        <w:t>个，储罐总容量为</w:t>
      </w:r>
      <w:r>
        <w:rPr>
          <w:rFonts w:hint="eastAsia" w:ascii="Times New Roman" w:hAnsi="Times New Roman" w:cs="Times New Roman"/>
          <w:color w:val="auto"/>
          <w:sz w:val="28"/>
          <w:szCs w:val="28"/>
          <w:lang w:val="en-US" w:eastAsia="zh-CN"/>
        </w:rPr>
        <w:t>130</w:t>
      </w:r>
      <w:r>
        <w:rPr>
          <w:rFonts w:ascii="Times New Roman" w:hAnsi="Times New Roman" w:cs="Times New Roman"/>
          <w:color w:val="auto"/>
          <w:sz w:val="28"/>
          <w:szCs w:val="28"/>
        </w:rPr>
        <w:t>m³</w:t>
      </w:r>
      <w:r>
        <w:rPr>
          <w:rFonts w:hint="eastAsia" w:ascii="Times New Roman" w:hAnsi="Times New Roman" w:cs="宋体"/>
          <w:color w:val="auto"/>
          <w:sz w:val="28"/>
          <w:szCs w:val="28"/>
        </w:rPr>
        <w:t>，按柴油储罐容积折半计入油罐总容积，折算总容量为</w:t>
      </w:r>
      <w:r>
        <w:rPr>
          <w:rFonts w:ascii="Times New Roman" w:hAnsi="Times New Roman" w:cs="Times New Roman"/>
          <w:color w:val="auto"/>
          <w:sz w:val="28"/>
          <w:szCs w:val="28"/>
        </w:rPr>
        <w:t>10</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m³</w:t>
      </w:r>
      <w:r>
        <w:rPr>
          <w:rFonts w:hint="eastAsia" w:ascii="Times New Roman" w:hAnsi="Times New Roman" w:cs="宋体"/>
          <w:color w:val="auto"/>
          <w:sz w:val="28"/>
          <w:szCs w:val="28"/>
        </w:rPr>
        <w:t>，为二级加油站。</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该站涉及的</w:t>
      </w:r>
      <w:r>
        <w:rPr>
          <w:rFonts w:hint="eastAsia" w:ascii="Times New Roman" w:hAnsi="Times New Roman" w:cs="宋体"/>
          <w:color w:val="auto"/>
          <w:sz w:val="28"/>
          <w:szCs w:val="28"/>
        </w:rPr>
        <w:t>汽油、柴油均为危险化学品，其中汽油火险分级为甲</w:t>
      </w:r>
      <w:r>
        <w:rPr>
          <w:rFonts w:ascii="Times New Roman" w:hAnsi="Times New Roman" w:cs="Times New Roman"/>
          <w:color w:val="auto"/>
          <w:sz w:val="28"/>
          <w:szCs w:val="28"/>
          <w:vertAlign w:val="subscript"/>
        </w:rPr>
        <w:t>B</w:t>
      </w:r>
      <w:r>
        <w:rPr>
          <w:rFonts w:hint="eastAsia" w:ascii="Times New Roman" w:hAnsi="Times New Roman" w:cs="宋体"/>
          <w:color w:val="auto"/>
          <w:sz w:val="28"/>
          <w:szCs w:val="28"/>
        </w:rPr>
        <w:t>类，属于我国首批重点监管及特别管控的危险化学品，其蒸汽与空气形成爆炸性气体，遇明火、高热易燃烧爆炸；柴油火险分级为丙</w:t>
      </w:r>
      <w:r>
        <w:rPr>
          <w:rFonts w:ascii="Times New Roman" w:hAnsi="Times New Roman" w:cs="Times New Roman"/>
          <w:color w:val="auto"/>
          <w:sz w:val="28"/>
          <w:szCs w:val="28"/>
          <w:vertAlign w:val="subscript"/>
        </w:rPr>
        <w:t>A</w:t>
      </w:r>
      <w:r>
        <w:rPr>
          <w:rFonts w:hint="eastAsia" w:ascii="Times New Roman" w:hAnsi="Times New Roman" w:cs="宋体"/>
          <w:color w:val="auto"/>
          <w:sz w:val="28"/>
          <w:szCs w:val="28"/>
        </w:rPr>
        <w:t>类，遇明火、高热或与氧化剂接触，有引起燃烧爆炸的危险。</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根据《中华人民共和国安全生产法》（国家主席令【</w:t>
      </w:r>
      <w:r>
        <w:rPr>
          <w:rFonts w:ascii="Times New Roman" w:hAnsi="Times New Roman" w:cs="Times New Roman"/>
          <w:color w:val="auto"/>
          <w:sz w:val="28"/>
          <w:szCs w:val="28"/>
        </w:rPr>
        <w:t>2021</w:t>
      </w:r>
      <w:r>
        <w:rPr>
          <w:rFonts w:hint="eastAsia" w:ascii="Times New Roman" w:hAnsi="Times New Roman" w:cs="宋体"/>
          <w:color w:val="auto"/>
          <w:sz w:val="28"/>
          <w:szCs w:val="28"/>
        </w:rPr>
        <w:t>】第</w:t>
      </w:r>
      <w:r>
        <w:rPr>
          <w:rFonts w:ascii="Times New Roman" w:hAnsi="Times New Roman" w:cs="Times New Roman"/>
          <w:color w:val="auto"/>
          <w:sz w:val="28"/>
          <w:szCs w:val="28"/>
        </w:rPr>
        <w:t>88</w:t>
      </w:r>
      <w:r>
        <w:rPr>
          <w:rFonts w:hint="eastAsia" w:ascii="Times New Roman" w:hAnsi="Times New Roman" w:cs="宋体"/>
          <w:color w:val="auto"/>
          <w:sz w:val="28"/>
          <w:szCs w:val="28"/>
        </w:rPr>
        <w:t>号）、《危险化学品安全管理条例》（国务院令【</w:t>
      </w:r>
      <w:r>
        <w:rPr>
          <w:rFonts w:ascii="Times New Roman" w:hAnsi="Times New Roman" w:cs="Times New Roman"/>
          <w:color w:val="auto"/>
          <w:sz w:val="28"/>
          <w:szCs w:val="28"/>
        </w:rPr>
        <w:t>2011</w:t>
      </w:r>
      <w:r>
        <w:rPr>
          <w:rFonts w:hint="eastAsia" w:ascii="Times New Roman" w:hAnsi="Times New Roman" w:cs="宋体"/>
          <w:color w:val="auto"/>
          <w:sz w:val="28"/>
          <w:szCs w:val="28"/>
        </w:rPr>
        <w:t>】第</w:t>
      </w:r>
      <w:r>
        <w:rPr>
          <w:rFonts w:ascii="Times New Roman" w:hAnsi="Times New Roman" w:cs="Times New Roman"/>
          <w:color w:val="auto"/>
          <w:sz w:val="28"/>
          <w:szCs w:val="28"/>
        </w:rPr>
        <w:t>591</w:t>
      </w:r>
      <w:r>
        <w:rPr>
          <w:rFonts w:hint="eastAsia" w:ascii="Times New Roman" w:hAnsi="Times New Roman" w:cs="宋体"/>
          <w:color w:val="auto"/>
          <w:sz w:val="28"/>
          <w:szCs w:val="28"/>
        </w:rPr>
        <w:t>号，【</w:t>
      </w:r>
      <w:r>
        <w:rPr>
          <w:rFonts w:ascii="Times New Roman" w:hAnsi="Times New Roman" w:cs="Times New Roman"/>
          <w:color w:val="auto"/>
          <w:sz w:val="28"/>
          <w:szCs w:val="28"/>
        </w:rPr>
        <w:t>2013</w:t>
      </w:r>
      <w:r>
        <w:rPr>
          <w:rFonts w:hint="eastAsia" w:ascii="Times New Roman" w:hAnsi="Times New Roman" w:cs="宋体"/>
          <w:color w:val="auto"/>
          <w:sz w:val="28"/>
          <w:szCs w:val="28"/>
        </w:rPr>
        <w:t>】第</w:t>
      </w:r>
      <w:r>
        <w:rPr>
          <w:rFonts w:ascii="Times New Roman" w:hAnsi="Times New Roman" w:cs="Times New Roman"/>
          <w:color w:val="auto"/>
          <w:sz w:val="28"/>
          <w:szCs w:val="28"/>
        </w:rPr>
        <w:t>645</w:t>
      </w:r>
      <w:r>
        <w:rPr>
          <w:rFonts w:hint="eastAsia" w:ascii="Times New Roman" w:hAnsi="Times New Roman" w:cs="宋体"/>
          <w:color w:val="auto"/>
          <w:sz w:val="28"/>
          <w:szCs w:val="28"/>
        </w:rPr>
        <w:t>号修订）、《危险化学品经营许可证管理办法》安监总局令第</w:t>
      </w:r>
      <w:r>
        <w:rPr>
          <w:rFonts w:ascii="Times New Roman" w:hAnsi="Times New Roman" w:cs="Times New Roman"/>
          <w:color w:val="auto"/>
          <w:sz w:val="28"/>
          <w:szCs w:val="28"/>
        </w:rPr>
        <w:t>55</w:t>
      </w:r>
      <w:r>
        <w:rPr>
          <w:rFonts w:hint="eastAsia" w:ascii="Times New Roman" w:hAnsi="Times New Roman" w:cs="宋体"/>
          <w:color w:val="auto"/>
          <w:sz w:val="28"/>
          <w:szCs w:val="28"/>
        </w:rPr>
        <w:t>号（安监总局令第</w:t>
      </w:r>
      <w:r>
        <w:rPr>
          <w:rFonts w:ascii="Times New Roman" w:hAnsi="Times New Roman" w:cs="Times New Roman"/>
          <w:color w:val="auto"/>
          <w:sz w:val="28"/>
          <w:szCs w:val="28"/>
        </w:rPr>
        <w:t>79</w:t>
      </w:r>
      <w:r>
        <w:rPr>
          <w:rFonts w:hint="eastAsia" w:ascii="Times New Roman" w:hAnsi="Times New Roman" w:cs="宋体"/>
          <w:color w:val="auto"/>
          <w:sz w:val="28"/>
          <w:szCs w:val="28"/>
        </w:rPr>
        <w:t>号修正）、《危险化学品建设项目安全监督管理办法》安监总局</w:t>
      </w:r>
      <w:r>
        <w:rPr>
          <w:rFonts w:ascii="Times New Roman" w:hAnsi="Times New Roman" w:cs="Times New Roman"/>
          <w:color w:val="auto"/>
          <w:sz w:val="28"/>
          <w:szCs w:val="28"/>
        </w:rPr>
        <w:t>45</w:t>
      </w:r>
      <w:r>
        <w:rPr>
          <w:rFonts w:hint="eastAsia" w:ascii="Times New Roman" w:hAnsi="Times New Roman" w:cs="宋体"/>
          <w:color w:val="auto"/>
          <w:sz w:val="28"/>
          <w:szCs w:val="28"/>
        </w:rPr>
        <w:t>号令（安监总局令第</w:t>
      </w:r>
      <w:r>
        <w:rPr>
          <w:rFonts w:ascii="Times New Roman" w:hAnsi="Times New Roman" w:cs="Times New Roman"/>
          <w:color w:val="auto"/>
          <w:sz w:val="28"/>
          <w:szCs w:val="28"/>
        </w:rPr>
        <w:t>79</w:t>
      </w:r>
      <w:r>
        <w:rPr>
          <w:rFonts w:hint="eastAsia" w:ascii="Times New Roman" w:hAnsi="Times New Roman" w:cs="宋体"/>
          <w:color w:val="auto"/>
          <w:sz w:val="28"/>
          <w:szCs w:val="28"/>
        </w:rPr>
        <w:t>号修正）的要求，新、改、扩建项目完成后，企业应对项目进行安全验收评价，以判断工程项目在劳动安全卫生方面对国家及行业有关的标准和法规的符合性，并检查相关安全配套设施“三同时”的有效性。</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受中国石化江西景德镇石油分公司的委托，江西赣安安全生产科学技术咨询服务中心承担其</w:t>
      </w:r>
      <w:r>
        <w:rPr>
          <w:rFonts w:hint="eastAsia" w:ascii="Times New Roman" w:hAnsi="Times New Roman" w:cs="宋体"/>
          <w:color w:val="auto"/>
          <w:sz w:val="28"/>
          <w:szCs w:val="28"/>
          <w:lang w:eastAsia="zh-CN"/>
        </w:rPr>
        <w:t>中国石化江西景德镇石油分公司鱼丽加油（充电、光伏）站</w:t>
      </w:r>
      <w:r>
        <w:rPr>
          <w:rFonts w:hint="eastAsia" w:ascii="Times New Roman" w:hAnsi="Times New Roman" w:cs="宋体"/>
          <w:color w:val="auto"/>
          <w:sz w:val="28"/>
          <w:szCs w:val="28"/>
        </w:rPr>
        <w:t>安全设施验收评价工作，于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2</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10</w:t>
      </w:r>
      <w:r>
        <w:rPr>
          <w:rFonts w:hint="eastAsia" w:ascii="Times New Roman" w:hAnsi="Times New Roman" w:cs="宋体"/>
          <w:color w:val="auto"/>
          <w:sz w:val="28"/>
          <w:szCs w:val="28"/>
        </w:rPr>
        <w:t>月组成评价小组，对所提供的资料、文件进行了审核，对现场进行了实地检测，根据《安全评价通则》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宋体"/>
          <w:color w:val="auto"/>
          <w:sz w:val="28"/>
          <w:szCs w:val="28"/>
        </w:rPr>
        <w:t>要求，编写此评价报告。</w:t>
      </w:r>
    </w:p>
    <w:p>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需要说明的是，本安全评价报告和结论是根据评价时加油站的现实系统状况做出。评价小组的工作只对评价时加油站的现实系统状况负责。</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评价小组在工作中得到了中国石化江西景德镇石油分公司的大力支持，在此表示感谢。</w:t>
      </w:r>
    </w:p>
    <w:p>
      <w:pPr>
        <w:spacing w:line="6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ind w:firstLine="560" w:firstLineChars="200"/>
        <w:rPr>
          <w:rFonts w:ascii="Times New Roman" w:hAnsi="Times New Roman" w:cs="Times New Roman"/>
          <w:color w:val="auto"/>
          <w:sz w:val="28"/>
          <w:szCs w:val="28"/>
        </w:rPr>
      </w:pPr>
    </w:p>
    <w:p>
      <w:pPr>
        <w:spacing w:line="500" w:lineRule="exact"/>
        <w:rPr>
          <w:rFonts w:ascii="Times New Roman" w:hAnsi="Times New Roman" w:cs="Times New Roman"/>
          <w:color w:val="auto"/>
          <w:sz w:val="28"/>
          <w:szCs w:val="28"/>
        </w:rPr>
      </w:pPr>
    </w:p>
    <w:p>
      <w:pPr>
        <w:keepNext w:val="0"/>
        <w:keepLines w:val="0"/>
        <w:pageBreakBefore/>
        <w:widowControl/>
        <w:kinsoku/>
        <w:wordWrap/>
        <w:overflowPunct/>
        <w:topLinePunct w:val="0"/>
        <w:autoSpaceDE/>
        <w:autoSpaceDN/>
        <w:bidi w:val="0"/>
        <w:adjustRightInd/>
        <w:snapToGrid/>
        <w:spacing w:line="500" w:lineRule="exact"/>
        <w:jc w:val="center"/>
        <w:textAlignment w:val="auto"/>
        <w:rPr>
          <w:rFonts w:ascii="Times New Roman" w:hAnsi="Times New Roman" w:cs="Times New Roman"/>
          <w:b w:val="0"/>
          <w:bCs w:val="0"/>
          <w:color w:val="auto"/>
          <w:sz w:val="28"/>
          <w:szCs w:val="28"/>
        </w:rPr>
      </w:pPr>
      <w:r>
        <w:rPr>
          <w:rFonts w:hint="eastAsia" w:ascii="Times New Roman" w:hAnsi="Times New Roman" w:cs="宋体"/>
          <w:b w:val="0"/>
          <w:bCs w:val="0"/>
          <w:color w:val="auto"/>
          <w:sz w:val="28"/>
          <w:szCs w:val="28"/>
        </w:rPr>
        <w:t>目</w:t>
      </w:r>
      <w:r>
        <w:rPr>
          <w:rFonts w:ascii="Times New Roman" w:hAnsi="Times New Roman" w:cs="Times New Roman"/>
          <w:b w:val="0"/>
          <w:bCs w:val="0"/>
          <w:color w:val="auto"/>
          <w:sz w:val="28"/>
          <w:szCs w:val="28"/>
        </w:rPr>
        <w:t xml:space="preserve"> </w:t>
      </w:r>
      <w:r>
        <w:rPr>
          <w:rFonts w:hint="eastAsia" w:ascii="Times New Roman" w:hAnsi="Times New Roman" w:cs="宋体"/>
          <w:b w:val="0"/>
          <w:bCs w:val="0"/>
          <w:color w:val="auto"/>
          <w:sz w:val="28"/>
          <w:szCs w:val="28"/>
        </w:rPr>
        <w:t>录</w:t>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TOC \o "1-2" \h \u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_Toc26576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1 评价概述</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_Toc26576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_Toc7199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1.1评价的目的和原则</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_Toc7199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_Toc2623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1.2评价依据</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_Toc2623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_Toc8163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1.3评价范围及内容</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_Toc8163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_Toc31578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1.4评价程序</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_Toc31578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_Toc7805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kern w:val="36"/>
          <w:sz w:val="24"/>
          <w:szCs w:val="24"/>
          <w:lang w:val="en-US" w:eastAsia="zh-CN" w:bidi="ar-SA"/>
        </w:rPr>
        <w:t>2 加油站概况</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_Toc7805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_Toc13423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2.1建设项目基本情况</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_Toc13423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_Toc21689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2.2 加油站概况</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_Toc21689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9</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_Toc27881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2.3 主要设备、建筑物及工艺：</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_Toc27881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_Toc6883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2.4 辅助设施</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_Toc6883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20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_Toc18501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2.5 消防、安全设施</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_Toc18501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22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_Toc2393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kern w:val="36"/>
          <w:sz w:val="24"/>
          <w:szCs w:val="24"/>
        </w:rPr>
        <w:t>3 主要危险、有害因素分析</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_Toc2393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26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_Toc23776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3.1 物料的危险、有害因素分析</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_Toc23776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26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_Toc1718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3.2危险化学品及危险工艺辨识</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_Toc1718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30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_Toc8681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3.3 重大危险源辨识</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_Toc8681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31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_Toc13406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3.4加油站主要危险因素分析</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_Toc13406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33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_Toc1602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3.5经营过程中的危险辨识</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_Toc1602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36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_Toc5241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3.6环境、自然危害因素分析</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_Toc5241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_Toc16155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3.7有害因素分析</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_Toc16155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_Toc23701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3.8危险和有害因素分析总结</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_Toc23701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_Toc5240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3.9爆炸危险区域划分</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_Toc5240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_Toc17033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3.10 典型事故案例</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_Toc17033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_Toc25369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kern w:val="36"/>
          <w:sz w:val="24"/>
          <w:szCs w:val="24"/>
        </w:rPr>
        <w:t>4 评价单元的确定及评价方法选择</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_Toc25369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_Toc15700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4.1 评价单元的确定</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_Toc15700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_Toc1615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4.2 评价方法简介</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_Toc1615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_Toc16906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kern w:val="36"/>
          <w:sz w:val="24"/>
          <w:szCs w:val="24"/>
        </w:rPr>
        <w:t>5 危险性分析评价</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_Toc16906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_Toc12739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5.1 作业条件危险性评价法（LEC）</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_Toc12739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_Toc1293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5.2 危险度评价</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_Toc1293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_Toc16961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kern w:val="36"/>
          <w:sz w:val="24"/>
          <w:szCs w:val="24"/>
        </w:rPr>
        <w:t>6 符合性评价</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_Toc16961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_Toc18977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6.1 站址选择及外部距离</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_Toc18977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_Toc1533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6.2 加油站站内平面布置符合性评价</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_Toc1533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54</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_Toc25122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6.3 加油站工艺装置符合性评价</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_Toc25122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_Toc16373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6.4 加油站消防设施及给排水符合性评价</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_Toc16373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59</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_Toc11107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6.5 加油站电气、报警和紧急切断系统符合性评价</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_Toc11107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60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_Toc1877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6.6 加油站采暖通风、建（构）筑物、绿化符合性评价</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_Toc1877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62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_Toc20987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6.7 法律法规符合性评价</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_Toc20987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63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_Toc27401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6.8 安全管理制度</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_Toc27401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64</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_Toc14222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6.9 安全管理组织</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_Toc14222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65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_Toc17126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6.10 安全设施设计的采纳情况</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_Toc17126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65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_Toc26199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6.11 评价小结</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_Toc26199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_Toc8974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kern w:val="36"/>
          <w:sz w:val="24"/>
          <w:szCs w:val="24"/>
        </w:rPr>
        <w:t>7 现场整改落实情况</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_Toc8974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_Toc20855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7.1隐患整改措施</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_Toc20855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_Toc19323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7.2 整改落实情况</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_Toc19323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_Toc29919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kern w:val="36"/>
          <w:sz w:val="24"/>
          <w:szCs w:val="24"/>
        </w:rPr>
        <w:t>8 对策措施与建议</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_Toc29919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74</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_Toc31956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8.1 已采取的对策措施</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_Toc31956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74</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8"/>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_Toc14660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8.</w:t>
      </w:r>
      <w:r>
        <w:rPr>
          <w:rFonts w:hint="default" w:ascii="Times New Roman" w:hAnsi="Times New Roman" w:eastAsia="宋体" w:cs="Times New Roman"/>
          <w:bCs/>
          <w:color w:val="auto"/>
          <w:sz w:val="24"/>
          <w:szCs w:val="24"/>
          <w:lang w:val="en-US" w:eastAsia="zh-CN"/>
        </w:rPr>
        <w:t>2</w:t>
      </w:r>
      <w:r>
        <w:rPr>
          <w:rFonts w:hint="default" w:ascii="Times New Roman" w:hAnsi="Times New Roman" w:eastAsia="宋体" w:cs="Times New Roman"/>
          <w:bCs/>
          <w:color w:val="auto"/>
          <w:sz w:val="24"/>
          <w:szCs w:val="24"/>
        </w:rPr>
        <w:t xml:space="preserve"> 建议采取的对策措施</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_Toc14660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_Toc9464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color w:val="auto"/>
          <w:sz w:val="24"/>
          <w:szCs w:val="24"/>
        </w:rPr>
        <w:t>9 安全验收评价结论</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_Toc9464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77</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pStyle w:val="15"/>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color w:val="auto"/>
          <w:sz w:val="24"/>
          <w:szCs w:val="24"/>
        </w:rPr>
        <w:instrText xml:space="preserve"> HYPERLINK \l _Toc25857 </w:instrText>
      </w:r>
      <w:r>
        <w:rPr>
          <w:rFonts w:hint="default" w:ascii="Times New Roman" w:hAnsi="Times New Roman" w:eastAsia="宋体" w:cs="Times New Roman"/>
          <w:bCs w:val="0"/>
          <w:color w:val="auto"/>
          <w:sz w:val="24"/>
          <w:szCs w:val="24"/>
        </w:rPr>
        <w:fldChar w:fldCharType="separate"/>
      </w:r>
      <w:r>
        <w:rPr>
          <w:rFonts w:hint="default" w:ascii="Times New Roman" w:hAnsi="Times New Roman" w:eastAsia="宋体" w:cs="Times New Roman"/>
          <w:bCs/>
          <w:color w:val="auto"/>
          <w:sz w:val="24"/>
          <w:szCs w:val="24"/>
        </w:rPr>
        <w:t>10 附件</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_Toc25857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81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bCs w:val="0"/>
          <w:color w:val="auto"/>
          <w:sz w:val="24"/>
          <w:szCs w:val="24"/>
        </w:rPr>
        <w:fldChar w:fldCharType="end"/>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Times New Roman"/>
          <w:color w:val="auto"/>
          <w:sz w:val="28"/>
          <w:szCs w:val="28"/>
        </w:rPr>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hint="default" w:ascii="Times New Roman" w:hAnsi="Times New Roman" w:eastAsia="宋体" w:cs="Times New Roman"/>
          <w:bCs w:val="0"/>
          <w:color w:val="auto"/>
          <w:sz w:val="24"/>
          <w:szCs w:val="24"/>
        </w:rPr>
        <w:fldChar w:fldCharType="end"/>
      </w:r>
      <w:bookmarkStart w:id="206" w:name="_GoBack"/>
      <w:bookmarkEnd w:id="206"/>
    </w:p>
    <w:p>
      <w:pPr>
        <w:jc w:val="center"/>
        <w:rPr>
          <w:rFonts w:hint="eastAsia" w:ascii="Times New Roman" w:hAnsi="Times New Roman" w:cs="宋体"/>
          <w:b/>
          <w:bCs/>
          <w:color w:val="auto"/>
          <w:sz w:val="36"/>
          <w:szCs w:val="36"/>
          <w:lang w:eastAsia="zh-CN"/>
        </w:rPr>
      </w:pPr>
      <w:r>
        <w:rPr>
          <w:rFonts w:hint="eastAsia" w:ascii="Times New Roman" w:hAnsi="Times New Roman" w:cs="宋体"/>
          <w:b/>
          <w:bCs/>
          <w:color w:val="auto"/>
          <w:sz w:val="36"/>
          <w:szCs w:val="36"/>
          <w:lang w:eastAsia="zh-CN"/>
        </w:rPr>
        <w:t>中国石化销售股份有限公司</w:t>
      </w:r>
    </w:p>
    <w:p>
      <w:pPr>
        <w:jc w:val="center"/>
        <w:rPr>
          <w:rFonts w:hint="eastAsia" w:ascii="Times New Roman" w:hAnsi="Times New Roman" w:cs="宋体"/>
          <w:b/>
          <w:bCs/>
          <w:color w:val="auto"/>
          <w:sz w:val="36"/>
          <w:szCs w:val="36"/>
          <w:lang w:eastAsia="zh-CN"/>
        </w:rPr>
      </w:pPr>
      <w:r>
        <w:rPr>
          <w:rFonts w:hint="eastAsia" w:ascii="Times New Roman" w:hAnsi="Times New Roman" w:cs="宋体"/>
          <w:b/>
          <w:bCs/>
          <w:color w:val="auto"/>
          <w:sz w:val="36"/>
          <w:szCs w:val="36"/>
          <w:lang w:eastAsia="zh-CN"/>
        </w:rPr>
        <w:t>江西景德镇石油分公司</w:t>
      </w:r>
    </w:p>
    <w:p>
      <w:pPr>
        <w:jc w:val="center"/>
        <w:rPr>
          <w:rFonts w:hint="eastAsia" w:ascii="Times New Roman" w:hAnsi="Times New Roman" w:cs="宋体"/>
          <w:b/>
          <w:bCs/>
          <w:color w:val="auto"/>
          <w:sz w:val="36"/>
          <w:szCs w:val="36"/>
          <w:lang w:eastAsia="zh-CN"/>
        </w:rPr>
      </w:pPr>
      <w:r>
        <w:rPr>
          <w:rFonts w:hint="eastAsia" w:ascii="Times New Roman" w:hAnsi="Times New Roman" w:cs="宋体"/>
          <w:b/>
          <w:bCs/>
          <w:color w:val="auto"/>
          <w:sz w:val="36"/>
          <w:szCs w:val="36"/>
          <w:lang w:eastAsia="zh-CN"/>
        </w:rPr>
        <w:t>鱼丽加油（充电、光伏）站</w:t>
      </w:r>
    </w:p>
    <w:p>
      <w:pPr>
        <w:jc w:val="center"/>
        <w:rPr>
          <w:rFonts w:ascii="Times New Roman" w:hAnsi="Times New Roman" w:cs="Times New Roman"/>
          <w:b/>
          <w:bCs/>
          <w:color w:val="auto"/>
          <w:sz w:val="36"/>
          <w:szCs w:val="36"/>
        </w:rPr>
      </w:pPr>
      <w:r>
        <w:rPr>
          <w:rFonts w:hint="eastAsia" w:ascii="Times New Roman" w:hAnsi="Times New Roman" w:cs="宋体"/>
          <w:b/>
          <w:bCs/>
          <w:color w:val="auto"/>
          <w:sz w:val="36"/>
          <w:szCs w:val="36"/>
        </w:rPr>
        <w:t>安全设施验收评价报告</w:t>
      </w:r>
    </w:p>
    <w:p>
      <w:pPr>
        <w:pStyle w:val="3"/>
        <w:spacing w:line="580" w:lineRule="exact"/>
        <w:rPr>
          <w:color w:val="auto"/>
        </w:rPr>
      </w:pPr>
      <w:bookmarkStart w:id="0" w:name="_Toc26576"/>
      <w:bookmarkStart w:id="1" w:name="_Toc16878"/>
      <w:r>
        <w:rPr>
          <w:color w:val="auto"/>
        </w:rPr>
        <w:t xml:space="preserve">1 </w:t>
      </w:r>
      <w:r>
        <w:rPr>
          <w:rFonts w:hint="eastAsia" w:cs="宋体"/>
          <w:color w:val="auto"/>
        </w:rPr>
        <w:t>评价概述</w:t>
      </w:r>
      <w:bookmarkEnd w:id="0"/>
      <w:bookmarkEnd w:id="1"/>
    </w:p>
    <w:p>
      <w:pPr>
        <w:pStyle w:val="4"/>
        <w:spacing w:line="580" w:lineRule="exact"/>
        <w:rPr>
          <w:color w:val="auto"/>
        </w:rPr>
      </w:pPr>
      <w:bookmarkStart w:id="2" w:name="_Toc20305"/>
      <w:bookmarkStart w:id="3" w:name="_Toc7199"/>
      <w:bookmarkStart w:id="4" w:name="_Toc343692239"/>
      <w:r>
        <w:rPr>
          <w:color w:val="auto"/>
        </w:rPr>
        <w:t>1.1</w:t>
      </w:r>
      <w:r>
        <w:rPr>
          <w:rFonts w:hint="eastAsia" w:cs="宋体"/>
          <w:color w:val="auto"/>
        </w:rPr>
        <w:t>评价的目的和原则</w:t>
      </w:r>
      <w:bookmarkEnd w:id="2"/>
      <w:bookmarkEnd w:id="3"/>
      <w:bookmarkEnd w:id="4"/>
    </w:p>
    <w:p>
      <w:pPr>
        <w:pStyle w:val="5"/>
        <w:spacing w:line="580" w:lineRule="exact"/>
        <w:rPr>
          <w:color w:val="auto"/>
        </w:rPr>
      </w:pPr>
      <w:bookmarkStart w:id="5" w:name="_Toc22256"/>
      <w:r>
        <w:rPr>
          <w:color w:val="auto"/>
        </w:rPr>
        <w:t>1.1.1</w:t>
      </w:r>
      <w:r>
        <w:rPr>
          <w:rFonts w:hint="eastAsia" w:cs="宋体"/>
          <w:color w:val="auto"/>
        </w:rPr>
        <w:t>评价的目的</w:t>
      </w:r>
      <w:bookmarkEnd w:id="5"/>
      <w:r>
        <w:rPr>
          <w:color w:val="auto"/>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pPr>
        <w:pStyle w:val="5"/>
        <w:rPr>
          <w:rFonts w:cs="Times New Roman"/>
          <w:color w:val="auto"/>
        </w:rPr>
      </w:pPr>
      <w:bookmarkStart w:id="6" w:name="_Toc17968"/>
      <w:r>
        <w:rPr>
          <w:color w:val="auto"/>
        </w:rPr>
        <w:t>1.1.2</w:t>
      </w:r>
      <w:r>
        <w:rPr>
          <w:rFonts w:hint="eastAsia" w:cs="宋体"/>
          <w:color w:val="auto"/>
        </w:rPr>
        <w:t>评价的原则</w:t>
      </w:r>
      <w:bookmarkEnd w:id="6"/>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坚持科学性、公平、公正性、严肃性和针对性的原则，以国家有关法律、法规、规范、标准为依据，采用科学的态度，对安全评价的每一项工作都力求做到客观公正，安全对策措施及建议具有针对性和可操作性。</w:t>
      </w:r>
    </w:p>
    <w:p>
      <w:pPr>
        <w:pStyle w:val="4"/>
        <w:spacing w:line="580" w:lineRule="exact"/>
        <w:rPr>
          <w:color w:val="auto"/>
        </w:rPr>
      </w:pPr>
      <w:bookmarkStart w:id="7" w:name="_Toc26059"/>
      <w:bookmarkStart w:id="8" w:name="_Toc343692240"/>
      <w:bookmarkStart w:id="9" w:name="_Toc2623"/>
      <w:r>
        <w:rPr>
          <w:color w:val="auto"/>
        </w:rPr>
        <w:t>1.2</w:t>
      </w:r>
      <w:r>
        <w:rPr>
          <w:rFonts w:hint="eastAsia" w:cs="宋体"/>
          <w:color w:val="auto"/>
        </w:rPr>
        <w:t>评价依据</w:t>
      </w:r>
      <w:bookmarkEnd w:id="7"/>
      <w:bookmarkEnd w:id="8"/>
      <w:bookmarkEnd w:id="9"/>
    </w:p>
    <w:p>
      <w:pPr>
        <w:pStyle w:val="5"/>
        <w:spacing w:line="580" w:lineRule="exact"/>
        <w:rPr>
          <w:rFonts w:cs="Times New Roman"/>
          <w:color w:val="auto"/>
        </w:rPr>
      </w:pPr>
      <w:bookmarkStart w:id="10" w:name="_Toc343692244"/>
      <w:bookmarkStart w:id="11" w:name="_Toc32728"/>
      <w:bookmarkStart w:id="12" w:name="_Toc14502"/>
      <w:r>
        <w:rPr>
          <w:color w:val="auto"/>
        </w:rPr>
        <w:t>1.2.1</w:t>
      </w:r>
      <w:r>
        <w:rPr>
          <w:rFonts w:hint="eastAsia" w:cs="宋体"/>
          <w:color w:val="auto"/>
        </w:rPr>
        <w:t>法律、法规、规定和规范性技术文件</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《中华人民共和国安全生产法》</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国家主席令〔</w:t>
      </w:r>
      <w:r>
        <w:rPr>
          <w:rFonts w:ascii="Times New Roman" w:hAnsi="Times New Roman" w:cs="Times New Roman"/>
          <w:color w:val="auto"/>
          <w:sz w:val="28"/>
          <w:szCs w:val="28"/>
        </w:rPr>
        <w:t>2021</w:t>
      </w:r>
      <w:r>
        <w:rPr>
          <w:rFonts w:hint="eastAsia" w:ascii="Times New Roman" w:hAnsi="Times New Roman" w:cs="宋体"/>
          <w:color w:val="auto"/>
          <w:sz w:val="28"/>
          <w:szCs w:val="28"/>
        </w:rPr>
        <w:t>〕第</w:t>
      </w:r>
      <w:r>
        <w:rPr>
          <w:rFonts w:ascii="Times New Roman" w:hAnsi="Times New Roman" w:cs="Times New Roman"/>
          <w:color w:val="auto"/>
          <w:sz w:val="28"/>
          <w:szCs w:val="28"/>
        </w:rPr>
        <w:t>88</w:t>
      </w:r>
      <w:r>
        <w:rPr>
          <w:rFonts w:hint="eastAsia" w:ascii="Times New Roman" w:hAnsi="Times New Roman" w:cs="宋体"/>
          <w:color w:val="auto"/>
          <w:sz w:val="28"/>
          <w:szCs w:val="28"/>
        </w:rPr>
        <w:t>号，自</w:t>
      </w:r>
      <w:r>
        <w:rPr>
          <w:rFonts w:ascii="Times New Roman" w:hAnsi="Times New Roman" w:cs="Times New Roman"/>
          <w:color w:val="auto"/>
          <w:sz w:val="28"/>
          <w:szCs w:val="28"/>
        </w:rPr>
        <w:t>2021</w:t>
      </w:r>
      <w:r>
        <w:rPr>
          <w:rFonts w:hint="eastAsia" w:ascii="Times New Roman" w:hAnsi="Times New Roman" w:cs="宋体"/>
          <w:color w:val="auto"/>
          <w:sz w:val="28"/>
          <w:szCs w:val="28"/>
        </w:rPr>
        <w:t>年</w:t>
      </w:r>
      <w:r>
        <w:rPr>
          <w:rFonts w:ascii="Times New Roman" w:hAnsi="Times New Roman" w:cs="Times New Roman"/>
          <w:color w:val="auto"/>
          <w:sz w:val="28"/>
          <w:szCs w:val="28"/>
        </w:rPr>
        <w:t>9</w:t>
      </w:r>
      <w:r>
        <w:rPr>
          <w:rFonts w:hint="eastAsia" w:ascii="Times New Roman" w:hAnsi="Times New Roman" w:cs="宋体"/>
          <w:color w:val="auto"/>
          <w:sz w:val="28"/>
          <w:szCs w:val="28"/>
        </w:rPr>
        <w:t>月</w:t>
      </w:r>
      <w:r>
        <w:rPr>
          <w:rFonts w:ascii="Times New Roman" w:hAnsi="Times New Roman" w:cs="Times New Roman"/>
          <w:color w:val="auto"/>
          <w:sz w:val="28"/>
          <w:szCs w:val="28"/>
        </w:rPr>
        <w:t>1</w:t>
      </w:r>
      <w:r>
        <w:rPr>
          <w:rFonts w:hint="eastAsia" w:ascii="Times New Roman" w:hAnsi="Times New Roman" w:cs="宋体"/>
          <w:color w:val="auto"/>
          <w:sz w:val="28"/>
          <w:szCs w:val="28"/>
        </w:rPr>
        <w:t>日起实施</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《中华人民共和国消防法》国家主席令〔</w:t>
      </w:r>
      <w:r>
        <w:rPr>
          <w:rFonts w:ascii="Times New Roman" w:hAnsi="Times New Roman" w:cs="Times New Roman"/>
          <w:color w:val="auto"/>
          <w:sz w:val="28"/>
          <w:szCs w:val="28"/>
        </w:rPr>
        <w:t>2008</w:t>
      </w:r>
      <w:r>
        <w:rPr>
          <w:rFonts w:hint="eastAsia" w:ascii="Times New Roman" w:hAnsi="Times New Roman" w:cs="宋体"/>
          <w:color w:val="auto"/>
          <w:sz w:val="28"/>
          <w:szCs w:val="28"/>
        </w:rPr>
        <w:t>〕第</w:t>
      </w:r>
      <w:r>
        <w:rPr>
          <w:rFonts w:ascii="Times New Roman" w:hAnsi="Times New Roman" w:cs="Times New Roman"/>
          <w:color w:val="auto"/>
          <w:sz w:val="28"/>
          <w:szCs w:val="28"/>
        </w:rPr>
        <w:t>6</w:t>
      </w:r>
      <w:r>
        <w:rPr>
          <w:rFonts w:hint="eastAsia" w:ascii="Times New Roman" w:hAnsi="Times New Roman" w:cs="宋体"/>
          <w:color w:val="auto"/>
          <w:sz w:val="28"/>
          <w:szCs w:val="28"/>
        </w:rPr>
        <w:t>号（</w:t>
      </w:r>
      <w:r>
        <w:rPr>
          <w:rFonts w:ascii="Times New Roman" w:hAnsi="Times New Roman" w:cs="Times New Roman"/>
          <w:color w:val="auto"/>
          <w:sz w:val="28"/>
          <w:szCs w:val="28"/>
        </w:rPr>
        <w:t>2021</w:t>
      </w:r>
      <w:r>
        <w:rPr>
          <w:rFonts w:hint="eastAsia" w:ascii="Times New Roman" w:hAnsi="Times New Roman" w:cs="宋体"/>
          <w:color w:val="auto"/>
          <w:sz w:val="28"/>
          <w:szCs w:val="28"/>
        </w:rPr>
        <w:t>年国家主席令第</w:t>
      </w:r>
      <w:r>
        <w:rPr>
          <w:rFonts w:ascii="Times New Roman" w:hAnsi="Times New Roman" w:cs="Times New Roman"/>
          <w:color w:val="auto"/>
          <w:sz w:val="28"/>
          <w:szCs w:val="28"/>
        </w:rPr>
        <w:t>81</w:t>
      </w:r>
      <w:r>
        <w:rPr>
          <w:rFonts w:hint="eastAsia" w:ascii="Times New Roman" w:hAnsi="Times New Roman" w:cs="宋体"/>
          <w:color w:val="auto"/>
          <w:sz w:val="28"/>
          <w:szCs w:val="28"/>
        </w:rPr>
        <w:t>号修改，自</w:t>
      </w:r>
      <w:r>
        <w:rPr>
          <w:rFonts w:ascii="Times New Roman" w:hAnsi="Times New Roman" w:cs="Times New Roman"/>
          <w:color w:val="auto"/>
          <w:sz w:val="28"/>
          <w:szCs w:val="28"/>
        </w:rPr>
        <w:t>2021</w:t>
      </w:r>
      <w:r>
        <w:rPr>
          <w:rFonts w:hint="eastAsia" w:ascii="Times New Roman" w:hAnsi="Times New Roman" w:cs="宋体"/>
          <w:color w:val="auto"/>
          <w:sz w:val="28"/>
          <w:szCs w:val="28"/>
        </w:rPr>
        <w:t>年</w:t>
      </w:r>
      <w:r>
        <w:rPr>
          <w:rFonts w:ascii="Times New Roman" w:hAnsi="Times New Roman" w:cs="Times New Roman"/>
          <w:color w:val="auto"/>
          <w:sz w:val="28"/>
          <w:szCs w:val="28"/>
        </w:rPr>
        <w:t>4</w:t>
      </w:r>
      <w:r>
        <w:rPr>
          <w:rFonts w:hint="eastAsia" w:ascii="Times New Roman" w:hAnsi="Times New Roman" w:cs="宋体"/>
          <w:color w:val="auto"/>
          <w:sz w:val="28"/>
          <w:szCs w:val="28"/>
        </w:rPr>
        <w:t>月</w:t>
      </w:r>
      <w:r>
        <w:rPr>
          <w:rFonts w:ascii="Times New Roman" w:hAnsi="Times New Roman" w:cs="Times New Roman"/>
          <w:color w:val="auto"/>
          <w:sz w:val="28"/>
          <w:szCs w:val="28"/>
        </w:rPr>
        <w:t>29</w:t>
      </w:r>
      <w:r>
        <w:rPr>
          <w:rFonts w:hint="eastAsia" w:ascii="Times New Roman" w:hAnsi="Times New Roman" w:cs="宋体"/>
          <w:color w:val="auto"/>
          <w:sz w:val="28"/>
          <w:szCs w:val="28"/>
        </w:rPr>
        <w:t>日起实施）</w:t>
      </w:r>
    </w:p>
    <w:p>
      <w:pPr>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《中华人民共和国环境保护法》</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国家主席令【</w:t>
      </w:r>
      <w:r>
        <w:rPr>
          <w:rFonts w:ascii="Times New Roman" w:hAnsi="Times New Roman" w:cs="Times New Roman"/>
          <w:color w:val="auto"/>
          <w:sz w:val="28"/>
          <w:szCs w:val="28"/>
        </w:rPr>
        <w:t>2014</w:t>
      </w:r>
      <w:r>
        <w:rPr>
          <w:rFonts w:hint="eastAsia" w:ascii="Times New Roman" w:hAnsi="Times New Roman" w:cs="宋体"/>
          <w:color w:val="auto"/>
          <w:sz w:val="28"/>
          <w:szCs w:val="28"/>
        </w:rPr>
        <w:t>】第</w:t>
      </w:r>
      <w:r>
        <w:rPr>
          <w:rFonts w:ascii="Times New Roman" w:hAnsi="Times New Roman" w:cs="Times New Roman"/>
          <w:color w:val="auto"/>
          <w:sz w:val="28"/>
          <w:szCs w:val="28"/>
        </w:rPr>
        <w:t>9</w:t>
      </w:r>
      <w:r>
        <w:rPr>
          <w:rFonts w:hint="eastAsia" w:ascii="Times New Roman" w:hAnsi="Times New Roman" w:cs="宋体"/>
          <w:color w:val="auto"/>
          <w:sz w:val="28"/>
          <w:szCs w:val="28"/>
        </w:rPr>
        <w:t>号</w:t>
      </w:r>
    </w:p>
    <w:p>
      <w:pPr>
        <w:pStyle w:val="6"/>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《中华人民共和国职业病防治法》国家主席令【</w:t>
      </w:r>
      <w:r>
        <w:rPr>
          <w:rFonts w:ascii="Times New Roman" w:hAnsi="Times New Roman" w:cs="Times New Roman"/>
          <w:color w:val="auto"/>
          <w:sz w:val="28"/>
          <w:szCs w:val="28"/>
        </w:rPr>
        <w:t>2011</w:t>
      </w:r>
      <w:r>
        <w:rPr>
          <w:rFonts w:hint="eastAsia" w:ascii="Times New Roman" w:hAnsi="Times New Roman" w:cs="宋体"/>
          <w:color w:val="auto"/>
          <w:sz w:val="28"/>
          <w:szCs w:val="28"/>
        </w:rPr>
        <w:t>】第</w:t>
      </w:r>
      <w:r>
        <w:rPr>
          <w:rFonts w:ascii="Times New Roman" w:hAnsi="Times New Roman" w:cs="Times New Roman"/>
          <w:color w:val="auto"/>
          <w:sz w:val="28"/>
          <w:szCs w:val="28"/>
        </w:rPr>
        <w:t>52</w:t>
      </w:r>
      <w:r>
        <w:rPr>
          <w:rFonts w:hint="eastAsia" w:ascii="Times New Roman" w:hAnsi="Times New Roman" w:cs="宋体"/>
          <w:color w:val="auto"/>
          <w:sz w:val="28"/>
          <w:szCs w:val="28"/>
        </w:rPr>
        <w:t>号（</w:t>
      </w:r>
      <w:r>
        <w:rPr>
          <w:rFonts w:ascii="Times New Roman" w:hAnsi="Times New Roman" w:cs="Times New Roman"/>
          <w:color w:val="auto"/>
          <w:sz w:val="28"/>
          <w:szCs w:val="28"/>
        </w:rPr>
        <w:t>2018</w:t>
      </w:r>
      <w:r>
        <w:rPr>
          <w:rFonts w:hint="eastAsia" w:ascii="Times New Roman" w:hAnsi="Times New Roman" w:cs="宋体"/>
          <w:color w:val="auto"/>
          <w:sz w:val="28"/>
          <w:szCs w:val="28"/>
        </w:rPr>
        <w:t>年第</w:t>
      </w:r>
      <w:r>
        <w:rPr>
          <w:rFonts w:ascii="Times New Roman" w:hAnsi="Times New Roman" w:cs="Times New Roman"/>
          <w:color w:val="auto"/>
          <w:sz w:val="28"/>
          <w:szCs w:val="28"/>
        </w:rPr>
        <w:t>24</w:t>
      </w:r>
      <w:r>
        <w:rPr>
          <w:rFonts w:hint="eastAsia" w:ascii="Times New Roman" w:hAnsi="Times New Roman" w:cs="宋体"/>
          <w:color w:val="auto"/>
          <w:sz w:val="28"/>
          <w:szCs w:val="28"/>
        </w:rPr>
        <w:t>号修</w:t>
      </w:r>
      <w:r>
        <w:rPr>
          <w:rFonts w:hint="eastAsia" w:ascii="Times New Roman" w:hAnsi="Times New Roman" w:cs="宋体"/>
          <w:color w:val="auto"/>
          <w:sz w:val="28"/>
          <w:szCs w:val="28"/>
          <w:lang w:val="en-US" w:eastAsia="zh-CN"/>
        </w:rPr>
        <w:t>正</w:t>
      </w:r>
      <w:r>
        <w:rPr>
          <w:rFonts w:hint="eastAsia" w:ascii="Times New Roman" w:hAnsi="Times New Roman" w:cs="宋体"/>
          <w:color w:val="auto"/>
          <w:sz w:val="28"/>
          <w:szCs w:val="28"/>
        </w:rPr>
        <w:t>）</w:t>
      </w:r>
    </w:p>
    <w:p>
      <w:pPr>
        <w:spacing w:line="600" w:lineRule="exact"/>
        <w:ind w:left="559" w:leftChars="266"/>
        <w:rPr>
          <w:rFonts w:ascii="Times New Roman" w:hAnsi="Times New Roman" w:cs="Times New Roman"/>
          <w:color w:val="auto"/>
          <w:sz w:val="28"/>
          <w:szCs w:val="28"/>
        </w:rPr>
      </w:pPr>
      <w:r>
        <w:rPr>
          <w:rFonts w:hint="eastAsia" w:ascii="Times New Roman" w:hAnsi="Times New Roman" w:cs="宋体"/>
          <w:color w:val="auto"/>
          <w:sz w:val="28"/>
          <w:szCs w:val="28"/>
        </w:rPr>
        <w:t>《国务院关于印发水污染防治行动计划的通知》（国发〔</w:t>
      </w:r>
      <w:r>
        <w:rPr>
          <w:rFonts w:ascii="Times New Roman" w:hAnsi="Times New Roman" w:cs="Times New Roman"/>
          <w:color w:val="auto"/>
          <w:sz w:val="28"/>
          <w:szCs w:val="28"/>
        </w:rPr>
        <w:t>2015</w:t>
      </w:r>
      <w:r>
        <w:rPr>
          <w:rFonts w:hint="eastAsia" w:ascii="Times New Roman" w:hAnsi="Times New Roman" w:cs="宋体"/>
          <w:color w:val="auto"/>
          <w:sz w:val="28"/>
          <w:szCs w:val="28"/>
        </w:rPr>
        <w:t>〕</w:t>
      </w:r>
      <w:r>
        <w:rPr>
          <w:rFonts w:ascii="Times New Roman" w:hAnsi="Times New Roman" w:cs="Times New Roman"/>
          <w:color w:val="auto"/>
          <w:sz w:val="28"/>
          <w:szCs w:val="28"/>
        </w:rPr>
        <w:t>17</w:t>
      </w:r>
      <w:r>
        <w:rPr>
          <w:rFonts w:hint="eastAsia" w:ascii="Times New Roman" w:hAnsi="Times New Roman" w:cs="宋体"/>
          <w:color w:val="auto"/>
          <w:sz w:val="28"/>
          <w:szCs w:val="28"/>
        </w:rPr>
        <w:t>号）</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《生产安全事故应急条例》</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国务院令〔</w:t>
      </w:r>
      <w:r>
        <w:rPr>
          <w:rFonts w:ascii="Times New Roman" w:hAnsi="Times New Roman" w:cs="Times New Roman"/>
          <w:color w:val="auto"/>
          <w:sz w:val="28"/>
          <w:szCs w:val="28"/>
        </w:rPr>
        <w:t>2019</w:t>
      </w:r>
      <w:r>
        <w:rPr>
          <w:rFonts w:hint="eastAsia" w:ascii="Times New Roman" w:hAnsi="Times New Roman" w:cs="宋体"/>
          <w:color w:val="auto"/>
          <w:sz w:val="28"/>
          <w:szCs w:val="28"/>
        </w:rPr>
        <w:t>〕第</w:t>
      </w:r>
      <w:r>
        <w:rPr>
          <w:rFonts w:ascii="Times New Roman" w:hAnsi="Times New Roman" w:cs="Times New Roman"/>
          <w:color w:val="auto"/>
          <w:sz w:val="28"/>
          <w:szCs w:val="28"/>
          <w:lang w:val="zh-CN"/>
        </w:rPr>
        <w:t>708</w:t>
      </w:r>
      <w:r>
        <w:rPr>
          <w:rFonts w:hint="eastAsia" w:ascii="Times New Roman" w:hAnsi="Times New Roman" w:cs="宋体"/>
          <w:color w:val="auto"/>
          <w:sz w:val="28"/>
          <w:szCs w:val="28"/>
        </w:rPr>
        <w:t>号</w:t>
      </w:r>
      <w:r>
        <w:rPr>
          <w:rFonts w:ascii="Times New Roman" w:hAnsi="Times New Roman" w:cs="Times New Roman"/>
          <w:color w:val="auto"/>
          <w:sz w:val="28"/>
          <w:szCs w:val="28"/>
        </w:rPr>
        <w:t>2018</w:t>
      </w:r>
      <w:r>
        <w:rPr>
          <w:rFonts w:hint="eastAsia" w:ascii="Times New Roman" w:hAnsi="Times New Roman" w:cs="宋体"/>
          <w:color w:val="auto"/>
          <w:sz w:val="28"/>
          <w:szCs w:val="28"/>
        </w:rPr>
        <w:t>年</w:t>
      </w:r>
      <w:r>
        <w:rPr>
          <w:rFonts w:ascii="Times New Roman" w:hAnsi="Times New Roman" w:cs="Times New Roman"/>
          <w:color w:val="auto"/>
          <w:sz w:val="28"/>
          <w:szCs w:val="28"/>
        </w:rPr>
        <w:t>12</w:t>
      </w:r>
      <w:r>
        <w:rPr>
          <w:rFonts w:hint="eastAsia" w:ascii="Times New Roman" w:hAnsi="Times New Roman" w:cs="宋体"/>
          <w:color w:val="auto"/>
          <w:sz w:val="28"/>
          <w:szCs w:val="28"/>
        </w:rPr>
        <w:t>月</w:t>
      </w:r>
      <w:r>
        <w:rPr>
          <w:rFonts w:ascii="Times New Roman" w:hAnsi="Times New Roman" w:cs="Times New Roman"/>
          <w:color w:val="auto"/>
          <w:sz w:val="28"/>
          <w:szCs w:val="28"/>
        </w:rPr>
        <w:t>5</w:t>
      </w:r>
      <w:r>
        <w:rPr>
          <w:rFonts w:hint="eastAsia" w:ascii="Times New Roman" w:hAnsi="Times New Roman" w:cs="宋体"/>
          <w:color w:val="auto"/>
          <w:sz w:val="28"/>
          <w:szCs w:val="28"/>
        </w:rPr>
        <w:t>日国务院第</w:t>
      </w:r>
      <w:r>
        <w:rPr>
          <w:rFonts w:ascii="Times New Roman" w:hAnsi="Times New Roman" w:cs="Times New Roman"/>
          <w:color w:val="auto"/>
          <w:sz w:val="28"/>
          <w:szCs w:val="28"/>
        </w:rPr>
        <w:t>33</w:t>
      </w:r>
      <w:r>
        <w:rPr>
          <w:rFonts w:hint="eastAsia" w:ascii="Times New Roman" w:hAnsi="Times New Roman" w:cs="宋体"/>
          <w:color w:val="auto"/>
          <w:sz w:val="28"/>
          <w:szCs w:val="28"/>
        </w:rPr>
        <w:t>次常务会议通过，</w:t>
      </w:r>
      <w:r>
        <w:rPr>
          <w:rFonts w:ascii="Times New Roman" w:hAnsi="Times New Roman" w:cs="Times New Roman"/>
          <w:color w:val="auto"/>
          <w:sz w:val="28"/>
          <w:szCs w:val="28"/>
        </w:rPr>
        <w:t>2019</w:t>
      </w:r>
      <w:r>
        <w:rPr>
          <w:rFonts w:hint="eastAsia" w:ascii="Times New Roman" w:hAnsi="Times New Roman" w:cs="宋体"/>
          <w:color w:val="auto"/>
          <w:sz w:val="28"/>
          <w:szCs w:val="28"/>
        </w:rPr>
        <w:t>年</w:t>
      </w:r>
      <w:r>
        <w:rPr>
          <w:rFonts w:ascii="Times New Roman" w:hAnsi="Times New Roman" w:cs="Times New Roman"/>
          <w:color w:val="auto"/>
          <w:sz w:val="28"/>
          <w:szCs w:val="28"/>
        </w:rPr>
        <w:t>4</w:t>
      </w:r>
      <w:r>
        <w:rPr>
          <w:rFonts w:hint="eastAsia" w:ascii="Times New Roman" w:hAnsi="Times New Roman" w:cs="宋体"/>
          <w:color w:val="auto"/>
          <w:sz w:val="28"/>
          <w:szCs w:val="28"/>
        </w:rPr>
        <w:t>日</w:t>
      </w:r>
      <w:r>
        <w:rPr>
          <w:rFonts w:ascii="Times New Roman" w:hAnsi="Times New Roman" w:cs="Times New Roman"/>
          <w:color w:val="auto"/>
          <w:sz w:val="28"/>
          <w:szCs w:val="28"/>
        </w:rPr>
        <w:t>1</w:t>
      </w:r>
      <w:r>
        <w:rPr>
          <w:rFonts w:hint="eastAsia" w:ascii="Times New Roman" w:hAnsi="Times New Roman" w:cs="宋体"/>
          <w:color w:val="auto"/>
          <w:sz w:val="28"/>
          <w:szCs w:val="28"/>
        </w:rPr>
        <w:t>日起施行</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《危险化学品安全管理条例》国务院令〔</w:t>
      </w:r>
      <w:r>
        <w:rPr>
          <w:rFonts w:ascii="Times New Roman" w:hAnsi="Times New Roman" w:cs="Times New Roman"/>
          <w:color w:val="auto"/>
          <w:sz w:val="28"/>
          <w:szCs w:val="28"/>
        </w:rPr>
        <w:t>2013</w:t>
      </w:r>
      <w:r>
        <w:rPr>
          <w:rFonts w:hint="eastAsia" w:ascii="Times New Roman" w:hAnsi="Times New Roman" w:cs="宋体"/>
          <w:color w:val="auto"/>
          <w:sz w:val="28"/>
          <w:szCs w:val="28"/>
        </w:rPr>
        <w:t>〕第</w:t>
      </w:r>
      <w:r>
        <w:rPr>
          <w:rFonts w:ascii="Times New Roman" w:hAnsi="Times New Roman" w:cs="Times New Roman"/>
          <w:color w:val="auto"/>
          <w:sz w:val="28"/>
          <w:szCs w:val="28"/>
        </w:rPr>
        <w:t>591</w:t>
      </w:r>
      <w:r>
        <w:rPr>
          <w:rFonts w:hint="eastAsia" w:ascii="Times New Roman" w:hAnsi="Times New Roman" w:cs="宋体"/>
          <w:color w:val="auto"/>
          <w:sz w:val="28"/>
          <w:szCs w:val="28"/>
        </w:rPr>
        <w:t>号（</w:t>
      </w:r>
      <w:r>
        <w:rPr>
          <w:rFonts w:ascii="Times New Roman" w:hAnsi="Times New Roman" w:cs="Times New Roman"/>
          <w:color w:val="auto"/>
          <w:sz w:val="28"/>
          <w:szCs w:val="28"/>
        </w:rPr>
        <w:t>645</w:t>
      </w:r>
      <w:r>
        <w:rPr>
          <w:rFonts w:hint="eastAsia" w:ascii="Times New Roman" w:hAnsi="Times New Roman" w:cs="宋体"/>
          <w:color w:val="auto"/>
          <w:sz w:val="28"/>
          <w:szCs w:val="28"/>
        </w:rPr>
        <w:t>号修改）</w:t>
      </w:r>
    </w:p>
    <w:p>
      <w:pPr>
        <w:spacing w:line="600" w:lineRule="exact"/>
        <w:ind w:firstLine="560" w:firstLineChars="200"/>
        <w:rPr>
          <w:rFonts w:hint="default" w:ascii="Times New Roman" w:hAnsi="Times New Roman" w:eastAsia="宋体" w:cs="宋体"/>
          <w:color w:val="auto"/>
          <w:sz w:val="28"/>
          <w:szCs w:val="28"/>
          <w:lang w:val="en-US" w:eastAsia="zh-CN"/>
        </w:rPr>
      </w:pP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工伤保险条例</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 xml:space="preserve">                       国务院令第586号</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《劳动保障监察条例》</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国务院令〔</w:t>
      </w:r>
      <w:r>
        <w:rPr>
          <w:rFonts w:ascii="Times New Roman" w:hAnsi="Times New Roman" w:cs="Times New Roman"/>
          <w:color w:val="auto"/>
          <w:sz w:val="28"/>
          <w:szCs w:val="28"/>
        </w:rPr>
        <w:t>2004</w:t>
      </w:r>
      <w:r>
        <w:rPr>
          <w:rFonts w:hint="eastAsia" w:ascii="Times New Roman" w:hAnsi="Times New Roman" w:cs="宋体"/>
          <w:color w:val="auto"/>
          <w:sz w:val="28"/>
          <w:szCs w:val="28"/>
        </w:rPr>
        <w:t>〕第</w:t>
      </w:r>
      <w:r>
        <w:rPr>
          <w:rFonts w:ascii="Times New Roman" w:hAnsi="Times New Roman" w:cs="Times New Roman"/>
          <w:color w:val="auto"/>
          <w:sz w:val="28"/>
          <w:szCs w:val="28"/>
        </w:rPr>
        <w:t>423</w:t>
      </w:r>
      <w:r>
        <w:rPr>
          <w:rFonts w:hint="eastAsia" w:ascii="Times New Roman" w:hAnsi="Times New Roman" w:cs="宋体"/>
          <w:color w:val="auto"/>
          <w:sz w:val="28"/>
          <w:szCs w:val="28"/>
        </w:rPr>
        <w:t>号</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《生产经营单位安全培训规定》安监总局第</w:t>
      </w:r>
      <w:r>
        <w:rPr>
          <w:rFonts w:ascii="Times New Roman" w:hAnsi="Times New Roman" w:cs="Times New Roman"/>
          <w:color w:val="auto"/>
          <w:sz w:val="28"/>
          <w:szCs w:val="28"/>
        </w:rPr>
        <w:t>3</w:t>
      </w:r>
      <w:r>
        <w:rPr>
          <w:rFonts w:hint="eastAsia" w:ascii="Times New Roman" w:hAnsi="Times New Roman" w:cs="宋体"/>
          <w:color w:val="auto"/>
          <w:sz w:val="28"/>
          <w:szCs w:val="28"/>
        </w:rPr>
        <w:t>号令（原国家安监总局第</w:t>
      </w:r>
      <w:r>
        <w:rPr>
          <w:rFonts w:ascii="Times New Roman" w:hAnsi="Times New Roman" w:cs="Times New Roman"/>
          <w:color w:val="auto"/>
          <w:sz w:val="28"/>
          <w:szCs w:val="28"/>
        </w:rPr>
        <w:t>63</w:t>
      </w:r>
      <w:r>
        <w:rPr>
          <w:rFonts w:hint="eastAsia" w:ascii="Times New Roman" w:hAnsi="Times New Roman" w:cs="宋体"/>
          <w:color w:val="auto"/>
          <w:sz w:val="28"/>
          <w:szCs w:val="28"/>
        </w:rPr>
        <w:t>、</w:t>
      </w:r>
      <w:r>
        <w:rPr>
          <w:rFonts w:ascii="Times New Roman" w:hAnsi="Times New Roman" w:cs="Times New Roman"/>
          <w:color w:val="auto"/>
          <w:sz w:val="28"/>
          <w:szCs w:val="28"/>
        </w:rPr>
        <w:t>80</w:t>
      </w:r>
      <w:r>
        <w:rPr>
          <w:rFonts w:hint="eastAsia" w:ascii="Times New Roman" w:hAnsi="Times New Roman" w:cs="宋体"/>
          <w:color w:val="auto"/>
          <w:sz w:val="28"/>
          <w:szCs w:val="28"/>
        </w:rPr>
        <w:t>号令修改）</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《国家安全监管总局关于修改《</w:t>
      </w:r>
      <w:r>
        <w:rPr>
          <w:rFonts w:ascii="Times New Roman" w:hAnsi="Times New Roman" w:cs="Times New Roman"/>
          <w:color w:val="auto"/>
          <w:sz w:val="28"/>
          <w:szCs w:val="28"/>
        </w:rPr>
        <w:t>&lt;</w:t>
      </w:r>
      <w:r>
        <w:rPr>
          <w:rFonts w:hint="eastAsia" w:ascii="Times New Roman" w:hAnsi="Times New Roman" w:cs="宋体"/>
          <w:color w:val="auto"/>
          <w:sz w:val="28"/>
          <w:szCs w:val="28"/>
        </w:rPr>
        <w:t>生产安全事故报告和调查处理条例</w:t>
      </w:r>
      <w:r>
        <w:rPr>
          <w:rFonts w:ascii="Times New Roman" w:hAnsi="Times New Roman" w:cs="Times New Roman"/>
          <w:color w:val="auto"/>
          <w:sz w:val="28"/>
          <w:szCs w:val="28"/>
        </w:rPr>
        <w:t>&gt;</w:t>
      </w:r>
      <w:r>
        <w:rPr>
          <w:rFonts w:hint="eastAsia" w:ascii="Times New Roman" w:hAnsi="Times New Roman" w:cs="宋体"/>
          <w:color w:val="auto"/>
          <w:sz w:val="28"/>
          <w:szCs w:val="28"/>
        </w:rPr>
        <w:t>罚款处罚暂行规定》等四部规章的决定</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国家安监总局令第</w:t>
      </w:r>
      <w:r>
        <w:rPr>
          <w:rFonts w:ascii="Times New Roman" w:hAnsi="Times New Roman" w:cs="Times New Roman"/>
          <w:color w:val="auto"/>
          <w:sz w:val="28"/>
          <w:szCs w:val="28"/>
        </w:rPr>
        <w:t>77</w:t>
      </w:r>
      <w:r>
        <w:rPr>
          <w:rFonts w:hint="eastAsia" w:ascii="Times New Roman" w:hAnsi="Times New Roman" w:cs="宋体"/>
          <w:color w:val="auto"/>
          <w:sz w:val="28"/>
          <w:szCs w:val="28"/>
        </w:rPr>
        <w:t>号令</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《危险化学品建设项目安全监督管理办法》国家安全生产监督管理总局</w:t>
      </w:r>
      <w:r>
        <w:rPr>
          <w:rFonts w:ascii="Times New Roman" w:hAnsi="Times New Roman" w:cs="Times New Roman"/>
          <w:color w:val="auto"/>
          <w:sz w:val="28"/>
          <w:szCs w:val="28"/>
        </w:rPr>
        <w:t>45</w:t>
      </w:r>
      <w:r>
        <w:rPr>
          <w:rFonts w:hint="eastAsia" w:ascii="Times New Roman" w:hAnsi="Times New Roman" w:cs="宋体"/>
          <w:color w:val="auto"/>
          <w:sz w:val="28"/>
          <w:szCs w:val="28"/>
        </w:rPr>
        <w:t>号令（原国家总局令第</w:t>
      </w:r>
      <w:r>
        <w:rPr>
          <w:rFonts w:ascii="Times New Roman" w:hAnsi="Times New Roman" w:cs="Times New Roman"/>
          <w:color w:val="auto"/>
          <w:sz w:val="28"/>
          <w:szCs w:val="28"/>
        </w:rPr>
        <w:t>79</w:t>
      </w:r>
      <w:r>
        <w:rPr>
          <w:rFonts w:hint="eastAsia" w:ascii="Times New Roman" w:hAnsi="Times New Roman" w:cs="宋体"/>
          <w:color w:val="auto"/>
          <w:sz w:val="28"/>
          <w:szCs w:val="28"/>
        </w:rPr>
        <w:t>号修正）</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《危险化学品经营许可证管理办法》国家安监总局</w:t>
      </w:r>
      <w:r>
        <w:rPr>
          <w:rFonts w:ascii="Times New Roman" w:hAnsi="Times New Roman" w:cs="Times New Roman"/>
          <w:color w:val="auto"/>
          <w:sz w:val="28"/>
          <w:szCs w:val="28"/>
        </w:rPr>
        <w:t>55</w:t>
      </w:r>
      <w:r>
        <w:rPr>
          <w:rFonts w:hint="eastAsia" w:ascii="Times New Roman" w:hAnsi="Times New Roman" w:cs="宋体"/>
          <w:color w:val="auto"/>
          <w:sz w:val="28"/>
          <w:szCs w:val="28"/>
        </w:rPr>
        <w:t>号令（原国家总局令第</w:t>
      </w:r>
      <w:r>
        <w:rPr>
          <w:rFonts w:ascii="Times New Roman" w:hAnsi="Times New Roman" w:cs="Times New Roman"/>
          <w:color w:val="auto"/>
          <w:sz w:val="28"/>
          <w:szCs w:val="28"/>
        </w:rPr>
        <w:t>79</w:t>
      </w:r>
      <w:r>
        <w:rPr>
          <w:rFonts w:hint="eastAsia" w:ascii="Times New Roman" w:hAnsi="Times New Roman" w:cs="宋体"/>
          <w:color w:val="auto"/>
          <w:sz w:val="28"/>
          <w:szCs w:val="28"/>
        </w:rPr>
        <w:t>号修正）</w:t>
      </w:r>
    </w:p>
    <w:p>
      <w:pPr>
        <w:widowControl/>
        <w:spacing w:line="600" w:lineRule="exact"/>
        <w:ind w:firstLine="560" w:firstLineChars="200"/>
        <w:rPr>
          <w:rFonts w:hint="default" w:ascii="Times New Roman" w:hAnsi="Times New Roman" w:eastAsia="宋体" w:cs="宋体"/>
          <w:color w:val="auto"/>
          <w:sz w:val="28"/>
          <w:szCs w:val="28"/>
          <w:lang w:val="en-US" w:eastAsia="zh-CN"/>
        </w:rPr>
      </w:pPr>
      <w:r>
        <w:rPr>
          <w:rFonts w:hint="eastAsia" w:ascii="Times New Roman" w:hAnsi="Times New Roman" w:cs="宋体"/>
          <w:color w:val="auto"/>
          <w:sz w:val="28"/>
          <w:szCs w:val="28"/>
          <w:lang w:eastAsia="zh-CN"/>
        </w:rPr>
        <w:t>《危险化学品经营单位安全评价导则（试行）》安监管管二字</w:t>
      </w:r>
      <w:r>
        <w:rPr>
          <w:rFonts w:hint="eastAsia" w:ascii="Times New Roman" w:hAnsi="Times New Roman" w:cs="宋体"/>
          <w:color w:val="auto"/>
          <w:sz w:val="28"/>
          <w:szCs w:val="28"/>
          <w:lang w:val="en-US" w:eastAsia="zh-CN"/>
        </w:rPr>
        <w:t>[2003]38号</w:t>
      </w:r>
    </w:p>
    <w:p>
      <w:pPr>
        <w:widowControl/>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《国务院办公厅关于加快发展流通促进商业消费的意见》国办发〔</w:t>
      </w:r>
      <w:r>
        <w:rPr>
          <w:rFonts w:ascii="Times New Roman" w:hAnsi="Times New Roman" w:cs="Times New Roman"/>
          <w:color w:val="auto"/>
          <w:sz w:val="28"/>
          <w:szCs w:val="28"/>
        </w:rPr>
        <w:t>2019</w:t>
      </w:r>
      <w:r>
        <w:rPr>
          <w:rFonts w:hint="eastAsia" w:ascii="Times New Roman" w:hAnsi="Times New Roman" w:cs="宋体"/>
          <w:color w:val="auto"/>
          <w:sz w:val="28"/>
          <w:szCs w:val="28"/>
        </w:rPr>
        <w:t>〕</w:t>
      </w:r>
      <w:r>
        <w:rPr>
          <w:rFonts w:ascii="Times New Roman" w:hAnsi="Times New Roman" w:cs="Times New Roman"/>
          <w:color w:val="auto"/>
          <w:sz w:val="28"/>
          <w:szCs w:val="28"/>
        </w:rPr>
        <w:t>42</w:t>
      </w:r>
      <w:r>
        <w:rPr>
          <w:rFonts w:hint="eastAsia" w:ascii="Times New Roman" w:hAnsi="Times New Roman" w:cs="宋体"/>
          <w:color w:val="auto"/>
          <w:sz w:val="28"/>
          <w:szCs w:val="28"/>
        </w:rPr>
        <w:t>号</w:t>
      </w:r>
    </w:p>
    <w:p>
      <w:pPr>
        <w:widowControl/>
        <w:spacing w:line="600" w:lineRule="exact"/>
        <w:ind w:firstLine="560" w:firstLineChars="200"/>
        <w:rPr>
          <w:rFonts w:hint="eastAsia" w:ascii="Times New Roman" w:hAnsi="Times New Roman" w:eastAsia="宋体" w:cs="宋体"/>
          <w:color w:val="auto"/>
          <w:sz w:val="28"/>
          <w:szCs w:val="28"/>
        </w:rPr>
      </w:pPr>
      <w:r>
        <w:rPr>
          <w:rFonts w:hint="default" w:ascii="Times New Roman" w:hAnsi="Times New Roman" w:eastAsia="宋体" w:cs="宋体"/>
          <w:color w:val="auto"/>
          <w:sz w:val="28"/>
          <w:szCs w:val="28"/>
        </w:rPr>
        <w:t>《国家发展改革委关于修改&lt;产业结构调整指导目录（2019年本）&gt;的决定》国家发展和改革委员会令第49号</w:t>
      </w:r>
    </w:p>
    <w:p>
      <w:pPr>
        <w:widowControl/>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《江西省商务厅关于取消和下放石油成品油经营资格审批权限有关事项的通知》赣商务运行函〔</w:t>
      </w:r>
      <w:r>
        <w:rPr>
          <w:rFonts w:ascii="Times New Roman" w:hAnsi="Times New Roman" w:cs="Times New Roman"/>
          <w:color w:val="auto"/>
          <w:sz w:val="28"/>
          <w:szCs w:val="28"/>
        </w:rPr>
        <w:t>2020</w:t>
      </w:r>
      <w:r>
        <w:rPr>
          <w:rFonts w:hint="eastAsia" w:ascii="Times New Roman" w:hAnsi="Times New Roman" w:cs="宋体"/>
          <w:color w:val="auto"/>
          <w:sz w:val="28"/>
          <w:szCs w:val="28"/>
        </w:rPr>
        <w:t>〕</w:t>
      </w:r>
      <w:r>
        <w:rPr>
          <w:rFonts w:ascii="Times New Roman" w:hAnsi="Times New Roman" w:cs="Times New Roman"/>
          <w:color w:val="auto"/>
          <w:sz w:val="28"/>
          <w:szCs w:val="28"/>
        </w:rPr>
        <w:t>27</w:t>
      </w:r>
      <w:r>
        <w:rPr>
          <w:rFonts w:hint="eastAsia" w:ascii="Times New Roman" w:hAnsi="Times New Roman" w:cs="宋体"/>
          <w:color w:val="auto"/>
          <w:sz w:val="28"/>
          <w:szCs w:val="28"/>
        </w:rPr>
        <w:t>号</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《生产安全事故应急预案管理办法》国家安监总局令第</w:t>
      </w:r>
      <w:r>
        <w:rPr>
          <w:rFonts w:ascii="Times New Roman" w:hAnsi="Times New Roman" w:cs="Times New Roman"/>
          <w:color w:val="auto"/>
          <w:sz w:val="28"/>
          <w:szCs w:val="28"/>
        </w:rPr>
        <w:t>88</w:t>
      </w:r>
      <w:r>
        <w:rPr>
          <w:rFonts w:hint="eastAsia" w:ascii="Times New Roman" w:hAnsi="Times New Roman" w:cs="宋体"/>
          <w:color w:val="auto"/>
          <w:sz w:val="28"/>
          <w:szCs w:val="28"/>
        </w:rPr>
        <w:t>号（</w:t>
      </w:r>
      <w:r>
        <w:rPr>
          <w:rFonts w:ascii="Times New Roman" w:hAnsi="Times New Roman" w:cs="Times New Roman"/>
          <w:color w:val="auto"/>
          <w:sz w:val="28"/>
          <w:szCs w:val="28"/>
        </w:rPr>
        <w:t>2019</w:t>
      </w:r>
      <w:r>
        <w:rPr>
          <w:rFonts w:hint="eastAsia" w:ascii="Times New Roman" w:hAnsi="Times New Roman" w:cs="宋体"/>
          <w:color w:val="auto"/>
          <w:sz w:val="28"/>
          <w:szCs w:val="28"/>
        </w:rPr>
        <w:t>年</w:t>
      </w:r>
      <w:r>
        <w:rPr>
          <w:rFonts w:ascii="Times New Roman" w:hAnsi="Times New Roman" w:cs="Times New Roman"/>
          <w:color w:val="auto"/>
          <w:sz w:val="28"/>
          <w:szCs w:val="28"/>
        </w:rPr>
        <w:t>7</w:t>
      </w:r>
      <w:r>
        <w:rPr>
          <w:rFonts w:hint="eastAsia" w:ascii="Times New Roman" w:hAnsi="Times New Roman" w:cs="宋体"/>
          <w:color w:val="auto"/>
          <w:sz w:val="28"/>
          <w:szCs w:val="28"/>
        </w:rPr>
        <w:t>月</w:t>
      </w:r>
      <w:r>
        <w:rPr>
          <w:rFonts w:ascii="Times New Roman" w:hAnsi="Times New Roman" w:cs="Times New Roman"/>
          <w:color w:val="auto"/>
          <w:sz w:val="28"/>
          <w:szCs w:val="28"/>
        </w:rPr>
        <w:t>11</w:t>
      </w:r>
      <w:r>
        <w:rPr>
          <w:rFonts w:hint="eastAsia" w:ascii="Times New Roman" w:hAnsi="Times New Roman" w:cs="宋体"/>
          <w:color w:val="auto"/>
          <w:sz w:val="28"/>
          <w:szCs w:val="28"/>
        </w:rPr>
        <w:t>日应急管理部令第</w:t>
      </w:r>
      <w:r>
        <w:rPr>
          <w:rFonts w:ascii="Times New Roman" w:hAnsi="Times New Roman" w:cs="Times New Roman"/>
          <w:color w:val="auto"/>
          <w:sz w:val="28"/>
          <w:szCs w:val="28"/>
        </w:rPr>
        <w:t>2</w:t>
      </w:r>
      <w:r>
        <w:rPr>
          <w:rFonts w:hint="eastAsia" w:ascii="Times New Roman" w:hAnsi="Times New Roman" w:cs="宋体"/>
          <w:color w:val="auto"/>
          <w:sz w:val="28"/>
          <w:szCs w:val="28"/>
        </w:rPr>
        <w:t>号修正）</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《江西省安全生产条例》江西省第十二届人大常委会第三十四次会议</w:t>
      </w:r>
      <w:r>
        <w:rPr>
          <w:rFonts w:ascii="Times New Roman" w:hAnsi="Times New Roman" w:cs="Times New Roman"/>
          <w:color w:val="auto"/>
          <w:sz w:val="28"/>
          <w:szCs w:val="28"/>
        </w:rPr>
        <w:t>2017</w:t>
      </w:r>
      <w:r>
        <w:rPr>
          <w:rFonts w:hint="eastAsia" w:ascii="Times New Roman" w:hAnsi="Times New Roman" w:cs="宋体"/>
          <w:color w:val="auto"/>
          <w:sz w:val="28"/>
          <w:szCs w:val="28"/>
        </w:rPr>
        <w:t>年</w:t>
      </w:r>
      <w:r>
        <w:rPr>
          <w:rFonts w:ascii="Times New Roman" w:hAnsi="Times New Roman" w:cs="Times New Roman"/>
          <w:color w:val="auto"/>
          <w:sz w:val="28"/>
          <w:szCs w:val="28"/>
        </w:rPr>
        <w:t>10</w:t>
      </w:r>
      <w:r>
        <w:rPr>
          <w:rFonts w:hint="eastAsia" w:ascii="Times New Roman" w:hAnsi="Times New Roman" w:cs="宋体"/>
          <w:color w:val="auto"/>
          <w:sz w:val="28"/>
          <w:szCs w:val="28"/>
        </w:rPr>
        <w:t>月</w:t>
      </w:r>
      <w:r>
        <w:rPr>
          <w:rFonts w:ascii="Times New Roman" w:hAnsi="Times New Roman" w:cs="Times New Roman"/>
          <w:color w:val="auto"/>
          <w:sz w:val="28"/>
          <w:szCs w:val="28"/>
        </w:rPr>
        <w:t>1</w:t>
      </w:r>
      <w:r>
        <w:rPr>
          <w:rFonts w:hint="eastAsia" w:ascii="Times New Roman" w:hAnsi="Times New Roman" w:cs="宋体"/>
          <w:color w:val="auto"/>
          <w:sz w:val="28"/>
          <w:szCs w:val="28"/>
        </w:rPr>
        <w:t>日</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《江西省消防条例》</w:t>
      </w:r>
      <w:r>
        <w:rPr>
          <w:rFonts w:ascii="Times New Roman" w:hAnsi="Times New Roman" w:cs="Times New Roman"/>
          <w:color w:val="auto"/>
          <w:sz w:val="28"/>
          <w:szCs w:val="28"/>
        </w:rPr>
        <w:t>2020</w:t>
      </w:r>
      <w:r>
        <w:rPr>
          <w:rFonts w:hint="eastAsia" w:ascii="Times New Roman" w:hAnsi="Times New Roman" w:cs="宋体"/>
          <w:color w:val="auto"/>
          <w:sz w:val="28"/>
          <w:szCs w:val="28"/>
        </w:rPr>
        <w:t>年</w:t>
      </w:r>
      <w:r>
        <w:rPr>
          <w:rFonts w:ascii="Times New Roman" w:hAnsi="Times New Roman" w:cs="Times New Roman"/>
          <w:color w:val="auto"/>
          <w:sz w:val="28"/>
          <w:szCs w:val="28"/>
        </w:rPr>
        <w:t>11</w:t>
      </w:r>
      <w:r>
        <w:rPr>
          <w:rFonts w:hint="eastAsia" w:ascii="Times New Roman" w:hAnsi="Times New Roman" w:cs="宋体"/>
          <w:color w:val="auto"/>
          <w:sz w:val="28"/>
          <w:szCs w:val="28"/>
        </w:rPr>
        <w:t>月</w:t>
      </w:r>
      <w:r>
        <w:rPr>
          <w:rFonts w:ascii="Times New Roman" w:hAnsi="Times New Roman" w:cs="Times New Roman"/>
          <w:color w:val="auto"/>
          <w:sz w:val="28"/>
          <w:szCs w:val="28"/>
        </w:rPr>
        <w:t>25</w:t>
      </w:r>
      <w:r>
        <w:rPr>
          <w:rFonts w:hint="eastAsia" w:ascii="Times New Roman" w:hAnsi="Times New Roman" w:cs="宋体"/>
          <w:color w:val="auto"/>
          <w:sz w:val="28"/>
          <w:szCs w:val="28"/>
        </w:rPr>
        <w:t>日江西省第十三届人民代表大会常务委员会第二十五次会议第六次修正</w:t>
      </w:r>
    </w:p>
    <w:p>
      <w:pPr>
        <w:spacing w:line="600" w:lineRule="exact"/>
        <w:ind w:firstLine="560" w:firstLineChars="200"/>
        <w:rPr>
          <w:rFonts w:ascii="Times New Roman" w:hAnsi="Times New Roman" w:cs="Times New Roman"/>
          <w:color w:val="auto"/>
          <w:sz w:val="28"/>
          <w:szCs w:val="28"/>
        </w:rPr>
      </w:pPr>
      <w:bookmarkStart w:id="13" w:name="_Toc11242959"/>
      <w:r>
        <w:rPr>
          <w:rFonts w:hint="eastAsia" w:ascii="Times New Roman" w:hAnsi="Times New Roman" w:cs="宋体"/>
          <w:color w:val="auto"/>
          <w:sz w:val="28"/>
          <w:szCs w:val="28"/>
        </w:rPr>
        <w:t>《江西省人民政府关于印发江西省水污染防治工作方案的通知》赣府发</w:t>
      </w:r>
      <w:bookmarkEnd w:id="13"/>
      <w:bookmarkStart w:id="14" w:name="_Toc11242960"/>
      <w:r>
        <w:rPr>
          <w:rFonts w:hint="eastAsia" w:ascii="Times New Roman" w:hAnsi="Times New Roman" w:cs="宋体"/>
          <w:color w:val="auto"/>
          <w:sz w:val="28"/>
          <w:szCs w:val="28"/>
        </w:rPr>
        <w:t>〔</w:t>
      </w:r>
      <w:r>
        <w:rPr>
          <w:rFonts w:ascii="Times New Roman" w:hAnsi="Times New Roman" w:cs="Times New Roman"/>
          <w:color w:val="auto"/>
          <w:sz w:val="28"/>
          <w:szCs w:val="28"/>
        </w:rPr>
        <w:t>2015</w:t>
      </w:r>
      <w:r>
        <w:rPr>
          <w:rFonts w:hint="eastAsia" w:ascii="Times New Roman" w:hAnsi="Times New Roman" w:cs="宋体"/>
          <w:color w:val="auto"/>
          <w:sz w:val="28"/>
          <w:szCs w:val="28"/>
        </w:rPr>
        <w:t>〕</w:t>
      </w:r>
      <w:r>
        <w:rPr>
          <w:rFonts w:ascii="Times New Roman" w:hAnsi="Times New Roman" w:cs="Times New Roman"/>
          <w:color w:val="auto"/>
          <w:sz w:val="28"/>
          <w:szCs w:val="28"/>
        </w:rPr>
        <w:t>62</w:t>
      </w:r>
      <w:r>
        <w:rPr>
          <w:rFonts w:hint="eastAsia" w:ascii="Times New Roman" w:hAnsi="Times New Roman" w:cs="宋体"/>
          <w:color w:val="auto"/>
          <w:sz w:val="28"/>
          <w:szCs w:val="28"/>
        </w:rPr>
        <w:t>号</w:t>
      </w:r>
      <w:bookmarkEnd w:id="14"/>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《江西省危险化学品建设项目安全监督管理实施细则（试行）》赣应急字</w:t>
      </w:r>
      <w:r>
        <w:rPr>
          <w:rFonts w:ascii="Times New Roman" w:hAnsi="Times New Roman" w:cs="Times New Roman"/>
          <w:color w:val="auto"/>
          <w:sz w:val="28"/>
          <w:szCs w:val="28"/>
        </w:rPr>
        <w:t>[2021]100</w:t>
      </w:r>
      <w:r>
        <w:rPr>
          <w:rFonts w:hint="eastAsia" w:ascii="Times New Roman" w:hAnsi="Times New Roman" w:cs="宋体"/>
          <w:color w:val="auto"/>
          <w:sz w:val="28"/>
          <w:szCs w:val="28"/>
        </w:rPr>
        <w:t>号</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《高毒物品目录》</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（卫法监发</w:t>
      </w:r>
      <w:r>
        <w:rPr>
          <w:rFonts w:ascii="Times New Roman" w:hAnsi="Times New Roman" w:cs="Times New Roman"/>
          <w:color w:val="auto"/>
          <w:sz w:val="28"/>
          <w:szCs w:val="28"/>
        </w:rPr>
        <w:t>[2003]142</w:t>
      </w:r>
      <w:r>
        <w:rPr>
          <w:rFonts w:hint="eastAsia" w:ascii="Times New Roman" w:hAnsi="Times New Roman" w:cs="宋体"/>
          <w:color w:val="auto"/>
          <w:sz w:val="28"/>
          <w:szCs w:val="28"/>
        </w:rPr>
        <w:t>号）</w:t>
      </w:r>
    </w:p>
    <w:p>
      <w:pPr>
        <w:spacing w:line="600" w:lineRule="exact"/>
        <w:ind w:firstLine="560" w:firstLineChars="200"/>
        <w:jc w:val="left"/>
        <w:rPr>
          <w:rFonts w:hint="eastAsia" w:ascii="Times New Roman" w:hAnsi="Times New Roman" w:eastAsia="宋体" w:cs="宋体"/>
          <w:color w:val="auto"/>
          <w:sz w:val="28"/>
          <w:szCs w:val="28"/>
        </w:rPr>
      </w:pPr>
      <w:r>
        <w:rPr>
          <w:rFonts w:hint="default" w:ascii="Times New Roman" w:hAnsi="Times New Roman" w:eastAsia="宋体" w:cs="宋体"/>
          <w:color w:val="auto"/>
          <w:sz w:val="28"/>
          <w:szCs w:val="28"/>
        </w:rPr>
        <w:t>《危险化学品目录》（2015年版）</w:t>
      </w:r>
      <w:r>
        <w:rPr>
          <w:rFonts w:hint="default" w:ascii="Times New Roman" w:hAnsi="Times New Roman" w:eastAsia="宋体" w:cs="宋体"/>
          <w:color w:val="auto"/>
          <w:sz w:val="28"/>
          <w:szCs w:val="28"/>
          <w:lang w:eastAsia="zh-CN"/>
        </w:rPr>
        <w:t>应急管理部会同</w:t>
      </w:r>
      <w:r>
        <w:rPr>
          <w:rFonts w:hint="default" w:ascii="Times New Roman" w:hAnsi="Times New Roman" w:eastAsia="宋体" w:cs="宋体"/>
          <w:color w:val="auto"/>
          <w:sz w:val="28"/>
          <w:szCs w:val="28"/>
        </w:rPr>
        <w:t>十部门</w:t>
      </w:r>
      <w:r>
        <w:rPr>
          <w:rFonts w:hint="default" w:ascii="Times New Roman" w:hAnsi="Times New Roman" w:eastAsia="宋体" w:cs="宋体"/>
          <w:color w:val="auto"/>
          <w:sz w:val="28"/>
          <w:szCs w:val="28"/>
          <w:lang w:eastAsia="zh-CN"/>
        </w:rPr>
        <w:t>调整</w:t>
      </w:r>
      <w:r>
        <w:rPr>
          <w:rFonts w:hint="default" w:ascii="Times New Roman" w:hAnsi="Times New Roman" w:eastAsia="宋体" w:cs="宋体"/>
          <w:color w:val="auto"/>
          <w:sz w:val="28"/>
          <w:szCs w:val="28"/>
        </w:rPr>
        <w:t>[20</w:t>
      </w:r>
      <w:r>
        <w:rPr>
          <w:rFonts w:hint="default" w:ascii="Times New Roman" w:hAnsi="Times New Roman" w:eastAsia="宋体" w:cs="宋体"/>
          <w:color w:val="auto"/>
          <w:sz w:val="28"/>
          <w:szCs w:val="28"/>
          <w:lang w:val="en-US" w:eastAsia="zh-CN"/>
        </w:rPr>
        <w:t>22</w:t>
      </w:r>
      <w:r>
        <w:rPr>
          <w:rFonts w:hint="default" w:ascii="Times New Roman" w:hAnsi="Times New Roman" w:eastAsia="宋体" w:cs="宋体"/>
          <w:color w:val="auto"/>
          <w:sz w:val="28"/>
          <w:szCs w:val="28"/>
        </w:rPr>
        <w:t>]第</w:t>
      </w:r>
      <w:r>
        <w:rPr>
          <w:rFonts w:hint="default" w:ascii="Times New Roman" w:hAnsi="Times New Roman" w:eastAsia="宋体" w:cs="宋体"/>
          <w:color w:val="auto"/>
          <w:sz w:val="28"/>
          <w:szCs w:val="28"/>
          <w:lang w:val="en-US" w:eastAsia="zh-CN"/>
        </w:rPr>
        <w:t>8</w:t>
      </w:r>
      <w:r>
        <w:rPr>
          <w:rFonts w:hint="default" w:ascii="Times New Roman" w:hAnsi="Times New Roman" w:eastAsia="宋体" w:cs="宋体"/>
          <w:color w:val="auto"/>
          <w:sz w:val="28"/>
          <w:szCs w:val="28"/>
        </w:rPr>
        <w:t>号</w:t>
      </w:r>
    </w:p>
    <w:p>
      <w:pPr>
        <w:pStyle w:val="37"/>
        <w:ind w:firstLine="560" w:firstLineChars="200"/>
        <w:rPr>
          <w:color w:val="auto"/>
          <w:kern w:val="0"/>
          <w:sz w:val="28"/>
          <w:szCs w:val="28"/>
        </w:rPr>
      </w:pPr>
      <w:r>
        <w:rPr>
          <w:rFonts w:hint="eastAsia" w:cs="宋体"/>
          <w:color w:val="auto"/>
          <w:kern w:val="0"/>
          <w:sz w:val="28"/>
          <w:szCs w:val="28"/>
        </w:rPr>
        <w:t>《易制爆危险化学品名录》（</w:t>
      </w:r>
      <w:r>
        <w:rPr>
          <w:color w:val="auto"/>
          <w:kern w:val="0"/>
          <w:sz w:val="28"/>
          <w:szCs w:val="28"/>
        </w:rPr>
        <w:t>2017</w:t>
      </w:r>
      <w:r>
        <w:rPr>
          <w:rFonts w:hint="eastAsia" w:cs="宋体"/>
          <w:color w:val="auto"/>
          <w:kern w:val="0"/>
          <w:sz w:val="28"/>
          <w:szCs w:val="28"/>
        </w:rPr>
        <w:t>年版）</w:t>
      </w:r>
    </w:p>
    <w:p>
      <w:pPr>
        <w:pStyle w:val="37"/>
        <w:ind w:firstLine="560" w:firstLineChars="200"/>
        <w:rPr>
          <w:color w:val="auto"/>
          <w:sz w:val="28"/>
          <w:szCs w:val="28"/>
        </w:rPr>
      </w:pPr>
      <w:r>
        <w:rPr>
          <w:rFonts w:hint="eastAsia" w:cs="宋体"/>
          <w:color w:val="auto"/>
          <w:sz w:val="28"/>
          <w:szCs w:val="28"/>
        </w:rPr>
        <w:t>《易制毒化学品管理条例》国务院令【</w:t>
      </w:r>
      <w:r>
        <w:rPr>
          <w:color w:val="auto"/>
          <w:sz w:val="28"/>
          <w:szCs w:val="28"/>
        </w:rPr>
        <w:t>2005</w:t>
      </w:r>
      <w:r>
        <w:rPr>
          <w:rFonts w:hint="eastAsia" w:cs="宋体"/>
          <w:color w:val="auto"/>
          <w:sz w:val="28"/>
          <w:szCs w:val="28"/>
        </w:rPr>
        <w:t>】第</w:t>
      </w:r>
      <w:r>
        <w:rPr>
          <w:color w:val="auto"/>
          <w:sz w:val="28"/>
          <w:szCs w:val="28"/>
        </w:rPr>
        <w:t>445</w:t>
      </w:r>
      <w:r>
        <w:rPr>
          <w:rFonts w:hint="eastAsia" w:cs="宋体"/>
          <w:color w:val="auto"/>
          <w:sz w:val="28"/>
          <w:szCs w:val="28"/>
        </w:rPr>
        <w:t>号（</w:t>
      </w:r>
      <w:r>
        <w:rPr>
          <w:color w:val="auto"/>
          <w:sz w:val="28"/>
          <w:szCs w:val="28"/>
        </w:rPr>
        <w:t>2016</w:t>
      </w:r>
      <w:r>
        <w:rPr>
          <w:rFonts w:hint="eastAsia" w:cs="宋体"/>
          <w:color w:val="auto"/>
          <w:sz w:val="28"/>
          <w:szCs w:val="28"/>
        </w:rPr>
        <w:t>年国务院第</w:t>
      </w:r>
      <w:r>
        <w:rPr>
          <w:color w:val="auto"/>
          <w:sz w:val="28"/>
          <w:szCs w:val="28"/>
        </w:rPr>
        <w:t>666</w:t>
      </w:r>
      <w:r>
        <w:rPr>
          <w:rFonts w:hint="eastAsia" w:cs="宋体"/>
          <w:color w:val="auto"/>
          <w:sz w:val="28"/>
          <w:szCs w:val="28"/>
        </w:rPr>
        <w:t>号令、</w:t>
      </w:r>
      <w:r>
        <w:rPr>
          <w:color w:val="auto"/>
          <w:sz w:val="28"/>
          <w:szCs w:val="28"/>
        </w:rPr>
        <w:t>2018</w:t>
      </w:r>
      <w:r>
        <w:rPr>
          <w:rFonts w:hint="eastAsia" w:cs="宋体"/>
          <w:color w:val="auto"/>
          <w:sz w:val="28"/>
          <w:szCs w:val="28"/>
        </w:rPr>
        <w:t>年国务院第</w:t>
      </w:r>
      <w:r>
        <w:rPr>
          <w:color w:val="auto"/>
          <w:sz w:val="28"/>
          <w:szCs w:val="28"/>
        </w:rPr>
        <w:t>703</w:t>
      </w:r>
      <w:r>
        <w:rPr>
          <w:rFonts w:hint="eastAsia" w:cs="宋体"/>
          <w:color w:val="auto"/>
          <w:sz w:val="28"/>
          <w:szCs w:val="28"/>
        </w:rPr>
        <w:t>号修改）</w:t>
      </w:r>
    </w:p>
    <w:p>
      <w:pPr>
        <w:pStyle w:val="37"/>
        <w:ind w:firstLine="560" w:firstLineChars="200"/>
        <w:rPr>
          <w:color w:val="auto"/>
          <w:sz w:val="28"/>
          <w:szCs w:val="28"/>
        </w:rPr>
      </w:pPr>
      <w:r>
        <w:rPr>
          <w:rFonts w:hint="eastAsia" w:cs="宋体"/>
          <w:color w:val="auto"/>
          <w:sz w:val="28"/>
          <w:szCs w:val="28"/>
        </w:rPr>
        <w:t>《各类监控化学品名录》工信部【</w:t>
      </w:r>
      <w:r>
        <w:rPr>
          <w:color w:val="auto"/>
          <w:sz w:val="28"/>
          <w:szCs w:val="28"/>
        </w:rPr>
        <w:t>2020</w:t>
      </w:r>
      <w:r>
        <w:rPr>
          <w:rFonts w:hint="eastAsia" w:cs="宋体"/>
          <w:color w:val="auto"/>
          <w:sz w:val="28"/>
          <w:szCs w:val="28"/>
        </w:rPr>
        <w:t>】第</w:t>
      </w:r>
      <w:r>
        <w:rPr>
          <w:color w:val="auto"/>
          <w:sz w:val="28"/>
          <w:szCs w:val="28"/>
        </w:rPr>
        <w:t>52</w:t>
      </w:r>
      <w:r>
        <w:rPr>
          <w:rFonts w:hint="eastAsia" w:cs="宋体"/>
          <w:color w:val="auto"/>
          <w:sz w:val="28"/>
          <w:szCs w:val="28"/>
        </w:rPr>
        <w:t>号</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《特别管控危险化学品目录》</w:t>
      </w:r>
    </w:p>
    <w:p>
      <w:pPr>
        <w:spacing w:line="600" w:lineRule="exact"/>
        <w:ind w:firstLine="3640" w:firstLineChars="1300"/>
        <w:jc w:val="left"/>
        <w:rPr>
          <w:rFonts w:ascii="Times New Roman" w:hAnsi="Times New Roman" w:cs="Times New Roman"/>
          <w:color w:val="auto"/>
          <w:sz w:val="28"/>
          <w:szCs w:val="28"/>
        </w:rPr>
      </w:pPr>
      <w:r>
        <w:rPr>
          <w:rFonts w:hint="eastAsia" w:ascii="Times New Roman" w:hAnsi="Times New Roman" w:cs="宋体"/>
          <w:color w:val="auto"/>
          <w:sz w:val="28"/>
          <w:szCs w:val="28"/>
        </w:rPr>
        <w:t>应急管理部等四部门公告</w:t>
      </w:r>
      <w:r>
        <w:rPr>
          <w:rFonts w:ascii="Times New Roman" w:hAnsi="Times New Roman" w:cs="Times New Roman"/>
          <w:color w:val="auto"/>
          <w:sz w:val="28"/>
          <w:szCs w:val="28"/>
        </w:rPr>
        <w:t>[2020]</w:t>
      </w:r>
      <w:r>
        <w:rPr>
          <w:rFonts w:hint="eastAsia" w:ascii="Times New Roman" w:hAnsi="Times New Roman" w:cs="宋体"/>
          <w:color w:val="auto"/>
          <w:sz w:val="28"/>
          <w:szCs w:val="28"/>
        </w:rPr>
        <w:t>第</w:t>
      </w:r>
      <w:r>
        <w:rPr>
          <w:rFonts w:ascii="Times New Roman" w:hAnsi="Times New Roman" w:cs="Times New Roman"/>
          <w:color w:val="auto"/>
          <w:sz w:val="28"/>
          <w:szCs w:val="28"/>
        </w:rPr>
        <w:t>3</w:t>
      </w:r>
      <w:r>
        <w:rPr>
          <w:rFonts w:hint="eastAsia" w:ascii="Times New Roman" w:hAnsi="Times New Roman" w:cs="宋体"/>
          <w:color w:val="auto"/>
          <w:sz w:val="28"/>
          <w:szCs w:val="28"/>
        </w:rPr>
        <w:t>号</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lang w:val="zh-CN"/>
        </w:rPr>
        <w:t>《重点监管的危险化学品名录</w:t>
      </w:r>
      <w:r>
        <w:rPr>
          <w:rFonts w:hint="eastAsia" w:ascii="Times New Roman" w:hAnsi="Times New Roman" w:cs="宋体"/>
          <w:color w:val="auto"/>
          <w:sz w:val="28"/>
          <w:szCs w:val="28"/>
        </w:rPr>
        <w:t>（</w:t>
      </w:r>
      <w:r>
        <w:rPr>
          <w:rFonts w:ascii="Times New Roman" w:hAnsi="Times New Roman" w:cs="Times New Roman"/>
          <w:color w:val="auto"/>
          <w:sz w:val="28"/>
          <w:szCs w:val="28"/>
        </w:rPr>
        <w:t>2013</w:t>
      </w:r>
      <w:r>
        <w:rPr>
          <w:rFonts w:hint="eastAsia" w:ascii="Times New Roman" w:hAnsi="Times New Roman" w:cs="宋体"/>
          <w:color w:val="auto"/>
          <w:sz w:val="28"/>
          <w:szCs w:val="28"/>
        </w:rPr>
        <w:t>年完整版）</w:t>
      </w:r>
      <w:r>
        <w:rPr>
          <w:rFonts w:hint="eastAsia" w:ascii="Times New Roman" w:hAnsi="Times New Roman" w:cs="宋体"/>
          <w:color w:val="auto"/>
          <w:sz w:val="28"/>
          <w:szCs w:val="28"/>
          <w:lang w:val="zh-CN"/>
        </w:rPr>
        <w:t>》</w:t>
      </w:r>
      <w:r>
        <w:rPr>
          <w:rFonts w:ascii="Times New Roman" w:hAnsi="Times New Roman" w:cs="Times New Roman"/>
          <w:color w:val="auto"/>
          <w:sz w:val="28"/>
          <w:szCs w:val="28"/>
        </w:rPr>
        <w:t xml:space="preserve">   </w:t>
      </w:r>
    </w:p>
    <w:p>
      <w:pPr>
        <w:spacing w:line="600" w:lineRule="exact"/>
        <w:ind w:firstLine="6160" w:firstLineChars="2200"/>
        <w:jc w:val="left"/>
        <w:rPr>
          <w:rFonts w:ascii="Times New Roman" w:hAnsi="Times New Roman" w:cs="Times New Roman"/>
          <w:color w:val="auto"/>
          <w:sz w:val="28"/>
          <w:szCs w:val="28"/>
          <w:lang w:val="zh-CN"/>
        </w:rPr>
      </w:pPr>
      <w:r>
        <w:rPr>
          <w:rFonts w:ascii="Times New Roman" w:hAnsi="Times New Roman" w:cs="Times New Roman"/>
          <w:color w:val="auto"/>
          <w:sz w:val="28"/>
          <w:szCs w:val="28"/>
        </w:rPr>
        <w:t xml:space="preserve"> </w:t>
      </w:r>
      <w:r>
        <w:rPr>
          <w:rFonts w:hint="eastAsia" w:ascii="Times New Roman" w:hAnsi="Times New Roman" w:cs="宋体"/>
          <w:color w:val="auto"/>
          <w:sz w:val="28"/>
          <w:szCs w:val="28"/>
          <w:lang w:val="zh-CN"/>
        </w:rPr>
        <w:t>国家安监总局</w:t>
      </w:r>
    </w:p>
    <w:p>
      <w:pPr>
        <w:spacing w:line="600" w:lineRule="exact"/>
        <w:ind w:firstLine="560" w:firstLineChars="200"/>
        <w:jc w:val="left"/>
        <w:rPr>
          <w:rFonts w:ascii="Times New Roman" w:hAnsi="Times New Roman" w:cs="Times New Roman"/>
          <w:color w:val="auto"/>
          <w:sz w:val="28"/>
          <w:szCs w:val="28"/>
          <w:lang w:val="zh-CN"/>
        </w:rPr>
      </w:pPr>
      <w:r>
        <w:rPr>
          <w:rFonts w:hint="eastAsia" w:ascii="Times New Roman" w:hAnsi="Times New Roman" w:cs="宋体"/>
          <w:color w:val="auto"/>
          <w:sz w:val="28"/>
          <w:szCs w:val="28"/>
        </w:rPr>
        <w:t>《重点监管的危险化学品安全措施和应急处置原则（</w:t>
      </w:r>
      <w:r>
        <w:rPr>
          <w:rFonts w:ascii="Times New Roman" w:hAnsi="Times New Roman" w:cs="Times New Roman"/>
          <w:color w:val="auto"/>
          <w:sz w:val="28"/>
          <w:szCs w:val="28"/>
        </w:rPr>
        <w:t>2013</w:t>
      </w:r>
      <w:r>
        <w:rPr>
          <w:rFonts w:hint="eastAsia" w:ascii="Times New Roman" w:hAnsi="Times New Roman" w:cs="宋体"/>
          <w:color w:val="auto"/>
          <w:sz w:val="28"/>
          <w:szCs w:val="28"/>
        </w:rPr>
        <w:t>年版）》</w:t>
      </w:r>
      <w:r>
        <w:rPr>
          <w:rFonts w:hint="eastAsia" w:ascii="Times New Roman" w:hAnsi="Times New Roman" w:cs="宋体"/>
          <w:color w:val="auto"/>
          <w:sz w:val="28"/>
          <w:szCs w:val="28"/>
          <w:lang w:val="zh-CN"/>
        </w:rPr>
        <w:t>国家安监总局</w:t>
      </w:r>
    </w:p>
    <w:p>
      <w:pPr>
        <w:spacing w:line="600" w:lineRule="exact"/>
        <w:ind w:firstLine="560" w:firstLineChars="200"/>
        <w:jc w:val="left"/>
        <w:rPr>
          <w:rFonts w:ascii="Times New Roman" w:hAnsi="Times New Roman" w:cs="Times New Roman"/>
          <w:color w:val="auto"/>
          <w:kern w:val="0"/>
          <w:sz w:val="28"/>
          <w:szCs w:val="28"/>
        </w:rPr>
      </w:pPr>
      <w:r>
        <w:rPr>
          <w:rFonts w:hint="eastAsia" w:ascii="Times New Roman" w:hAnsi="Times New Roman" w:cs="宋体"/>
          <w:color w:val="auto"/>
          <w:sz w:val="28"/>
          <w:szCs w:val="28"/>
        </w:rPr>
        <w:t>《重点监管的危险化工工艺目录（</w:t>
      </w:r>
      <w:r>
        <w:rPr>
          <w:rFonts w:ascii="Times New Roman" w:hAnsi="Times New Roman" w:cs="Times New Roman"/>
          <w:color w:val="auto"/>
          <w:sz w:val="28"/>
          <w:szCs w:val="28"/>
        </w:rPr>
        <w:t>2013</w:t>
      </w:r>
      <w:r>
        <w:rPr>
          <w:rFonts w:hint="eastAsia" w:ascii="Times New Roman" w:hAnsi="Times New Roman" w:cs="宋体"/>
          <w:color w:val="auto"/>
          <w:sz w:val="28"/>
          <w:szCs w:val="28"/>
        </w:rPr>
        <w:t>年完整版）》</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lang w:val="zh-CN"/>
        </w:rPr>
        <w:t>国家安监总局</w:t>
      </w:r>
    </w:p>
    <w:p>
      <w:pPr>
        <w:pStyle w:val="5"/>
        <w:spacing w:line="580" w:lineRule="exact"/>
        <w:rPr>
          <w:rFonts w:cs="Times New Roman"/>
          <w:color w:val="auto"/>
        </w:rPr>
      </w:pPr>
      <w:bookmarkStart w:id="15" w:name="_Toc17479"/>
      <w:r>
        <w:rPr>
          <w:color w:val="auto"/>
        </w:rPr>
        <w:t>1.2.2</w:t>
      </w:r>
      <w:r>
        <w:rPr>
          <w:rFonts w:hint="eastAsia" w:cs="宋体"/>
          <w:color w:val="auto"/>
        </w:rPr>
        <w:t>评价标准、规范</w:t>
      </w:r>
      <w:bookmarkEnd w:id="15"/>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《汽车加油加气加氢站技术标准》</w:t>
      </w:r>
      <w:r>
        <w:rPr>
          <w:rFonts w:ascii="Times New Roman" w:hAnsi="Times New Roman" w:cs="Times New Roman"/>
          <w:color w:val="auto"/>
          <w:sz w:val="28"/>
          <w:szCs w:val="28"/>
        </w:rPr>
        <w:t xml:space="preserve">             GB50156-2021</w:t>
      </w:r>
    </w:p>
    <w:p>
      <w:pPr>
        <w:spacing w:line="600" w:lineRule="exact"/>
        <w:ind w:firstLine="560"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宋体"/>
          <w:color w:val="auto"/>
          <w:sz w:val="28"/>
          <w:szCs w:val="28"/>
        </w:rPr>
        <w:t>《加油站作业安全规范》</w:t>
      </w:r>
      <w:r>
        <w:rPr>
          <w:rFonts w:ascii="Times New Roman" w:hAnsi="Times New Roman" w:cs="Times New Roman"/>
          <w:color w:val="auto"/>
          <w:sz w:val="28"/>
          <w:szCs w:val="28"/>
        </w:rPr>
        <w:t xml:space="preserve">                      AQ3010-20</w:t>
      </w:r>
      <w:r>
        <w:rPr>
          <w:rFonts w:hint="eastAsia" w:ascii="Times New Roman" w:hAnsi="Times New Roman" w:cs="Times New Roman"/>
          <w:color w:val="auto"/>
          <w:sz w:val="28"/>
          <w:szCs w:val="28"/>
          <w:lang w:val="en-US" w:eastAsia="zh-CN"/>
        </w:rPr>
        <w:t>22</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《汽车加油加气站消防安全管理》</w:t>
      </w:r>
      <w:r>
        <w:rPr>
          <w:rFonts w:ascii="Times New Roman" w:hAnsi="Times New Roman" w:cs="Times New Roman"/>
          <w:color w:val="auto"/>
          <w:sz w:val="28"/>
          <w:szCs w:val="28"/>
        </w:rPr>
        <w:t xml:space="preserve">             XF/T3004-2020  </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《易燃易爆性商品储存养护技术条件》</w:t>
      </w:r>
      <w:r>
        <w:rPr>
          <w:rFonts w:ascii="Times New Roman" w:hAnsi="Times New Roman" w:cs="Times New Roman"/>
          <w:color w:val="auto"/>
          <w:sz w:val="28"/>
          <w:szCs w:val="28"/>
        </w:rPr>
        <w:t xml:space="preserve">         GB17914-2013</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《建筑设计防火规范》（</w:t>
      </w:r>
      <w:r>
        <w:rPr>
          <w:rFonts w:ascii="Times New Roman" w:hAnsi="Times New Roman" w:cs="Times New Roman"/>
          <w:color w:val="auto"/>
          <w:sz w:val="28"/>
          <w:szCs w:val="28"/>
        </w:rPr>
        <w:t>2018</w:t>
      </w:r>
      <w:r>
        <w:rPr>
          <w:rFonts w:hint="eastAsia" w:ascii="Times New Roman" w:hAnsi="Times New Roman" w:cs="宋体"/>
          <w:color w:val="auto"/>
          <w:sz w:val="28"/>
          <w:szCs w:val="28"/>
        </w:rPr>
        <w:t>年修订版）</w:t>
      </w:r>
      <w:r>
        <w:rPr>
          <w:rFonts w:ascii="Times New Roman" w:hAnsi="Times New Roman" w:cs="Times New Roman"/>
          <w:color w:val="auto"/>
          <w:sz w:val="28"/>
          <w:szCs w:val="28"/>
        </w:rPr>
        <w:t xml:space="preserve">         GB50016-2014</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《危险化学品重大危险源辨识》</w:t>
      </w:r>
      <w:r>
        <w:rPr>
          <w:rFonts w:ascii="Times New Roman" w:hAnsi="Times New Roman" w:cs="Times New Roman"/>
          <w:color w:val="auto"/>
          <w:sz w:val="28"/>
          <w:szCs w:val="28"/>
        </w:rPr>
        <w:t xml:space="preserve">              GB18218-2018</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《建筑物防雷设计规范》</w:t>
      </w:r>
      <w:r>
        <w:rPr>
          <w:rFonts w:ascii="Times New Roman" w:hAnsi="Times New Roman" w:cs="Times New Roman"/>
          <w:color w:val="auto"/>
          <w:sz w:val="28"/>
          <w:szCs w:val="28"/>
        </w:rPr>
        <w:t xml:space="preserve">                     GB50057-2010</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《建筑抗震设计规范》（</w:t>
      </w:r>
      <w:r>
        <w:rPr>
          <w:rFonts w:ascii="Times New Roman" w:hAnsi="Times New Roman" w:cs="Times New Roman"/>
          <w:color w:val="auto"/>
          <w:sz w:val="28"/>
          <w:szCs w:val="28"/>
        </w:rPr>
        <w:t>2016</w:t>
      </w:r>
      <w:r>
        <w:rPr>
          <w:rFonts w:hint="eastAsia" w:ascii="Times New Roman" w:hAnsi="Times New Roman" w:cs="宋体"/>
          <w:color w:val="auto"/>
          <w:sz w:val="28"/>
          <w:szCs w:val="28"/>
        </w:rPr>
        <w:t>年版）</w:t>
      </w:r>
      <w:r>
        <w:rPr>
          <w:rFonts w:ascii="Times New Roman" w:hAnsi="Times New Roman" w:cs="Times New Roman"/>
          <w:color w:val="auto"/>
          <w:sz w:val="28"/>
          <w:szCs w:val="28"/>
        </w:rPr>
        <w:t xml:space="preserve">             GB50011-2010 </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《建筑灭火器配置设计规范》</w:t>
      </w:r>
      <w:r>
        <w:rPr>
          <w:rFonts w:ascii="Times New Roman" w:hAnsi="Times New Roman" w:cs="Times New Roman"/>
          <w:color w:val="auto"/>
          <w:sz w:val="28"/>
          <w:szCs w:val="28"/>
        </w:rPr>
        <w:t xml:space="preserve">                 GB50140-2005</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《爆炸危险环境电力装置设计规范》</w:t>
      </w:r>
      <w:r>
        <w:rPr>
          <w:rFonts w:ascii="Times New Roman" w:hAnsi="Times New Roman" w:cs="Times New Roman"/>
          <w:color w:val="auto"/>
          <w:sz w:val="28"/>
          <w:szCs w:val="28"/>
        </w:rPr>
        <w:t xml:space="preserve">           GB50058-2014</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《安全标志及其使用导则》</w:t>
      </w:r>
      <w:r>
        <w:rPr>
          <w:rFonts w:ascii="Times New Roman" w:hAnsi="Times New Roman" w:cs="Times New Roman"/>
          <w:color w:val="auto"/>
          <w:sz w:val="28"/>
          <w:szCs w:val="28"/>
        </w:rPr>
        <w:t xml:space="preserve">                    GB2894-2008</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《供配电系统设计规范》</w:t>
      </w:r>
      <w:r>
        <w:rPr>
          <w:rFonts w:ascii="Times New Roman" w:hAnsi="Times New Roman" w:cs="Times New Roman"/>
          <w:color w:val="auto"/>
          <w:sz w:val="28"/>
          <w:szCs w:val="28"/>
        </w:rPr>
        <w:t xml:space="preserve">                     GB50052-2009</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《低压配电设计规范》</w:t>
      </w:r>
      <w:r>
        <w:rPr>
          <w:rFonts w:ascii="Times New Roman" w:hAnsi="Times New Roman" w:cs="Times New Roman"/>
          <w:color w:val="auto"/>
          <w:sz w:val="28"/>
          <w:szCs w:val="28"/>
        </w:rPr>
        <w:t xml:space="preserve">                       GB50054-2011</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《防止静电事故通用导则》</w:t>
      </w:r>
      <w:r>
        <w:rPr>
          <w:rFonts w:ascii="Times New Roman" w:hAnsi="Times New Roman" w:cs="Times New Roman"/>
          <w:color w:val="auto"/>
          <w:sz w:val="28"/>
          <w:szCs w:val="28"/>
        </w:rPr>
        <w:t xml:space="preserve">                   GB12158-2006</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《职业性接触毒物危害程度分级》</w:t>
      </w:r>
      <w:r>
        <w:rPr>
          <w:rFonts w:ascii="Times New Roman" w:hAnsi="Times New Roman" w:cs="Times New Roman"/>
          <w:color w:val="auto"/>
          <w:sz w:val="28"/>
          <w:szCs w:val="28"/>
        </w:rPr>
        <w:t xml:space="preserve">              GBZ230- 2010</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《企业职工伤亡事故分类》</w:t>
      </w:r>
      <w:r>
        <w:rPr>
          <w:rFonts w:ascii="Times New Roman" w:hAnsi="Times New Roman" w:cs="Times New Roman"/>
          <w:color w:val="auto"/>
          <w:sz w:val="28"/>
          <w:szCs w:val="28"/>
        </w:rPr>
        <w:t xml:space="preserve">                    GB6441-1986</w:t>
      </w:r>
    </w:p>
    <w:p>
      <w:pPr>
        <w:spacing w:line="600" w:lineRule="exact"/>
        <w:ind w:firstLine="560"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宋体"/>
          <w:color w:val="auto"/>
          <w:sz w:val="28"/>
          <w:szCs w:val="28"/>
        </w:rPr>
        <w:t>《生产过程危险和有害因素分类与代码》</w:t>
      </w:r>
      <w:r>
        <w:rPr>
          <w:rFonts w:ascii="Times New Roman" w:hAnsi="Times New Roman" w:cs="Times New Roman"/>
          <w:color w:val="auto"/>
          <w:sz w:val="28"/>
          <w:szCs w:val="28"/>
        </w:rPr>
        <w:t xml:space="preserve">      GB/T13861-20</w:t>
      </w:r>
      <w:r>
        <w:rPr>
          <w:rFonts w:hint="eastAsia" w:ascii="Times New Roman" w:hAnsi="Times New Roman" w:cs="Times New Roman"/>
          <w:color w:val="auto"/>
          <w:sz w:val="28"/>
          <w:szCs w:val="28"/>
          <w:lang w:val="en-US" w:eastAsia="zh-CN"/>
        </w:rPr>
        <w:t>22</w:t>
      </w:r>
    </w:p>
    <w:p>
      <w:pPr>
        <w:spacing w:line="600" w:lineRule="exact"/>
        <w:ind w:left="559" w:leftChars="266"/>
        <w:jc w:val="left"/>
        <w:rPr>
          <w:rFonts w:ascii="Times New Roman" w:hAnsi="Times New Roman" w:cs="Times New Roman"/>
          <w:color w:val="auto"/>
          <w:sz w:val="28"/>
          <w:szCs w:val="28"/>
        </w:rPr>
      </w:pPr>
      <w:r>
        <w:rPr>
          <w:rFonts w:hint="eastAsia" w:ascii="Times New Roman" w:hAnsi="Times New Roman" w:cs="宋体"/>
          <w:color w:val="auto"/>
          <w:sz w:val="28"/>
          <w:szCs w:val="28"/>
        </w:rPr>
        <w:t>《建筑采光设计标准》</w:t>
      </w:r>
      <w:r>
        <w:rPr>
          <w:rFonts w:ascii="Times New Roman" w:hAnsi="Times New Roman" w:cs="Times New Roman"/>
          <w:color w:val="auto"/>
          <w:sz w:val="28"/>
          <w:szCs w:val="28"/>
        </w:rPr>
        <w:t xml:space="preserve">                       GB50033-2013</w:t>
      </w:r>
    </w:p>
    <w:p>
      <w:pPr>
        <w:spacing w:line="600" w:lineRule="exact"/>
        <w:ind w:firstLine="560" w:firstLineChars="200"/>
        <w:jc w:val="left"/>
        <w:rPr>
          <w:rFonts w:hint="default" w:ascii="Times New Roman" w:hAnsi="Times New Roman" w:eastAsia="宋体" w:cs="宋体"/>
          <w:color w:val="auto"/>
          <w:sz w:val="28"/>
          <w:szCs w:val="28"/>
          <w:lang w:val="en-US" w:eastAsia="zh-CN"/>
        </w:rPr>
      </w:pPr>
      <w:r>
        <w:rPr>
          <w:rFonts w:hint="eastAsia" w:ascii="Times New Roman" w:hAnsi="Times New Roman" w:cs="宋体"/>
          <w:color w:val="auto"/>
          <w:sz w:val="28"/>
          <w:szCs w:val="28"/>
          <w:lang w:eastAsia="zh-CN"/>
        </w:rPr>
        <w:t>《危险化学品经营企业安全技术基本要求》</w:t>
      </w:r>
      <w:r>
        <w:rPr>
          <w:rFonts w:hint="eastAsia" w:ascii="Times New Roman" w:hAnsi="Times New Roman" w:cs="宋体"/>
          <w:color w:val="auto"/>
          <w:sz w:val="28"/>
          <w:szCs w:val="28"/>
          <w:lang w:val="en-US" w:eastAsia="zh-CN"/>
        </w:rPr>
        <w:t xml:space="preserve">     GB18265-2019</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《安全评价通则》</w:t>
      </w:r>
      <w:r>
        <w:rPr>
          <w:rFonts w:ascii="Times New Roman" w:hAnsi="Times New Roman" w:cs="Times New Roman"/>
          <w:color w:val="auto"/>
          <w:sz w:val="28"/>
          <w:szCs w:val="28"/>
        </w:rPr>
        <w:t xml:space="preserve">                            AQ8001-2007</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《安全验收评价导则》</w:t>
      </w:r>
      <w:r>
        <w:rPr>
          <w:rFonts w:ascii="Times New Roman" w:hAnsi="Times New Roman" w:cs="Times New Roman"/>
          <w:color w:val="auto"/>
          <w:sz w:val="28"/>
          <w:szCs w:val="28"/>
        </w:rPr>
        <w:t xml:space="preserve">                        AQ8003-2007</w:t>
      </w:r>
    </w:p>
    <w:p>
      <w:pPr>
        <w:spacing w:line="600" w:lineRule="exact"/>
        <w:ind w:left="420" w:left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《生产经营单位生产安全事故应急预案编制导则》</w:t>
      </w:r>
      <w:r>
        <w:rPr>
          <w:rFonts w:ascii="Times New Roman" w:hAnsi="Times New Roman" w:cs="Times New Roman"/>
          <w:color w:val="auto"/>
          <w:sz w:val="28"/>
          <w:szCs w:val="28"/>
        </w:rPr>
        <w:t>GB/T29639-2020</w:t>
      </w:r>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pPr>
        <w:pStyle w:val="5"/>
        <w:spacing w:line="580" w:lineRule="exact"/>
        <w:rPr>
          <w:rFonts w:cs="Times New Roman"/>
          <w:color w:val="auto"/>
        </w:rPr>
      </w:pPr>
      <w:bookmarkStart w:id="16" w:name="_Toc1957"/>
      <w:r>
        <w:rPr>
          <w:color w:val="auto"/>
        </w:rPr>
        <w:t>1.2.3</w:t>
      </w:r>
      <w:r>
        <w:rPr>
          <w:rFonts w:hint="eastAsia" w:cs="宋体"/>
          <w:color w:val="auto"/>
        </w:rPr>
        <w:t>相关资料</w:t>
      </w:r>
      <w:bookmarkEnd w:id="16"/>
    </w:p>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营业执照、土地证明、防雷装置检测检验报告；设计单位、施工单位、监理单位资质；安全管理制度、操作规程、应急预案及备案、竣工图。</w:t>
      </w:r>
    </w:p>
    <w:bookmarkEnd w:id="10"/>
    <w:bookmarkEnd w:id="11"/>
    <w:bookmarkEnd w:id="12"/>
    <w:p>
      <w:pPr>
        <w:pStyle w:val="4"/>
        <w:spacing w:line="580" w:lineRule="exact"/>
        <w:rPr>
          <w:color w:val="auto"/>
        </w:rPr>
      </w:pPr>
      <w:bookmarkStart w:id="17" w:name="_Toc29244"/>
      <w:bookmarkStart w:id="18" w:name="_Toc8163"/>
      <w:r>
        <w:rPr>
          <w:color w:val="auto"/>
        </w:rPr>
        <w:t>1.3</w:t>
      </w:r>
      <w:r>
        <w:rPr>
          <w:rFonts w:hint="eastAsia" w:cs="宋体"/>
          <w:color w:val="auto"/>
        </w:rPr>
        <w:t>评价范围及内容</w:t>
      </w:r>
      <w:bookmarkEnd w:id="17"/>
      <w:bookmarkEnd w:id="18"/>
    </w:p>
    <w:p>
      <w:pPr>
        <w:pStyle w:val="5"/>
        <w:spacing w:line="580" w:lineRule="exact"/>
        <w:rPr>
          <w:rFonts w:cs="Times New Roman"/>
          <w:color w:val="auto"/>
        </w:rPr>
      </w:pPr>
      <w:bookmarkStart w:id="19" w:name="_Toc8274"/>
      <w:r>
        <w:rPr>
          <w:color w:val="auto"/>
        </w:rPr>
        <w:t>1.3.1</w:t>
      </w:r>
      <w:r>
        <w:rPr>
          <w:rFonts w:hint="eastAsia" w:cs="宋体"/>
          <w:color w:val="auto"/>
        </w:rPr>
        <w:t>评价范围</w:t>
      </w:r>
      <w:bookmarkEnd w:id="19"/>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根据委托，本次评价范围为新建项目的建（构）筑物、经营、储存装置及其平面布置以及对项目的外部环境的评价，对企业安全管理、应急措施的评价。</w:t>
      </w:r>
    </w:p>
    <w:p>
      <w:pPr>
        <w:spacing w:line="600" w:lineRule="exact"/>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rPr>
        <w:t>消防执行国家和地方消防方面的法规和标准。</w:t>
      </w:r>
      <w:r>
        <w:rPr>
          <w:rFonts w:hint="eastAsia" w:ascii="Times New Roman" w:hAnsi="Times New Roman" w:cs="宋体"/>
          <w:color w:val="auto"/>
          <w:sz w:val="28"/>
          <w:szCs w:val="28"/>
          <w:lang w:val="en-US" w:eastAsia="zh-CN"/>
        </w:rPr>
        <w:t>该站未建设的充电装置以及该站涉及的</w:t>
      </w:r>
      <w:r>
        <w:rPr>
          <w:rFonts w:hint="eastAsia" w:ascii="Times New Roman" w:hAnsi="Times New Roman" w:cs="宋体"/>
          <w:color w:val="auto"/>
          <w:sz w:val="28"/>
          <w:szCs w:val="28"/>
        </w:rPr>
        <w:t>厂外机动车辆运输、职业危害及环境保护验收等</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均不在此次评价范围内</w:t>
      </w:r>
      <w:r>
        <w:rPr>
          <w:rFonts w:hint="eastAsia" w:ascii="Times New Roman" w:hAnsi="Times New Roman" w:cs="宋体"/>
          <w:color w:val="auto"/>
          <w:sz w:val="28"/>
          <w:szCs w:val="28"/>
          <w:lang w:eastAsia="zh-CN"/>
        </w:rPr>
        <w:t>。</w:t>
      </w:r>
    </w:p>
    <w:p>
      <w:pPr>
        <w:pStyle w:val="5"/>
        <w:spacing w:line="580" w:lineRule="exact"/>
        <w:rPr>
          <w:rFonts w:cs="Times New Roman"/>
          <w:color w:val="auto"/>
        </w:rPr>
      </w:pPr>
      <w:bookmarkStart w:id="20" w:name="_Toc26802"/>
      <w:r>
        <w:rPr>
          <w:color w:val="auto"/>
        </w:rPr>
        <w:t>1.3.2</w:t>
      </w:r>
      <w:r>
        <w:rPr>
          <w:rFonts w:hint="eastAsia" w:cs="宋体"/>
          <w:color w:val="auto"/>
        </w:rPr>
        <w:t>评价内容</w:t>
      </w:r>
      <w:bookmarkEnd w:id="20"/>
    </w:p>
    <w:p>
      <w:pPr>
        <w:spacing w:line="60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、检查项目中安全设施是否与主体工程同时设计、同时施工、同时投入生产和使用；检查与评价项目及与之配套的安全设施是否符合国家有关安全生产的法律、法规和标准。</w:t>
      </w:r>
    </w:p>
    <w:p>
      <w:pPr>
        <w:spacing w:line="60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、检查项目运行情况，以及对员工的安全教育培训情况和作业人员的培训、取证情况；</w:t>
      </w:r>
    </w:p>
    <w:p>
      <w:pPr>
        <w:spacing w:line="600" w:lineRule="exact"/>
        <w:ind w:firstLine="536" w:firstLineChars="200"/>
        <w:jc w:val="left"/>
        <w:rPr>
          <w:rFonts w:ascii="Times New Roman" w:hAnsi="Times New Roman" w:cs="Times New Roman"/>
          <w:color w:val="auto"/>
          <w:spacing w:val="-6"/>
          <w:sz w:val="28"/>
          <w:szCs w:val="28"/>
        </w:rPr>
      </w:pPr>
      <w:r>
        <w:rPr>
          <w:rFonts w:ascii="Times New Roman" w:hAnsi="Times New Roman" w:cs="Times New Roman"/>
          <w:color w:val="auto"/>
          <w:spacing w:val="-6"/>
          <w:sz w:val="28"/>
          <w:szCs w:val="28"/>
        </w:rPr>
        <w:t>3</w:t>
      </w:r>
      <w:r>
        <w:rPr>
          <w:rFonts w:hint="eastAsia" w:ascii="Times New Roman" w:hAnsi="Times New Roman" w:cs="宋体"/>
          <w:color w:val="auto"/>
          <w:spacing w:val="-6"/>
          <w:sz w:val="28"/>
          <w:szCs w:val="28"/>
        </w:rPr>
        <w:t>、检查安全生产管理体系及安全生产管理制度的建立健全和执行情况；</w:t>
      </w:r>
    </w:p>
    <w:p>
      <w:pPr>
        <w:spacing w:line="60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pPr>
        <w:spacing w:line="60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5</w:t>
      </w:r>
      <w:r>
        <w:rPr>
          <w:rFonts w:hint="eastAsia" w:ascii="Times New Roman" w:hAnsi="Times New Roman" w:cs="宋体"/>
          <w:color w:val="auto"/>
          <w:sz w:val="28"/>
          <w:szCs w:val="28"/>
        </w:rPr>
        <w:t>、分析项目工程中存在的危险、有害因素，采用安全检查表法检查工程项目与国家相关标准的符合性；</w:t>
      </w:r>
    </w:p>
    <w:p>
      <w:pPr>
        <w:spacing w:line="60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6</w:t>
      </w:r>
      <w:r>
        <w:rPr>
          <w:rFonts w:hint="eastAsia" w:ascii="Times New Roman" w:hAnsi="Times New Roman" w:cs="宋体"/>
          <w:color w:val="auto"/>
          <w:sz w:val="28"/>
          <w:szCs w:val="28"/>
        </w:rPr>
        <w:t>、采用定性、定量的评价方进行评价；</w:t>
      </w:r>
    </w:p>
    <w:p>
      <w:pPr>
        <w:spacing w:line="60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7</w:t>
      </w:r>
      <w:r>
        <w:rPr>
          <w:rFonts w:hint="eastAsia" w:ascii="Times New Roman" w:hAnsi="Times New Roman" w:cs="宋体"/>
          <w:color w:val="auto"/>
          <w:sz w:val="28"/>
          <w:szCs w:val="28"/>
        </w:rPr>
        <w:t>、提出对策措施和建议；</w:t>
      </w:r>
    </w:p>
    <w:p>
      <w:pPr>
        <w:spacing w:line="60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8</w:t>
      </w:r>
      <w:r>
        <w:rPr>
          <w:rFonts w:hint="eastAsia" w:ascii="Times New Roman" w:hAnsi="Times New Roman" w:cs="宋体"/>
          <w:color w:val="auto"/>
          <w:sz w:val="28"/>
          <w:szCs w:val="28"/>
        </w:rPr>
        <w:t>、得出评价结论。</w:t>
      </w:r>
    </w:p>
    <w:p>
      <w:pPr>
        <w:spacing w:line="600" w:lineRule="exact"/>
        <w:outlineLvl w:val="1"/>
        <w:rPr>
          <w:rStyle w:val="25"/>
          <w:color w:val="auto"/>
        </w:rPr>
      </w:pPr>
      <w:bookmarkStart w:id="21" w:name="_Toc31578"/>
      <w:bookmarkStart w:id="22" w:name="_Toc790"/>
      <w:bookmarkStart w:id="23" w:name="_Toc343692242"/>
      <w:r>
        <w:rPr>
          <w:rStyle w:val="25"/>
          <w:color w:val="auto"/>
        </w:rPr>
        <w:t>1.4</w:t>
      </w:r>
      <w:r>
        <w:rPr>
          <w:rStyle w:val="25"/>
          <w:rFonts w:hint="eastAsia" w:cs="宋体"/>
          <w:color w:val="auto"/>
        </w:rPr>
        <w:t>评价程序</w:t>
      </w:r>
      <w:bookmarkEnd w:id="21"/>
      <w:bookmarkEnd w:id="22"/>
      <w:bookmarkEnd w:id="23"/>
    </w:p>
    <w:p>
      <w:pPr>
        <w:spacing w:line="62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pPr>
        <w:rPr>
          <w:rFonts w:ascii="Times New Roman" w:hAnsi="Times New Roman" w:cs="Times New Roman"/>
          <w:color w:val="auto"/>
          <w:sz w:val="24"/>
          <w:szCs w:val="24"/>
        </w:rPr>
      </w:pPr>
    </w:p>
    <w:p>
      <w:pPr>
        <w:rPr>
          <w:rFonts w:ascii="Times New Roman" w:hAnsi="Times New Roman" w:cs="Times New Roman"/>
          <w:color w:val="auto"/>
          <w:sz w:val="24"/>
          <w:szCs w:val="24"/>
        </w:rPr>
      </w:pPr>
      <w:r>
        <w:rPr>
          <w:color w:val="auto"/>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-118110</wp:posOffset>
                </wp:positionV>
                <wp:extent cx="2368550" cy="3789045"/>
                <wp:effectExtent l="5080" t="4445" r="1397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upright="1"/>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upright="1"/>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upright="1"/>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upright="1"/>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upright="1"/>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组合 85" o:spid="_x0000_s1026" o:spt="203" style="position:absolute;left:0pt;margin-left:112.55pt;margin-top:-9.3pt;height:298.35pt;width:186.5pt;z-index:251659264;mso-width-relative:page;mso-height-relative:page;" coordorigin="4821,196352" coordsize="3730,5967" o:gfxdata="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pPr>
        <w:rPr>
          <w:rFonts w:ascii="Times New Roman" w:hAnsi="Times New Roman" w:cs="Times New Roman"/>
          <w:color w:val="auto"/>
          <w:sz w:val="24"/>
          <w:szCs w:val="24"/>
        </w:rPr>
      </w:pPr>
    </w:p>
    <w:p>
      <w:pPr>
        <w:jc w:val="center"/>
        <w:rPr>
          <w:rFonts w:ascii="Times New Roman" w:hAnsi="Times New Roman" w:cs="Times New Roman"/>
          <w:b/>
          <w:bCs/>
          <w:color w:val="auto"/>
          <w:sz w:val="28"/>
          <w:szCs w:val="28"/>
        </w:rPr>
      </w:pPr>
    </w:p>
    <w:p>
      <w:pPr>
        <w:rPr>
          <w:rFonts w:ascii="Times New Roman" w:hAnsi="Times New Roman" w:cs="Times New Roman"/>
          <w:b/>
          <w:bCs/>
          <w:color w:val="auto"/>
          <w:sz w:val="28"/>
          <w:szCs w:val="28"/>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pStyle w:val="38"/>
        <w:rPr>
          <w:rFonts w:cs="Times New Roman"/>
          <w:color w:val="auto"/>
        </w:rPr>
      </w:pPr>
    </w:p>
    <w:p>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pPr>
        <w:pStyle w:val="38"/>
        <w:spacing w:line="360" w:lineRule="auto"/>
        <w:outlineLvl w:val="0"/>
        <w:rPr>
          <w:rStyle w:val="24"/>
          <w:color w:val="auto"/>
        </w:rPr>
      </w:pPr>
      <w:bookmarkStart w:id="24" w:name="_Toc22287"/>
      <w:bookmarkStart w:id="25" w:name="_Toc343692243"/>
      <w:bookmarkStart w:id="26" w:name="_Toc3289"/>
      <w:r>
        <w:rPr>
          <w:rStyle w:val="24"/>
          <w:color w:val="auto"/>
        </w:rPr>
        <w:br w:type="page"/>
      </w:r>
      <w:bookmarkStart w:id="27" w:name="_Toc7805"/>
      <w:r>
        <w:rPr>
          <w:rFonts w:hint="eastAsia" w:ascii="Times New Roman" w:hAnsi="Times New Roman" w:eastAsia="宋体" w:cs="宋体"/>
          <w:b/>
          <w:bCs/>
          <w:color w:val="auto"/>
          <w:kern w:val="36"/>
          <w:sz w:val="28"/>
          <w:szCs w:val="28"/>
          <w:lang w:val="en-US" w:eastAsia="zh-CN" w:bidi="ar-SA"/>
        </w:rPr>
        <w:t>2 加油站概况</w:t>
      </w:r>
      <w:bookmarkEnd w:id="24"/>
      <w:bookmarkEnd w:id="25"/>
      <w:bookmarkEnd w:id="26"/>
      <w:bookmarkEnd w:id="27"/>
    </w:p>
    <w:p>
      <w:pPr>
        <w:pStyle w:val="4"/>
        <w:spacing w:line="360" w:lineRule="auto"/>
        <w:rPr>
          <w:color w:val="auto"/>
        </w:rPr>
      </w:pPr>
      <w:bookmarkStart w:id="28" w:name="_Toc13423"/>
      <w:bookmarkStart w:id="29" w:name="_Toc26252"/>
      <w:r>
        <w:rPr>
          <w:color w:val="auto"/>
        </w:rPr>
        <w:t>2.1</w:t>
      </w:r>
      <w:r>
        <w:rPr>
          <w:rFonts w:hint="eastAsia" w:cs="宋体"/>
          <w:color w:val="auto"/>
        </w:rPr>
        <w:t>建设项目基本情况</w:t>
      </w:r>
      <w:bookmarkEnd w:id="28"/>
    </w:p>
    <w:p>
      <w:pPr>
        <w:pStyle w:val="5"/>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pPr>
        <w:keepNext/>
        <w:keepLines/>
        <w:spacing w:line="360" w:lineRule="auto"/>
        <w:ind w:firstLine="560" w:firstLineChars="200"/>
        <w:rPr>
          <w:rFonts w:hint="default" w:ascii="Times New Roman" w:hAnsi="Times New Roman" w:cs="Times New Roman"/>
          <w:color w:val="auto"/>
          <w:sz w:val="28"/>
          <w:szCs w:val="28"/>
          <w:lang w:val="en-US"/>
        </w:rPr>
      </w:pPr>
      <w:r>
        <w:rPr>
          <w:rFonts w:hint="eastAsia" w:ascii="Times New Roman" w:hAnsi="Times New Roman" w:cs="宋体"/>
          <w:color w:val="auto"/>
          <w:sz w:val="28"/>
          <w:szCs w:val="28"/>
          <w:lang w:eastAsia="zh-CN"/>
        </w:rPr>
        <w:t>中国石化江西景德镇石油分公司鱼丽加油（充电、光伏）站</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1</w:t>
      </w:r>
      <w:r>
        <w:rPr>
          <w:rFonts w:hint="eastAsia" w:ascii="Times New Roman" w:hAnsi="Times New Roman" w:cs="宋体"/>
          <w:color w:val="auto"/>
          <w:sz w:val="28"/>
          <w:szCs w:val="28"/>
        </w:rPr>
        <w:t>年取得</w:t>
      </w:r>
      <w:r>
        <w:rPr>
          <w:rFonts w:hint="eastAsia" w:ascii="Times New Roman" w:hAnsi="Times New Roman" w:cs="宋体"/>
          <w:color w:val="auto"/>
          <w:sz w:val="28"/>
          <w:szCs w:val="28"/>
          <w:lang w:eastAsia="zh-CN"/>
        </w:rPr>
        <w:t>景德镇市昌江区发展和改革委员会</w:t>
      </w:r>
      <w:r>
        <w:rPr>
          <w:rFonts w:hint="eastAsia" w:ascii="Times New Roman" w:hAnsi="Times New Roman" w:cs="宋体"/>
          <w:color w:val="auto"/>
          <w:sz w:val="28"/>
          <w:szCs w:val="28"/>
        </w:rPr>
        <w:t>下发的《江西省企业投资项目备案登记信息表》，项目统一代码：</w:t>
      </w:r>
      <w:r>
        <w:rPr>
          <w:rFonts w:hint="eastAsia" w:ascii="Times New Roman" w:hAnsi="Times New Roman" w:cs="Times New Roman"/>
          <w:color w:val="auto"/>
          <w:sz w:val="28"/>
          <w:szCs w:val="28"/>
          <w:lang w:eastAsia="zh-CN"/>
        </w:rPr>
        <w:t>2111-360202-04-01-799699</w:t>
      </w:r>
      <w:r>
        <w:rPr>
          <w:rFonts w:hint="eastAsia" w:ascii="Times New Roman" w:hAnsi="Times New Roman" w:cs="宋体"/>
          <w:color w:val="auto"/>
          <w:sz w:val="28"/>
          <w:szCs w:val="28"/>
        </w:rPr>
        <w:t>；并于</w:t>
      </w:r>
      <w:r>
        <w:rPr>
          <w:rFonts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19</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7</w:t>
      </w:r>
      <w:r>
        <w:rPr>
          <w:rFonts w:hint="eastAsia" w:ascii="Times New Roman" w:hAnsi="Times New Roman" w:cs="宋体"/>
          <w:color w:val="auto"/>
          <w:sz w:val="28"/>
          <w:szCs w:val="28"/>
        </w:rPr>
        <w:t>月</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日取得</w:t>
      </w:r>
      <w:r>
        <w:rPr>
          <w:rFonts w:hint="eastAsia" w:ascii="Times New Roman" w:hAnsi="Times New Roman" w:cs="宋体"/>
          <w:color w:val="auto"/>
          <w:sz w:val="28"/>
          <w:szCs w:val="28"/>
          <w:lang w:eastAsia="zh-CN"/>
        </w:rPr>
        <w:t>江西省</w:t>
      </w:r>
      <w:r>
        <w:rPr>
          <w:rFonts w:hint="eastAsia" w:ascii="Times New Roman" w:hAnsi="Times New Roman" w:cs="宋体"/>
          <w:color w:val="auto"/>
          <w:sz w:val="28"/>
          <w:szCs w:val="28"/>
        </w:rPr>
        <w:t>商务</w:t>
      </w:r>
      <w:r>
        <w:rPr>
          <w:rFonts w:hint="eastAsia" w:ascii="Times New Roman" w:hAnsi="Times New Roman" w:cs="宋体"/>
          <w:color w:val="auto"/>
          <w:sz w:val="28"/>
          <w:szCs w:val="28"/>
          <w:lang w:eastAsia="zh-CN"/>
        </w:rPr>
        <w:t>厅颁发的成品油零售经营批准证书，有效期至</w:t>
      </w:r>
      <w:r>
        <w:rPr>
          <w:rFonts w:hint="eastAsia" w:ascii="Times New Roman" w:hAnsi="Times New Roman" w:cs="宋体"/>
          <w:color w:val="auto"/>
          <w:sz w:val="28"/>
          <w:szCs w:val="28"/>
          <w:lang w:val="en-US" w:eastAsia="zh-CN"/>
        </w:rPr>
        <w:t>2024年7月4日，油零证书第赣H01-21009号。</w:t>
      </w:r>
    </w:p>
    <w:p>
      <w:pPr>
        <w:spacing w:line="360" w:lineRule="auto"/>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该项目由</w:t>
      </w:r>
      <w:r>
        <w:rPr>
          <w:rFonts w:hint="eastAsia" w:ascii="Times New Roman" w:hAnsi="Times New Roman" w:cs="宋体"/>
          <w:color w:val="auto"/>
          <w:sz w:val="28"/>
          <w:szCs w:val="28"/>
          <w:lang w:eastAsia="zh-CN"/>
        </w:rPr>
        <w:t>江西省赣华安全科技有限公司</w:t>
      </w:r>
      <w:r>
        <w:rPr>
          <w:rFonts w:hint="eastAsia" w:ascii="Times New Roman" w:hAnsi="Times New Roman" w:cs="宋体"/>
          <w:color w:val="auto"/>
          <w:sz w:val="28"/>
          <w:szCs w:val="28"/>
        </w:rPr>
        <w:t>编制了《安全条件评价报告》，并于</w:t>
      </w:r>
      <w:r>
        <w:rPr>
          <w:rFonts w:hint="eastAsia" w:ascii="Times New Roman" w:hAnsi="Times New Roman" w:cs="宋体"/>
          <w:color w:val="auto"/>
          <w:sz w:val="28"/>
          <w:szCs w:val="28"/>
          <w:lang w:eastAsia="zh-CN"/>
        </w:rPr>
        <w:t>2022年10月14日</w:t>
      </w:r>
      <w:r>
        <w:rPr>
          <w:rFonts w:hint="eastAsia" w:ascii="Times New Roman" w:hAnsi="Times New Roman" w:cs="宋体"/>
          <w:color w:val="auto"/>
          <w:sz w:val="28"/>
          <w:szCs w:val="28"/>
        </w:rPr>
        <w:t>取得</w:t>
      </w:r>
      <w:r>
        <w:rPr>
          <w:rFonts w:hint="eastAsia" w:ascii="Times New Roman" w:hAnsi="Times New Roman" w:cs="宋体"/>
          <w:color w:val="auto"/>
          <w:sz w:val="28"/>
          <w:szCs w:val="28"/>
          <w:lang w:eastAsia="zh-CN"/>
        </w:rPr>
        <w:t>景德镇市应急管理局</w:t>
      </w:r>
      <w:r>
        <w:rPr>
          <w:rFonts w:hint="eastAsia" w:ascii="Times New Roman" w:hAnsi="Times New Roman" w:cs="宋体"/>
          <w:color w:val="auto"/>
          <w:sz w:val="28"/>
          <w:szCs w:val="28"/>
        </w:rPr>
        <w:t>出具的《危险化学品建设项目安全条件审查意见书》（</w:t>
      </w:r>
      <w:r>
        <w:rPr>
          <w:rFonts w:hint="eastAsia" w:ascii="Times New Roman" w:hAnsi="Times New Roman" w:cs="宋体"/>
          <w:color w:val="auto"/>
          <w:sz w:val="28"/>
          <w:szCs w:val="28"/>
          <w:lang w:eastAsia="zh-CN"/>
        </w:rPr>
        <w:t>景危化项目安条审字[2022]15号</w:t>
      </w:r>
      <w:r>
        <w:rPr>
          <w:rFonts w:hint="eastAsia" w:ascii="Times New Roman" w:hAnsi="Times New Roman" w:cs="宋体"/>
          <w:color w:val="auto"/>
          <w:sz w:val="28"/>
          <w:szCs w:val="28"/>
        </w:rPr>
        <w:t>）；由</w:t>
      </w:r>
      <w:r>
        <w:rPr>
          <w:rFonts w:hint="eastAsia" w:ascii="Times New Roman" w:hAnsi="Times New Roman" w:cs="宋体"/>
          <w:color w:val="auto"/>
          <w:sz w:val="28"/>
          <w:szCs w:val="28"/>
          <w:lang w:eastAsia="zh-CN"/>
        </w:rPr>
        <w:t>哈尔滨天源石化工程设计有限责任公司</w:t>
      </w:r>
      <w:r>
        <w:rPr>
          <w:rFonts w:hint="eastAsia" w:ascii="Times New Roman" w:hAnsi="Times New Roman" w:cs="宋体"/>
          <w:color w:val="auto"/>
          <w:sz w:val="28"/>
          <w:szCs w:val="28"/>
        </w:rPr>
        <w:t>编制了《安全设施设计》，并于</w:t>
      </w:r>
      <w:r>
        <w:rPr>
          <w:rFonts w:hint="eastAsia" w:ascii="Times New Roman" w:hAnsi="Times New Roman" w:cs="宋体"/>
          <w:color w:val="auto"/>
          <w:sz w:val="28"/>
          <w:szCs w:val="28"/>
          <w:lang w:eastAsia="zh-CN"/>
        </w:rPr>
        <w:t>2022年10月1</w:t>
      </w:r>
      <w:r>
        <w:rPr>
          <w:rFonts w:hint="eastAsia" w:ascii="Times New Roman" w:hAnsi="Times New Roman" w:cs="宋体"/>
          <w:color w:val="auto"/>
          <w:sz w:val="28"/>
          <w:szCs w:val="28"/>
          <w:lang w:val="en-US" w:eastAsia="zh-CN"/>
        </w:rPr>
        <w:t>7</w:t>
      </w:r>
      <w:r>
        <w:rPr>
          <w:rFonts w:hint="eastAsia" w:ascii="Times New Roman" w:hAnsi="Times New Roman" w:cs="宋体"/>
          <w:color w:val="auto"/>
          <w:sz w:val="28"/>
          <w:szCs w:val="28"/>
          <w:lang w:eastAsia="zh-CN"/>
        </w:rPr>
        <w:t>日</w:t>
      </w:r>
      <w:r>
        <w:rPr>
          <w:rFonts w:hint="eastAsia" w:ascii="Times New Roman" w:hAnsi="Times New Roman" w:cs="宋体"/>
          <w:color w:val="auto"/>
          <w:sz w:val="28"/>
          <w:szCs w:val="28"/>
        </w:rPr>
        <w:t>取得</w:t>
      </w:r>
      <w:r>
        <w:rPr>
          <w:rFonts w:hint="eastAsia" w:ascii="Times New Roman" w:hAnsi="Times New Roman" w:cs="宋体"/>
          <w:color w:val="auto"/>
          <w:sz w:val="28"/>
          <w:szCs w:val="28"/>
          <w:lang w:eastAsia="zh-CN"/>
        </w:rPr>
        <w:t>景德镇市应急管理局</w:t>
      </w:r>
      <w:r>
        <w:rPr>
          <w:rFonts w:hint="eastAsia" w:ascii="Times New Roman" w:hAnsi="Times New Roman" w:cs="宋体"/>
          <w:color w:val="auto"/>
          <w:sz w:val="28"/>
          <w:szCs w:val="28"/>
        </w:rPr>
        <w:t>出具的《危险化学品建设项目安全设施设计审查意见书》（</w:t>
      </w:r>
      <w:r>
        <w:rPr>
          <w:rFonts w:hint="eastAsia" w:ascii="Times New Roman" w:hAnsi="Times New Roman" w:cs="宋体"/>
          <w:color w:val="auto"/>
          <w:sz w:val="28"/>
          <w:szCs w:val="28"/>
          <w:lang w:eastAsia="zh-CN"/>
        </w:rPr>
        <w:t>景危化项目安条审字[2022]16号</w:t>
      </w:r>
      <w:r>
        <w:rPr>
          <w:rFonts w:hint="eastAsia" w:ascii="Times New Roman" w:hAnsi="Times New Roman" w:cs="宋体"/>
          <w:color w:val="auto"/>
          <w:sz w:val="28"/>
          <w:szCs w:val="28"/>
        </w:rPr>
        <w:t>）</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该新建项目情况为：</w:t>
      </w:r>
    </w:p>
    <w:p>
      <w:pPr>
        <w:spacing w:line="360" w:lineRule="auto"/>
        <w:ind w:firstLine="560" w:firstLineChars="200"/>
        <w:jc w:val="left"/>
        <w:rPr>
          <w:rFonts w:ascii="Times New Roman" w:hAnsi="Times New Roman" w:cs="Times New Roman"/>
          <w:color w:val="auto"/>
          <w:sz w:val="28"/>
          <w:szCs w:val="28"/>
          <w:lang w:val="zh-CN"/>
        </w:rPr>
      </w:pPr>
      <w:r>
        <w:rPr>
          <w:rFonts w:hint="eastAsia" w:ascii="Times New Roman" w:hAnsi="Times New Roman" w:cs="宋体"/>
          <w:color w:val="auto"/>
          <w:sz w:val="28"/>
          <w:szCs w:val="28"/>
        </w:rPr>
        <w:t>油罐区：储罐区位于罩棚下方（车行道下）</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设置</w:t>
      </w:r>
      <w:r>
        <w:rPr>
          <w:rFonts w:hint="eastAsia" w:ascii="Times New Roman" w:hAnsi="Times New Roman" w:cs="Times New Roman"/>
          <w:color w:val="auto"/>
          <w:sz w:val="28"/>
          <w:szCs w:val="28"/>
          <w:lang w:val="en-US" w:eastAsia="zh-CN"/>
        </w:rPr>
        <w:t>3</w:t>
      </w:r>
      <w:r>
        <w:rPr>
          <w:rFonts w:hint="eastAsia" w:ascii="Times New Roman" w:hAnsi="Times New Roman" w:cs="宋体"/>
          <w:color w:val="auto"/>
          <w:sz w:val="28"/>
          <w:szCs w:val="28"/>
        </w:rPr>
        <w:t>个承重埋地卧式双层储罐，其中</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0m</w:t>
      </w:r>
      <w:r>
        <w:rPr>
          <w:rFonts w:ascii="Times New Roman" w:hAnsi="Times New Roman" w:cs="Times New Roman"/>
          <w:color w:val="auto"/>
          <w:sz w:val="28"/>
          <w:szCs w:val="28"/>
          <w:vertAlign w:val="superscript"/>
        </w:rPr>
        <w:t>3</w:t>
      </w:r>
      <w:r>
        <w:rPr>
          <w:rFonts w:hint="eastAsia" w:ascii="Times New Roman" w:hAnsi="Times New Roman" w:cs="宋体"/>
          <w:color w:val="auto"/>
          <w:sz w:val="28"/>
          <w:szCs w:val="28"/>
        </w:rPr>
        <w:t>的</w:t>
      </w:r>
      <w:r>
        <w:rPr>
          <w:rFonts w:ascii="Times New Roman" w:hAnsi="Times New Roman" w:cs="Times New Roman"/>
          <w:color w:val="auto"/>
          <w:sz w:val="28"/>
          <w:szCs w:val="28"/>
        </w:rPr>
        <w:t>0#</w:t>
      </w:r>
      <w:r>
        <w:rPr>
          <w:rFonts w:hint="eastAsia" w:ascii="Times New Roman" w:hAnsi="Times New Roman" w:cs="宋体"/>
          <w:color w:val="auto"/>
          <w:sz w:val="28"/>
          <w:szCs w:val="28"/>
        </w:rPr>
        <w:t>柴油储罐</w:t>
      </w:r>
      <w:r>
        <w:rPr>
          <w:rFonts w:hint="eastAsia" w:ascii="Times New Roman" w:hAnsi="Times New Roman" w:cs="Times New Roman"/>
          <w:color w:val="auto"/>
          <w:sz w:val="28"/>
          <w:szCs w:val="28"/>
          <w:lang w:val="en-US" w:eastAsia="zh-CN"/>
        </w:rPr>
        <w:t>1</w:t>
      </w:r>
      <w:r>
        <w:rPr>
          <w:rFonts w:hint="eastAsia" w:ascii="Times New Roman" w:hAnsi="Times New Roman" w:cs="宋体"/>
          <w:color w:val="auto"/>
          <w:sz w:val="28"/>
          <w:szCs w:val="28"/>
        </w:rPr>
        <w:t>个、</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0m</w:t>
      </w:r>
      <w:r>
        <w:rPr>
          <w:rFonts w:ascii="Times New Roman" w:hAnsi="Times New Roman" w:cs="Times New Roman"/>
          <w:color w:val="auto"/>
          <w:sz w:val="28"/>
          <w:szCs w:val="28"/>
          <w:vertAlign w:val="superscript"/>
        </w:rPr>
        <w:t>3</w:t>
      </w:r>
      <w:r>
        <w:rPr>
          <w:rFonts w:hint="eastAsia" w:ascii="Times New Roman" w:hAnsi="Times New Roman" w:cs="宋体"/>
          <w:color w:val="auto"/>
          <w:sz w:val="28"/>
          <w:szCs w:val="28"/>
        </w:rPr>
        <w:t>的</w:t>
      </w:r>
      <w:r>
        <w:rPr>
          <w:rFonts w:ascii="Times New Roman" w:hAnsi="Times New Roman" w:cs="Times New Roman"/>
          <w:color w:val="auto"/>
          <w:sz w:val="28"/>
          <w:szCs w:val="28"/>
        </w:rPr>
        <w:t>95#</w:t>
      </w:r>
      <w:r>
        <w:rPr>
          <w:rFonts w:hint="eastAsia" w:ascii="Times New Roman" w:hAnsi="Times New Roman" w:cs="宋体"/>
          <w:color w:val="auto"/>
          <w:sz w:val="28"/>
          <w:szCs w:val="28"/>
        </w:rPr>
        <w:t>汽油储罐</w:t>
      </w:r>
      <w:r>
        <w:rPr>
          <w:rFonts w:ascii="Times New Roman" w:hAnsi="Times New Roman" w:cs="Times New Roman"/>
          <w:color w:val="auto"/>
          <w:sz w:val="28"/>
          <w:szCs w:val="28"/>
        </w:rPr>
        <w:t>1</w:t>
      </w:r>
      <w:r>
        <w:rPr>
          <w:rFonts w:hint="eastAsia" w:ascii="Times New Roman" w:hAnsi="Times New Roman" w:cs="宋体"/>
          <w:color w:val="auto"/>
          <w:sz w:val="28"/>
          <w:szCs w:val="28"/>
        </w:rPr>
        <w:t>个、</w:t>
      </w:r>
      <w:r>
        <w:rPr>
          <w:rFonts w:hint="eastAsia" w:ascii="Times New Roman" w:hAnsi="Times New Roman" w:cs="Times New Roman"/>
          <w:color w:val="auto"/>
          <w:sz w:val="28"/>
          <w:szCs w:val="28"/>
          <w:lang w:val="en-US" w:eastAsia="zh-CN"/>
        </w:rPr>
        <w:t>50</w:t>
      </w:r>
      <w:r>
        <w:rPr>
          <w:rFonts w:ascii="Times New Roman" w:hAnsi="Times New Roman" w:cs="Times New Roman"/>
          <w:color w:val="auto"/>
          <w:sz w:val="28"/>
          <w:szCs w:val="28"/>
        </w:rPr>
        <w:t>m</w:t>
      </w:r>
      <w:r>
        <w:rPr>
          <w:rFonts w:ascii="Times New Roman" w:hAnsi="Times New Roman" w:cs="Times New Roman"/>
          <w:color w:val="auto"/>
          <w:sz w:val="28"/>
          <w:szCs w:val="28"/>
          <w:vertAlign w:val="superscript"/>
        </w:rPr>
        <w:t>3</w:t>
      </w:r>
      <w:r>
        <w:rPr>
          <w:rFonts w:hint="eastAsia" w:ascii="Times New Roman" w:hAnsi="Times New Roman" w:cs="宋体"/>
          <w:color w:val="auto"/>
          <w:sz w:val="28"/>
          <w:szCs w:val="28"/>
        </w:rPr>
        <w:t>的</w:t>
      </w:r>
      <w:r>
        <w:rPr>
          <w:rFonts w:ascii="Times New Roman" w:hAnsi="Times New Roman" w:cs="Times New Roman"/>
          <w:color w:val="auto"/>
          <w:sz w:val="28"/>
          <w:szCs w:val="28"/>
        </w:rPr>
        <w:t>92#</w:t>
      </w:r>
      <w:r>
        <w:rPr>
          <w:rFonts w:hint="eastAsia" w:ascii="Times New Roman" w:hAnsi="Times New Roman" w:cs="宋体"/>
          <w:color w:val="auto"/>
          <w:sz w:val="28"/>
          <w:szCs w:val="28"/>
        </w:rPr>
        <w:t>汽油储罐</w:t>
      </w:r>
      <w:r>
        <w:rPr>
          <w:rFonts w:hint="eastAsia" w:ascii="Times New Roman" w:hAnsi="Times New Roman" w:cs="Times New Roman"/>
          <w:color w:val="auto"/>
          <w:sz w:val="28"/>
          <w:szCs w:val="28"/>
          <w:lang w:val="en-US" w:eastAsia="zh-CN"/>
        </w:rPr>
        <w:t>1</w:t>
      </w:r>
      <w:r>
        <w:rPr>
          <w:rFonts w:hint="eastAsia" w:ascii="Times New Roman" w:hAnsi="Times New Roman" w:cs="宋体"/>
          <w:color w:val="auto"/>
          <w:sz w:val="28"/>
          <w:szCs w:val="28"/>
        </w:rPr>
        <w:t>个；埋地油罐采用</w:t>
      </w:r>
      <w:r>
        <w:rPr>
          <w:rFonts w:ascii="Times New Roman" w:hAnsi="Times New Roman" w:cs="Times New Roman"/>
          <w:color w:val="auto"/>
          <w:sz w:val="28"/>
          <w:szCs w:val="28"/>
        </w:rPr>
        <w:t>SF</w:t>
      </w:r>
      <w:r>
        <w:rPr>
          <w:rFonts w:hint="eastAsia" w:ascii="Times New Roman" w:hAnsi="Times New Roman" w:cs="宋体"/>
          <w:color w:val="auto"/>
          <w:sz w:val="28"/>
          <w:szCs w:val="28"/>
        </w:rPr>
        <w:t>双层油罐（即内钢外玻璃纤维增强塑料），设置通气管</w:t>
      </w:r>
      <w:r>
        <w:rPr>
          <w:rFonts w:hint="eastAsia" w:ascii="Times New Roman" w:hAnsi="Times New Roman" w:cs="Times New Roman"/>
          <w:color w:val="auto"/>
          <w:sz w:val="28"/>
          <w:szCs w:val="28"/>
          <w:lang w:val="en-US" w:eastAsia="zh-CN"/>
        </w:rPr>
        <w:t>2</w:t>
      </w:r>
      <w:r>
        <w:rPr>
          <w:rFonts w:hint="eastAsia" w:ascii="Times New Roman" w:hAnsi="Times New Roman" w:cs="宋体"/>
          <w:color w:val="auto"/>
          <w:sz w:val="28"/>
          <w:szCs w:val="28"/>
        </w:rPr>
        <w:t>根（汽油罐共用</w:t>
      </w:r>
      <w:r>
        <w:rPr>
          <w:rFonts w:ascii="Times New Roman" w:hAnsi="Times New Roman" w:cs="Times New Roman"/>
          <w:color w:val="auto"/>
          <w:sz w:val="28"/>
          <w:szCs w:val="28"/>
        </w:rPr>
        <w:t>1</w:t>
      </w:r>
      <w:r>
        <w:rPr>
          <w:rFonts w:hint="eastAsia" w:ascii="Times New Roman" w:hAnsi="Times New Roman" w:cs="宋体"/>
          <w:color w:val="auto"/>
          <w:sz w:val="28"/>
          <w:szCs w:val="28"/>
        </w:rPr>
        <w:t>根通气管，柴油罐设置</w:t>
      </w:r>
      <w:r>
        <w:rPr>
          <w:rFonts w:hint="eastAsia" w:ascii="Times New Roman" w:hAnsi="Times New Roman" w:cs="Times New Roman"/>
          <w:color w:val="auto"/>
          <w:sz w:val="28"/>
          <w:szCs w:val="28"/>
          <w:lang w:val="en-US" w:eastAsia="zh-CN"/>
        </w:rPr>
        <w:t>1</w:t>
      </w:r>
      <w:r>
        <w:rPr>
          <w:rFonts w:hint="eastAsia" w:ascii="Times New Roman" w:hAnsi="Times New Roman" w:cs="宋体"/>
          <w:color w:val="auto"/>
          <w:sz w:val="28"/>
          <w:szCs w:val="28"/>
        </w:rPr>
        <w:t>根通气管），油气回收管</w:t>
      </w:r>
      <w:r>
        <w:rPr>
          <w:rFonts w:ascii="Times New Roman" w:hAnsi="Times New Roman" w:cs="Times New Roman"/>
          <w:color w:val="auto"/>
          <w:sz w:val="28"/>
          <w:szCs w:val="28"/>
        </w:rPr>
        <w:t>1</w:t>
      </w:r>
      <w:r>
        <w:rPr>
          <w:rFonts w:hint="eastAsia" w:ascii="Times New Roman" w:hAnsi="Times New Roman" w:cs="宋体"/>
          <w:color w:val="auto"/>
          <w:sz w:val="28"/>
          <w:szCs w:val="28"/>
        </w:rPr>
        <w:t>根。通气管及油气回收管集中分布在油罐区的西</w:t>
      </w:r>
      <w:r>
        <w:rPr>
          <w:rFonts w:hint="eastAsia" w:ascii="Times New Roman" w:hAnsi="Times New Roman" w:cs="宋体"/>
          <w:color w:val="auto"/>
          <w:sz w:val="28"/>
          <w:szCs w:val="28"/>
          <w:lang w:eastAsia="zh-CN"/>
        </w:rPr>
        <w:t>南</w:t>
      </w:r>
      <w:r>
        <w:rPr>
          <w:rFonts w:hint="eastAsia" w:ascii="Times New Roman" w:hAnsi="Times New Roman" w:cs="宋体"/>
          <w:color w:val="auto"/>
          <w:sz w:val="28"/>
          <w:szCs w:val="28"/>
        </w:rPr>
        <w:t>侧</w:t>
      </w:r>
      <w:r>
        <w:rPr>
          <w:rFonts w:hint="eastAsia" w:ascii="Times New Roman" w:hAnsi="Times New Roman" w:cs="宋体"/>
          <w:color w:val="auto"/>
          <w:sz w:val="28"/>
          <w:szCs w:val="28"/>
          <w:lang w:val="zh-CN"/>
        </w:rPr>
        <w:t>。</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lang w:val="zh-CN"/>
        </w:rPr>
        <w:t>加油区：新建罩棚</w:t>
      </w:r>
      <w:r>
        <w:rPr>
          <w:rFonts w:hint="eastAsia" w:ascii="Times New Roman" w:hAnsi="Times New Roman" w:cs="Times New Roman"/>
          <w:color w:val="auto"/>
          <w:sz w:val="28"/>
          <w:szCs w:val="28"/>
          <w:lang w:val="en-US" w:eastAsia="zh-CN"/>
        </w:rPr>
        <w:t>702</w:t>
      </w:r>
      <w:r>
        <w:rPr>
          <w:rFonts w:ascii="Times New Roman" w:hAnsi="Times New Roman" w:cs="Times New Roman"/>
          <w:color w:val="auto"/>
          <w:sz w:val="28"/>
          <w:szCs w:val="28"/>
          <w:lang w:val="zh-CN"/>
        </w:rPr>
        <w:t>m²</w:t>
      </w:r>
      <w:r>
        <w:rPr>
          <w:rFonts w:hint="eastAsia" w:ascii="Times New Roman" w:hAnsi="Times New Roman" w:cs="宋体"/>
          <w:color w:val="auto"/>
          <w:sz w:val="28"/>
          <w:szCs w:val="28"/>
          <w:lang w:val="zh-CN"/>
        </w:rPr>
        <w:t>；新建</w:t>
      </w:r>
      <w:r>
        <w:rPr>
          <w:rFonts w:ascii="Times New Roman" w:hAnsi="Times New Roman" w:cs="Times New Roman"/>
          <w:color w:val="auto"/>
          <w:sz w:val="28"/>
          <w:szCs w:val="28"/>
        </w:rPr>
        <w:t>4</w:t>
      </w:r>
      <w:r>
        <w:rPr>
          <w:rFonts w:hint="eastAsia" w:ascii="Times New Roman" w:hAnsi="Times New Roman" w:cs="宋体"/>
          <w:color w:val="auto"/>
          <w:sz w:val="28"/>
          <w:szCs w:val="28"/>
          <w:lang w:val="zh-CN"/>
        </w:rPr>
        <w:t>个加油岛，设</w:t>
      </w:r>
      <w:r>
        <w:rPr>
          <w:rFonts w:ascii="Times New Roman" w:hAnsi="Times New Roman" w:cs="Times New Roman"/>
          <w:color w:val="auto"/>
          <w:sz w:val="28"/>
          <w:szCs w:val="28"/>
        </w:rPr>
        <w:t>4</w:t>
      </w:r>
      <w:r>
        <w:rPr>
          <w:rFonts w:hint="eastAsia" w:ascii="Times New Roman" w:hAnsi="Times New Roman" w:cs="宋体"/>
          <w:color w:val="auto"/>
          <w:sz w:val="28"/>
          <w:szCs w:val="28"/>
          <w:lang w:val="zh-CN"/>
        </w:rPr>
        <w:t>台四枪税控燃油加油机</w:t>
      </w:r>
      <w:r>
        <w:rPr>
          <w:rFonts w:hint="eastAsia" w:ascii="Times New Roman" w:hAnsi="Times New Roman" w:cs="宋体"/>
          <w:color w:val="auto"/>
          <w:sz w:val="28"/>
          <w:szCs w:val="28"/>
        </w:rPr>
        <w:t>，共</w:t>
      </w:r>
      <w:r>
        <w:rPr>
          <w:rFonts w:hint="eastAsia" w:ascii="Times New Roman" w:hAnsi="Times New Roman" w:cs="Times New Roman"/>
          <w:color w:val="auto"/>
          <w:sz w:val="28"/>
          <w:szCs w:val="28"/>
          <w:lang w:val="en-US" w:eastAsia="zh-CN"/>
        </w:rPr>
        <w:t>16</w:t>
      </w:r>
      <w:r>
        <w:rPr>
          <w:rFonts w:hint="eastAsia" w:ascii="Times New Roman" w:hAnsi="Times New Roman" w:cs="宋体"/>
          <w:color w:val="auto"/>
          <w:sz w:val="28"/>
          <w:szCs w:val="28"/>
        </w:rPr>
        <w:t>枪，其中汽油加油枪</w:t>
      </w:r>
      <w:r>
        <w:rPr>
          <w:rFonts w:hint="eastAsia" w:ascii="Times New Roman" w:hAnsi="Times New Roman" w:cs="Times New Roman"/>
          <w:color w:val="auto"/>
          <w:sz w:val="28"/>
          <w:szCs w:val="28"/>
          <w:lang w:val="en-US" w:eastAsia="zh-CN"/>
        </w:rPr>
        <w:t>11</w:t>
      </w:r>
      <w:r>
        <w:rPr>
          <w:rFonts w:hint="eastAsia" w:ascii="Times New Roman" w:hAnsi="Times New Roman" w:cs="宋体"/>
          <w:color w:val="auto"/>
          <w:sz w:val="28"/>
          <w:szCs w:val="28"/>
        </w:rPr>
        <w:t>把，柴油加油枪</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把</w:t>
      </w:r>
      <w:r>
        <w:rPr>
          <w:rFonts w:hint="eastAsia" w:ascii="Times New Roman" w:hAnsi="Times New Roman" w:cs="宋体"/>
          <w:color w:val="auto"/>
          <w:sz w:val="28"/>
          <w:szCs w:val="28"/>
          <w:lang w:val="zh-CN"/>
        </w:rPr>
        <w:t>。在靠出站口一侧的加油机上设有一台防爆的尿素加注一体机。</w:t>
      </w:r>
    </w:p>
    <w:p>
      <w:pPr>
        <w:spacing w:line="360" w:lineRule="auto"/>
        <w:ind w:firstLine="560" w:firstLineChars="200"/>
        <w:jc w:val="left"/>
        <w:rPr>
          <w:rFonts w:ascii="Times New Roman" w:hAnsi="Times New Roman" w:cs="Times New Roman"/>
          <w:color w:val="auto"/>
          <w:sz w:val="28"/>
          <w:szCs w:val="28"/>
          <w:lang w:val="zh-CN"/>
        </w:rPr>
      </w:pPr>
      <w:r>
        <w:rPr>
          <w:rFonts w:hint="eastAsia" w:ascii="Times New Roman" w:hAnsi="Times New Roman" w:cs="宋体"/>
          <w:color w:val="auto"/>
          <w:sz w:val="28"/>
          <w:szCs w:val="28"/>
          <w:lang w:val="zh-CN"/>
        </w:rPr>
        <w:t>（</w:t>
      </w:r>
      <w:r>
        <w:rPr>
          <w:rFonts w:ascii="Times New Roman" w:hAnsi="Times New Roman" w:cs="Times New Roman"/>
          <w:color w:val="auto"/>
          <w:sz w:val="28"/>
          <w:szCs w:val="28"/>
        </w:rPr>
        <w:t>3</w:t>
      </w:r>
      <w:r>
        <w:rPr>
          <w:rFonts w:hint="eastAsia" w:ascii="Times New Roman" w:hAnsi="Times New Roman" w:cs="宋体"/>
          <w:color w:val="auto"/>
          <w:sz w:val="28"/>
          <w:szCs w:val="28"/>
          <w:lang w:val="zh-CN"/>
        </w:rPr>
        <w:t>）站房：新建站房占地面积</w:t>
      </w:r>
      <w:r>
        <w:rPr>
          <w:rFonts w:hint="eastAsia" w:ascii="Times New Roman" w:hAnsi="Times New Roman" w:cs="Times New Roman"/>
          <w:color w:val="auto"/>
          <w:sz w:val="28"/>
          <w:szCs w:val="28"/>
          <w:lang w:eastAsia="zh-CN"/>
        </w:rPr>
        <w:t>169.69m</w:t>
      </w:r>
      <w:r>
        <w:rPr>
          <w:rFonts w:ascii="Times New Roman" w:hAnsi="Times New Roman" w:cs="Times New Roman"/>
          <w:color w:val="auto"/>
          <w:sz w:val="28"/>
          <w:szCs w:val="28"/>
          <w:lang w:val="zh-CN"/>
        </w:rPr>
        <w:t>²</w:t>
      </w:r>
      <w:r>
        <w:rPr>
          <w:rFonts w:hint="eastAsia" w:ascii="Times New Roman" w:hAnsi="Times New Roman" w:cs="宋体"/>
          <w:color w:val="auto"/>
          <w:sz w:val="28"/>
          <w:szCs w:val="28"/>
          <w:lang w:val="zh-CN"/>
        </w:rPr>
        <w:t>，一层，顶部设有光伏板。</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lang w:val="zh-CN"/>
        </w:rPr>
        <w:t>（</w:t>
      </w:r>
      <w:r>
        <w:rPr>
          <w:rFonts w:ascii="Times New Roman" w:hAnsi="Times New Roman" w:cs="Times New Roman"/>
          <w:color w:val="auto"/>
          <w:sz w:val="28"/>
          <w:szCs w:val="28"/>
        </w:rPr>
        <w:t>4</w:t>
      </w:r>
      <w:r>
        <w:rPr>
          <w:rFonts w:hint="eastAsia" w:ascii="Times New Roman" w:hAnsi="Times New Roman" w:cs="宋体"/>
          <w:color w:val="auto"/>
          <w:sz w:val="28"/>
          <w:szCs w:val="28"/>
          <w:lang w:val="zh-CN"/>
        </w:rPr>
        <w:t>）其他建（构）筑物包括卸油区、隔油池、通过式洗车机</w:t>
      </w:r>
      <w:r>
        <w:rPr>
          <w:rFonts w:hint="eastAsia" w:ascii="Times New Roman" w:hAnsi="Times New Roman" w:cs="宋体"/>
          <w:color w:val="auto"/>
          <w:sz w:val="28"/>
          <w:szCs w:val="28"/>
        </w:rPr>
        <w:t>。</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新建项目的基本组成见表</w:t>
      </w:r>
      <w:r>
        <w:rPr>
          <w:rFonts w:ascii="Times New Roman" w:hAnsi="Times New Roman" w:cs="Times New Roman"/>
          <w:color w:val="auto"/>
          <w:sz w:val="28"/>
          <w:szCs w:val="28"/>
        </w:rPr>
        <w:t>2-1</w:t>
      </w:r>
      <w:r>
        <w:rPr>
          <w:rFonts w:hint="eastAsia" w:ascii="Times New Roman" w:hAnsi="Times New Roman" w:cs="宋体"/>
          <w:color w:val="auto"/>
          <w:sz w:val="28"/>
          <w:szCs w:val="28"/>
        </w:rPr>
        <w:t>：</w:t>
      </w:r>
    </w:p>
    <w:p>
      <w:pPr>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 xml:space="preserve">2-1  </w:t>
      </w:r>
      <w:r>
        <w:rPr>
          <w:rFonts w:hint="eastAsia" w:ascii="Times New Roman" w:hAnsi="Times New Roman" w:cs="宋体"/>
          <w:b/>
          <w:bCs/>
          <w:color w:val="auto"/>
          <w:sz w:val="24"/>
          <w:szCs w:val="24"/>
        </w:rPr>
        <w:t>新建项目基本组成</w:t>
      </w:r>
    </w:p>
    <w:tbl>
      <w:tblPr>
        <w:tblStyle w:val="20"/>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717"/>
        <w:gridCol w:w="3050"/>
        <w:gridCol w:w="3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689"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序号</w:t>
            </w:r>
          </w:p>
        </w:tc>
        <w:tc>
          <w:tcPr>
            <w:tcW w:w="1717"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项目名称</w:t>
            </w:r>
          </w:p>
        </w:tc>
        <w:tc>
          <w:tcPr>
            <w:tcW w:w="3050"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面积、数量</w:t>
            </w:r>
          </w:p>
        </w:tc>
        <w:tc>
          <w:tcPr>
            <w:tcW w:w="3844"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8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71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罩棚</w:t>
            </w:r>
          </w:p>
        </w:tc>
        <w:tc>
          <w:tcPr>
            <w:tcW w:w="3050"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占地</w:t>
            </w:r>
            <w:r>
              <w:rPr>
                <w:rFonts w:hint="eastAsia" w:ascii="Times New Roman" w:hAnsi="Times New Roman" w:cs="Times New Roman"/>
                <w:color w:val="auto"/>
                <w:lang w:val="en-US" w:eastAsia="zh-CN"/>
              </w:rPr>
              <w:t>702</w:t>
            </w:r>
            <w:r>
              <w:rPr>
                <w:rFonts w:ascii="Times New Roman" w:hAnsi="Times New Roman" w:cs="Times New Roman"/>
                <w:color w:val="auto"/>
              </w:rPr>
              <w:t>m</w:t>
            </w:r>
            <w:r>
              <w:rPr>
                <w:rFonts w:ascii="Times New Roman" w:hAnsi="Times New Roman" w:cs="Times New Roman"/>
                <w:color w:val="auto"/>
                <w:vertAlign w:val="superscript"/>
              </w:rPr>
              <w:t>2</w:t>
            </w:r>
          </w:p>
        </w:tc>
        <w:tc>
          <w:tcPr>
            <w:tcW w:w="3844" w:type="dxa"/>
            <w:vAlign w:val="center"/>
          </w:tcPr>
          <w:p>
            <w:pPr>
              <w:spacing w:line="240" w:lineRule="exact"/>
              <w:rPr>
                <w:rFonts w:ascii="Times New Roman" w:hAnsi="Times New Roman" w:cs="Times New Roman"/>
                <w:color w:val="auto"/>
              </w:rPr>
            </w:pPr>
            <w:r>
              <w:rPr>
                <w:rFonts w:hint="eastAsia" w:ascii="Times New Roman" w:hAnsi="Times New Roman" w:cs="宋体"/>
                <w:color w:val="auto"/>
                <w:lang w:val="en-US" w:eastAsia="zh-CN"/>
              </w:rPr>
              <w:t>型钢</w:t>
            </w:r>
            <w:r>
              <w:rPr>
                <w:rFonts w:hint="eastAsia" w:ascii="Times New Roman" w:hAnsi="Times New Roman" w:cs="宋体"/>
                <w:color w:val="auto"/>
              </w:rPr>
              <w:t>结构，高</w:t>
            </w:r>
            <w:r>
              <w:rPr>
                <w:rFonts w:hint="eastAsia"/>
                <w:color w:val="auto"/>
                <w:lang w:val="en-US" w:eastAsia="zh-CN"/>
              </w:rPr>
              <w:t>6</w:t>
            </w:r>
            <w:r>
              <w:rPr>
                <w:rFonts w:ascii="Times New Roman" w:hAnsi="Times New Roman" w:cs="Times New Roman"/>
                <w:color w:val="auto"/>
              </w:rPr>
              <w:t>m</w:t>
            </w:r>
            <w:r>
              <w:rPr>
                <w:rFonts w:hint="eastAsia" w:ascii="Times New Roman" w:hAnsi="Times New Roman" w:cs="宋体"/>
                <w:color w:val="auto"/>
              </w:rPr>
              <w:t>，设</w:t>
            </w:r>
            <w:r>
              <w:rPr>
                <w:rFonts w:ascii="Times New Roman" w:hAnsi="Times New Roman" w:cs="Times New Roman"/>
                <w:color w:val="auto"/>
              </w:rPr>
              <w:t>4</w:t>
            </w:r>
            <w:r>
              <w:rPr>
                <w:rFonts w:hint="eastAsia" w:ascii="Times New Roman" w:hAnsi="Times New Roman" w:cs="宋体"/>
                <w:color w:val="auto"/>
              </w:rPr>
              <w:t>个立柱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68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2</w:t>
            </w:r>
          </w:p>
        </w:tc>
        <w:tc>
          <w:tcPr>
            <w:tcW w:w="171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站房</w:t>
            </w:r>
          </w:p>
        </w:tc>
        <w:tc>
          <w:tcPr>
            <w:tcW w:w="3050" w:type="dxa"/>
            <w:vAlign w:val="center"/>
          </w:tcPr>
          <w:p>
            <w:pPr>
              <w:spacing w:line="240" w:lineRule="exact"/>
              <w:jc w:val="center"/>
              <w:rPr>
                <w:rFonts w:ascii="Times New Roman" w:hAnsi="Times New Roman" w:eastAsia="Times New Roman" w:cs="Times New Roman"/>
                <w:color w:val="auto"/>
              </w:rPr>
            </w:pPr>
            <w:r>
              <w:rPr>
                <w:rFonts w:hint="eastAsia" w:ascii="Times New Roman" w:hAnsi="Times New Roman" w:cs="宋体"/>
                <w:color w:val="auto"/>
              </w:rPr>
              <w:t>占地面积</w:t>
            </w:r>
            <w:r>
              <w:rPr>
                <w:rFonts w:hint="eastAsia" w:ascii="Times New Roman" w:hAnsi="Times New Roman" w:cs="Times New Roman"/>
                <w:color w:val="auto"/>
                <w:lang w:val="en-US" w:eastAsia="zh-CN"/>
              </w:rPr>
              <w:t>169.69</w:t>
            </w:r>
            <w:r>
              <w:rPr>
                <w:rFonts w:ascii="Times New Roman" w:hAnsi="Times New Roman" w:cs="Times New Roman"/>
                <w:color w:val="auto"/>
              </w:rPr>
              <w:t>m</w:t>
            </w:r>
            <w:r>
              <w:rPr>
                <w:rFonts w:ascii="Times New Roman" w:hAnsi="Times New Roman" w:cs="Times New Roman"/>
                <w:color w:val="auto"/>
                <w:vertAlign w:val="superscript"/>
              </w:rPr>
              <w:t>2</w:t>
            </w:r>
          </w:p>
        </w:tc>
        <w:tc>
          <w:tcPr>
            <w:tcW w:w="3844" w:type="dxa"/>
            <w:vAlign w:val="center"/>
          </w:tcPr>
          <w:p>
            <w:pPr>
              <w:spacing w:line="240" w:lineRule="exact"/>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一</w:t>
            </w:r>
            <w:r>
              <w:rPr>
                <w:rFonts w:hint="eastAsia" w:ascii="Times New Roman" w:hAnsi="Times New Roman" w:cs="宋体"/>
                <w:color w:val="auto"/>
              </w:rPr>
              <w:t>层，</w:t>
            </w:r>
            <w:r>
              <w:rPr>
                <w:rFonts w:hint="eastAsia" w:ascii="Times New Roman" w:hAnsi="Times New Roman" w:cs="宋体"/>
                <w:color w:val="auto"/>
                <w:lang w:val="en-US" w:eastAsia="zh-CN"/>
              </w:rPr>
              <w:t>钢筋砼框架</w:t>
            </w:r>
            <w:r>
              <w:rPr>
                <w:rFonts w:hint="eastAsia" w:ascii="Times New Roman" w:hAnsi="Times New Roman" w:cs="宋体"/>
                <w:color w:val="auto"/>
              </w:rPr>
              <w:t>结构，</w:t>
            </w:r>
            <w:r>
              <w:rPr>
                <w:rFonts w:hint="eastAsia" w:ascii="Times New Roman" w:hAnsi="Times New Roman" w:eastAsia="宋体" w:cs="宋体"/>
                <w:color w:val="auto"/>
              </w:rPr>
              <w:t>内设营业室、办公室、配电间、卫生间、值班室、活动室、储藏间、淋浴室等</w:t>
            </w:r>
            <w:r>
              <w:rPr>
                <w:rFonts w:hint="eastAsia" w:ascii="Times New Roman" w:hAnsi="Times New Roman" w:cs="宋体"/>
                <w:color w:val="auto"/>
                <w:lang w:eastAsia="zh-CN"/>
              </w:rPr>
              <w:t>；顶部设有光伏板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8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171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埋地卧式</w:t>
            </w:r>
          </w:p>
          <w:p>
            <w:pPr>
              <w:spacing w:line="240" w:lineRule="exact"/>
              <w:jc w:val="center"/>
              <w:rPr>
                <w:rFonts w:ascii="Times New Roman" w:hAnsi="Times New Roman" w:cs="Times New Roman"/>
                <w:color w:val="auto"/>
              </w:rPr>
            </w:pPr>
            <w:r>
              <w:rPr>
                <w:rFonts w:ascii="Times New Roman" w:hAnsi="Times New Roman" w:cs="Times New Roman"/>
                <w:color w:val="auto"/>
              </w:rPr>
              <w:t>SF</w:t>
            </w:r>
            <w:r>
              <w:rPr>
                <w:rFonts w:hint="eastAsia" w:ascii="Times New Roman" w:hAnsi="Times New Roman" w:cs="宋体"/>
                <w:color w:val="auto"/>
              </w:rPr>
              <w:t>双层储罐</w:t>
            </w:r>
          </w:p>
        </w:tc>
        <w:tc>
          <w:tcPr>
            <w:tcW w:w="3050" w:type="dxa"/>
            <w:vAlign w:val="center"/>
          </w:tcPr>
          <w:p>
            <w:pPr>
              <w:spacing w:line="240" w:lineRule="exact"/>
              <w:rPr>
                <w:rFonts w:ascii="Times New Roman" w:hAnsi="Times New Roman" w:cs="Times New Roman"/>
                <w:color w:val="auto"/>
              </w:rPr>
            </w:pPr>
            <w:r>
              <w:rPr>
                <w:rFonts w:hint="eastAsia" w:ascii="Times New Roman" w:hAnsi="Times New Roman" w:cs="宋体"/>
                <w:color w:val="auto"/>
              </w:rPr>
              <w:t>共</w:t>
            </w:r>
            <w:r>
              <w:rPr>
                <w:rFonts w:hint="eastAsia" w:ascii="Times New Roman" w:hAnsi="Times New Roman" w:cs="宋体"/>
                <w:color w:val="auto"/>
                <w:lang w:val="en-US" w:eastAsia="zh-CN"/>
              </w:rPr>
              <w:t>1</w:t>
            </w:r>
            <w:r>
              <w:rPr>
                <w:rFonts w:hint="eastAsia" w:ascii="Times New Roman" w:hAnsi="Times New Roman" w:cs="Times New Roman"/>
                <w:color w:val="auto"/>
                <w:lang w:val="en-US" w:eastAsia="zh-CN"/>
              </w:rPr>
              <w:t>30</w:t>
            </w:r>
            <w:r>
              <w:rPr>
                <w:rFonts w:ascii="Times New Roman" w:hAnsi="Times New Roman" w:cs="Times New Roman"/>
                <w:color w:val="auto"/>
              </w:rPr>
              <w:t>m</w:t>
            </w:r>
            <w:r>
              <w:rPr>
                <w:rFonts w:ascii="Times New Roman" w:hAnsi="Times New Roman" w:cs="Times New Roman"/>
                <w:color w:val="auto"/>
                <w:vertAlign w:val="superscript"/>
              </w:rPr>
              <w:t>3</w:t>
            </w:r>
            <w:r>
              <w:rPr>
                <w:rFonts w:hint="eastAsia" w:ascii="Times New Roman" w:hAnsi="Times New Roman" w:cs="宋体"/>
                <w:color w:val="auto"/>
              </w:rPr>
              <w:t>，折算总储量</w:t>
            </w:r>
            <w:r>
              <w:rPr>
                <w:rFonts w:ascii="Times New Roman" w:hAnsi="Times New Roman" w:cs="Times New Roman"/>
                <w:color w:val="auto"/>
              </w:rPr>
              <w:t>1</w:t>
            </w:r>
            <w:r>
              <w:rPr>
                <w:rFonts w:hint="eastAsia" w:ascii="Times New Roman" w:hAnsi="Times New Roman" w:cs="Times New Roman"/>
                <w:color w:val="auto"/>
                <w:lang w:val="en-US" w:eastAsia="zh-CN"/>
              </w:rPr>
              <w:t>05</w:t>
            </w:r>
            <w:r>
              <w:rPr>
                <w:rFonts w:ascii="Times New Roman" w:hAnsi="Times New Roman" w:cs="Times New Roman"/>
                <w:color w:val="auto"/>
              </w:rPr>
              <w:t>m</w:t>
            </w:r>
            <w:r>
              <w:rPr>
                <w:rFonts w:ascii="Times New Roman" w:hAnsi="Times New Roman" w:cs="Times New Roman"/>
                <w:color w:val="auto"/>
                <w:vertAlign w:val="superscript"/>
              </w:rPr>
              <w:t>3</w:t>
            </w:r>
          </w:p>
        </w:tc>
        <w:tc>
          <w:tcPr>
            <w:tcW w:w="3844" w:type="dxa"/>
            <w:vAlign w:val="center"/>
          </w:tcPr>
          <w:p>
            <w:pPr>
              <w:spacing w:line="240" w:lineRule="exact"/>
              <w:rPr>
                <w:rFonts w:cs="Times New Roman"/>
                <w:color w:val="auto"/>
              </w:rPr>
            </w:pPr>
            <w:r>
              <w:rPr>
                <w:rFonts w:hint="eastAsia"/>
                <w:color w:val="auto"/>
                <w:lang w:val="en-US" w:eastAsia="zh-CN"/>
              </w:rPr>
              <w:t>5</w:t>
            </w:r>
            <w:r>
              <w:rPr>
                <w:color w:val="auto"/>
              </w:rPr>
              <w:t>0</w:t>
            </w:r>
            <w:r>
              <w:rPr>
                <w:rFonts w:ascii="Times New Roman" w:hAnsi="Times New Roman" w:cs="Times New Roman"/>
                <w:color w:val="auto"/>
              </w:rPr>
              <w:t>m</w:t>
            </w:r>
            <w:r>
              <w:rPr>
                <w:rFonts w:ascii="Times New Roman" w:hAnsi="Times New Roman" w:cs="Times New Roman"/>
                <w:color w:val="auto"/>
                <w:vertAlign w:val="superscript"/>
              </w:rPr>
              <w:t>3</w:t>
            </w:r>
            <w:r>
              <w:rPr>
                <w:color w:val="auto"/>
              </w:rPr>
              <w:t>0#</w:t>
            </w:r>
            <w:r>
              <w:rPr>
                <w:rFonts w:hint="eastAsia" w:cs="宋体"/>
                <w:color w:val="auto"/>
              </w:rPr>
              <w:t>柴油储罐</w:t>
            </w:r>
            <w:r>
              <w:rPr>
                <w:rFonts w:hint="eastAsia"/>
                <w:color w:val="auto"/>
                <w:lang w:val="en-US" w:eastAsia="zh-CN"/>
              </w:rPr>
              <w:t>1</w:t>
            </w:r>
            <w:r>
              <w:rPr>
                <w:rFonts w:hint="eastAsia" w:cs="宋体"/>
                <w:color w:val="auto"/>
              </w:rPr>
              <w:t>个</w:t>
            </w:r>
            <w:r>
              <w:rPr>
                <w:rFonts w:hint="eastAsia" w:cs="宋体"/>
                <w:color w:val="auto"/>
                <w:lang w:eastAsia="zh-CN"/>
              </w:rPr>
              <w:t>；</w:t>
            </w:r>
            <w:r>
              <w:rPr>
                <w:rFonts w:hint="eastAsia"/>
                <w:color w:val="auto"/>
                <w:lang w:val="en-US" w:eastAsia="zh-CN"/>
              </w:rPr>
              <w:t>50</w:t>
            </w:r>
            <w:r>
              <w:rPr>
                <w:rFonts w:ascii="Times New Roman" w:hAnsi="Times New Roman" w:cs="Times New Roman"/>
                <w:color w:val="auto"/>
              </w:rPr>
              <w:t>m</w:t>
            </w:r>
            <w:r>
              <w:rPr>
                <w:rFonts w:ascii="Times New Roman" w:hAnsi="Times New Roman" w:cs="Times New Roman"/>
                <w:color w:val="auto"/>
                <w:vertAlign w:val="superscript"/>
              </w:rPr>
              <w:t>3</w:t>
            </w:r>
            <w:r>
              <w:rPr>
                <w:color w:val="auto"/>
              </w:rPr>
              <w:t>92#</w:t>
            </w:r>
            <w:r>
              <w:rPr>
                <w:rFonts w:hint="eastAsia" w:cs="宋体"/>
                <w:color w:val="auto"/>
              </w:rPr>
              <w:t>汽油储罐</w:t>
            </w:r>
            <w:r>
              <w:rPr>
                <w:rFonts w:hint="eastAsia"/>
                <w:color w:val="auto"/>
                <w:lang w:val="en-US" w:eastAsia="zh-CN"/>
              </w:rPr>
              <w:t>1</w:t>
            </w:r>
            <w:r>
              <w:rPr>
                <w:rFonts w:hint="eastAsia" w:cs="宋体"/>
                <w:color w:val="auto"/>
              </w:rPr>
              <w:t>个</w:t>
            </w:r>
            <w:r>
              <w:rPr>
                <w:rFonts w:hint="eastAsia" w:cs="宋体"/>
                <w:color w:val="auto"/>
                <w:lang w:eastAsia="zh-CN"/>
              </w:rPr>
              <w:t>；</w:t>
            </w:r>
            <w:r>
              <w:rPr>
                <w:rFonts w:hint="eastAsia"/>
                <w:color w:val="auto"/>
                <w:lang w:val="en-US" w:eastAsia="zh-CN"/>
              </w:rPr>
              <w:t>3</w:t>
            </w:r>
            <w:r>
              <w:rPr>
                <w:color w:val="auto"/>
              </w:rPr>
              <w:t>0</w:t>
            </w:r>
            <w:r>
              <w:rPr>
                <w:rFonts w:ascii="Times New Roman" w:hAnsi="Times New Roman" w:cs="Times New Roman"/>
                <w:color w:val="auto"/>
              </w:rPr>
              <w:t>m</w:t>
            </w:r>
            <w:r>
              <w:rPr>
                <w:rFonts w:ascii="Times New Roman" w:hAnsi="Times New Roman" w:cs="Times New Roman"/>
                <w:color w:val="auto"/>
                <w:vertAlign w:val="superscript"/>
              </w:rPr>
              <w:t>3</w:t>
            </w:r>
            <w:r>
              <w:rPr>
                <w:color w:val="auto"/>
              </w:rPr>
              <w:t>95#</w:t>
            </w:r>
            <w:r>
              <w:rPr>
                <w:rFonts w:hint="eastAsia" w:cs="宋体"/>
                <w:color w:val="auto"/>
              </w:rPr>
              <w:t>汽油储罐</w:t>
            </w:r>
            <w:r>
              <w:rPr>
                <w:color w:val="auto"/>
              </w:rPr>
              <w:t>1</w:t>
            </w:r>
            <w:r>
              <w:rPr>
                <w:rFonts w:hint="eastAsia" w:cs="宋体"/>
                <w:color w:val="auto"/>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8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4</w:t>
            </w:r>
          </w:p>
        </w:tc>
        <w:tc>
          <w:tcPr>
            <w:tcW w:w="171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加油机</w:t>
            </w:r>
          </w:p>
        </w:tc>
        <w:tc>
          <w:tcPr>
            <w:tcW w:w="3050" w:type="dxa"/>
            <w:vAlign w:val="center"/>
          </w:tcPr>
          <w:p>
            <w:pPr>
              <w:spacing w:line="240" w:lineRule="exact"/>
              <w:jc w:val="center"/>
              <w:rPr>
                <w:rFonts w:ascii="Times New Roman" w:hAnsi="Times New Roman" w:eastAsia="Times New Roman" w:cs="Times New Roman"/>
                <w:color w:val="auto"/>
              </w:rPr>
            </w:pPr>
            <w:r>
              <w:rPr>
                <w:rFonts w:ascii="Times New Roman" w:hAnsi="Times New Roman" w:cs="Times New Roman"/>
                <w:color w:val="auto"/>
              </w:rPr>
              <w:t>4</w:t>
            </w:r>
            <w:r>
              <w:rPr>
                <w:rFonts w:hint="eastAsia" w:ascii="Times New Roman" w:hAnsi="Times New Roman" w:cs="宋体"/>
                <w:color w:val="auto"/>
              </w:rPr>
              <w:t>台</w:t>
            </w:r>
          </w:p>
        </w:tc>
        <w:tc>
          <w:tcPr>
            <w:tcW w:w="3844" w:type="dxa"/>
            <w:vAlign w:val="center"/>
          </w:tcPr>
          <w:p>
            <w:pPr>
              <w:spacing w:line="240" w:lineRule="exact"/>
              <w:rPr>
                <w:rFonts w:hint="eastAsia" w:ascii="Times New Roman" w:hAnsi="Times New Roman" w:cs="宋体"/>
                <w:color w:val="auto"/>
                <w:lang w:eastAsia="zh-CN"/>
              </w:rPr>
            </w:pPr>
            <w:r>
              <w:rPr>
                <w:rFonts w:hint="eastAsia" w:ascii="Times New Roman" w:hAnsi="Times New Roman" w:cs="Times New Roman"/>
                <w:color w:val="auto"/>
                <w:lang w:val="en-US" w:eastAsia="zh-CN"/>
              </w:rPr>
              <w:t>1</w:t>
            </w:r>
            <w:r>
              <w:rPr>
                <w:rFonts w:hint="eastAsia" w:ascii="Times New Roman" w:hAnsi="Times New Roman" w:cs="宋体"/>
                <w:color w:val="auto"/>
              </w:rPr>
              <w:t>台</w:t>
            </w:r>
            <w:r>
              <w:rPr>
                <w:rFonts w:ascii="Times New Roman" w:hAnsi="Times New Roman" w:cs="Times New Roman"/>
                <w:color w:val="auto"/>
              </w:rPr>
              <w:t>0#</w:t>
            </w:r>
            <w:r>
              <w:rPr>
                <w:rFonts w:hint="eastAsia" w:ascii="Times New Roman" w:hAnsi="Times New Roman" w:cs="宋体"/>
                <w:color w:val="auto"/>
              </w:rPr>
              <w:t>、</w:t>
            </w:r>
            <w:r>
              <w:rPr>
                <w:rFonts w:ascii="Times New Roman" w:hAnsi="Times New Roman" w:cs="Times New Roman"/>
                <w:color w:val="auto"/>
              </w:rPr>
              <w:t>0#</w:t>
            </w:r>
            <w:r>
              <w:rPr>
                <w:rFonts w:hint="eastAsia" w:ascii="Times New Roman" w:hAnsi="Times New Roman" w:cs="Times New Roman"/>
                <w:color w:val="auto"/>
                <w:lang w:eastAsia="zh-CN"/>
              </w:rPr>
              <w:t>、92#、92#</w:t>
            </w:r>
            <w:r>
              <w:rPr>
                <w:rFonts w:hint="eastAsia" w:ascii="Times New Roman" w:hAnsi="Times New Roman" w:cs="宋体"/>
                <w:color w:val="auto"/>
                <w:lang w:val="en-US" w:eastAsia="zh-CN"/>
              </w:rPr>
              <w:t>四</w:t>
            </w:r>
            <w:r>
              <w:rPr>
                <w:rFonts w:hint="eastAsia" w:ascii="Times New Roman" w:hAnsi="Times New Roman" w:cs="宋体"/>
                <w:color w:val="auto"/>
              </w:rPr>
              <w:t>枪</w:t>
            </w:r>
            <w:r>
              <w:rPr>
                <w:rFonts w:hint="eastAsia" w:ascii="Times New Roman" w:hAnsi="Times New Roman" w:cs="宋体"/>
                <w:color w:val="auto"/>
                <w:lang w:eastAsia="zh-CN"/>
              </w:rPr>
              <w:t>；</w:t>
            </w:r>
          </w:p>
          <w:p>
            <w:pPr>
              <w:spacing w:line="240" w:lineRule="exact"/>
              <w:rPr>
                <w:rFonts w:hint="eastAsia" w:ascii="Times New Roman" w:hAnsi="Times New Roman" w:cs="Times New Roman"/>
                <w:color w:val="auto"/>
                <w:lang w:val="en-US" w:eastAsia="zh-CN"/>
              </w:rPr>
            </w:pPr>
            <w:r>
              <w:rPr>
                <w:rFonts w:hint="eastAsia" w:ascii="Times New Roman" w:hAnsi="Times New Roman" w:cs="宋体"/>
                <w:color w:val="auto"/>
                <w:lang w:val="en-US" w:eastAsia="zh-CN"/>
              </w:rPr>
              <w:t>1台0#、0#、92#、95#四枪</w:t>
            </w:r>
            <w:r>
              <w:rPr>
                <w:rFonts w:hint="eastAsia" w:ascii="Times New Roman" w:hAnsi="Times New Roman" w:cs="Times New Roman"/>
                <w:color w:val="auto"/>
                <w:lang w:val="en-US" w:eastAsia="zh-CN"/>
              </w:rPr>
              <w:t>；</w:t>
            </w:r>
          </w:p>
          <w:p>
            <w:pPr>
              <w:spacing w:line="240" w:lineRule="exact"/>
              <w:rPr>
                <w:rFonts w:hint="eastAsia" w:ascii="Times New Roman" w:hAnsi="Times New Roman" w:cs="宋体"/>
                <w:color w:val="auto"/>
                <w:lang w:eastAsia="zh-CN"/>
              </w:rPr>
            </w:pPr>
            <w:r>
              <w:rPr>
                <w:rFonts w:hint="eastAsia" w:ascii="Times New Roman" w:hAnsi="Times New Roman" w:cs="Times New Roman"/>
                <w:color w:val="auto"/>
                <w:lang w:val="en-US" w:eastAsia="zh-CN"/>
              </w:rPr>
              <w:t>1</w:t>
            </w:r>
            <w:r>
              <w:rPr>
                <w:rFonts w:hint="eastAsia" w:ascii="Times New Roman" w:hAnsi="Times New Roman" w:cs="宋体"/>
                <w:color w:val="auto"/>
              </w:rPr>
              <w:t>台</w:t>
            </w:r>
            <w:r>
              <w:rPr>
                <w:rFonts w:ascii="Times New Roman" w:hAnsi="Times New Roman" w:cs="Times New Roman"/>
                <w:color w:val="auto"/>
              </w:rPr>
              <w:t>92#</w:t>
            </w:r>
            <w:r>
              <w:rPr>
                <w:rFonts w:hint="eastAsia" w:ascii="Times New Roman" w:hAnsi="Times New Roman" w:cs="宋体"/>
                <w:color w:val="auto"/>
              </w:rPr>
              <w:t>、92#</w:t>
            </w:r>
            <w:r>
              <w:rPr>
                <w:rFonts w:hint="eastAsia" w:ascii="Times New Roman" w:hAnsi="Times New Roman" w:cs="宋体"/>
                <w:color w:val="auto"/>
                <w:lang w:eastAsia="zh-CN"/>
              </w:rPr>
              <w:t>、</w:t>
            </w:r>
            <w:r>
              <w:rPr>
                <w:rFonts w:hint="eastAsia" w:ascii="Times New Roman" w:hAnsi="Times New Roman" w:cs="宋体"/>
                <w:color w:val="auto"/>
                <w:lang w:val="en-US" w:eastAsia="zh-CN"/>
              </w:rPr>
              <w:t>95#、</w:t>
            </w:r>
            <w:r>
              <w:rPr>
                <w:rFonts w:ascii="Times New Roman" w:hAnsi="Times New Roman" w:cs="Times New Roman"/>
                <w:color w:val="auto"/>
              </w:rPr>
              <w:t>95#</w:t>
            </w:r>
            <w:r>
              <w:rPr>
                <w:rFonts w:hint="eastAsia" w:ascii="Times New Roman" w:hAnsi="Times New Roman" w:cs="宋体"/>
                <w:color w:val="auto"/>
                <w:lang w:val="en-US" w:eastAsia="zh-CN"/>
              </w:rPr>
              <w:t>四</w:t>
            </w:r>
            <w:r>
              <w:rPr>
                <w:rFonts w:hint="eastAsia" w:ascii="Times New Roman" w:hAnsi="Times New Roman" w:cs="宋体"/>
                <w:color w:val="auto"/>
              </w:rPr>
              <w:t>枪</w:t>
            </w:r>
            <w:r>
              <w:rPr>
                <w:rFonts w:hint="eastAsia" w:ascii="Times New Roman" w:hAnsi="Times New Roman" w:cs="宋体"/>
                <w:color w:val="auto"/>
                <w:lang w:eastAsia="zh-CN"/>
              </w:rPr>
              <w:t>；</w:t>
            </w:r>
          </w:p>
          <w:p>
            <w:pPr>
              <w:spacing w:line="240" w:lineRule="exact"/>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1台</w:t>
            </w:r>
            <w:r>
              <w:rPr>
                <w:rFonts w:hint="eastAsia" w:ascii="Times New Roman" w:hAnsi="Times New Roman" w:cs="宋体"/>
                <w:color w:val="auto"/>
                <w:lang w:eastAsia="zh-CN"/>
              </w:rPr>
              <w:t>0#、</w:t>
            </w:r>
            <w:r>
              <w:rPr>
                <w:rFonts w:hint="eastAsia" w:ascii="Times New Roman" w:hAnsi="Times New Roman" w:cs="宋体"/>
                <w:color w:val="auto"/>
                <w:lang w:val="en-US" w:eastAsia="zh-CN"/>
              </w:rPr>
              <w:t>95</w:t>
            </w:r>
            <w:r>
              <w:rPr>
                <w:rFonts w:hint="eastAsia" w:ascii="Times New Roman" w:hAnsi="Times New Roman" w:cs="宋体"/>
                <w:color w:val="auto"/>
                <w:lang w:eastAsia="zh-CN"/>
              </w:rPr>
              <w:t>#、92#、92#四枪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68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5</w:t>
            </w:r>
          </w:p>
        </w:tc>
        <w:tc>
          <w:tcPr>
            <w:tcW w:w="171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隔油池</w:t>
            </w:r>
          </w:p>
        </w:tc>
        <w:tc>
          <w:tcPr>
            <w:tcW w:w="305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个</w:t>
            </w:r>
          </w:p>
        </w:tc>
        <w:tc>
          <w:tcPr>
            <w:tcW w:w="3844" w:type="dxa"/>
            <w:vAlign w:val="center"/>
          </w:tcPr>
          <w:p>
            <w:pPr>
              <w:spacing w:line="240" w:lineRule="exact"/>
              <w:rPr>
                <w:rFonts w:ascii="Times New Roman" w:hAnsi="Times New Roman" w:cs="Times New Roman"/>
                <w:color w:val="auto"/>
              </w:rPr>
            </w:pPr>
            <w:r>
              <w:rPr>
                <w:rFonts w:ascii="Times New Roman" w:hAnsi="Times New Roman" w:cs="Times New Roman"/>
                <w:color w:val="auto"/>
              </w:rPr>
              <w:t>3m</w:t>
            </w:r>
            <w:r>
              <w:rPr>
                <w:rFonts w:ascii="Times New Roman" w:hAnsi="Times New Roman" w:cs="Times New Roman"/>
                <w:color w:val="auto"/>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689" w:type="dxa"/>
            <w:vAlign w:val="center"/>
          </w:tcPr>
          <w:p>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w:t>
            </w:r>
          </w:p>
        </w:tc>
        <w:tc>
          <w:tcPr>
            <w:tcW w:w="1717" w:type="dxa"/>
            <w:vAlign w:val="center"/>
          </w:tcPr>
          <w:p>
            <w:pPr>
              <w:spacing w:line="24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尿素加注一体机</w:t>
            </w:r>
          </w:p>
        </w:tc>
        <w:tc>
          <w:tcPr>
            <w:tcW w:w="3050" w:type="dxa"/>
            <w:vAlign w:val="center"/>
          </w:tcPr>
          <w:p>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1台</w:t>
            </w:r>
          </w:p>
        </w:tc>
        <w:tc>
          <w:tcPr>
            <w:tcW w:w="3844" w:type="dxa"/>
            <w:vAlign w:val="center"/>
          </w:tcPr>
          <w:p>
            <w:pPr>
              <w:spacing w:line="240" w:lineRule="exact"/>
              <w:rPr>
                <w:rFonts w:hint="default" w:ascii="Times New Roman" w:hAnsi="Times New Roman" w:eastAsia="宋体" w:cs="Times New Roman"/>
                <w:color w:val="auto"/>
                <w:vertAlign w:val="superscript"/>
                <w:lang w:val="en-US" w:eastAsia="zh-CN"/>
              </w:rPr>
            </w:pPr>
            <w:r>
              <w:rPr>
                <w:rFonts w:hint="eastAsia" w:ascii="Times New Roman" w:hAnsi="Times New Roman" w:cs="Times New Roman"/>
                <w:color w:val="auto"/>
                <w:lang w:val="en-US" w:eastAsia="zh-CN"/>
              </w:rPr>
              <w:t>最大容积1.2m</w:t>
            </w:r>
            <w:r>
              <w:rPr>
                <w:rFonts w:hint="eastAsia" w:ascii="Times New Roman" w:hAnsi="Times New Roman" w:cs="Times New Roman"/>
                <w:color w:val="auto"/>
                <w:vertAlign w:val="superscript"/>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689" w:type="dxa"/>
            <w:vAlign w:val="center"/>
          </w:tcPr>
          <w:p>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w:t>
            </w:r>
          </w:p>
        </w:tc>
        <w:tc>
          <w:tcPr>
            <w:tcW w:w="1717" w:type="dxa"/>
            <w:vAlign w:val="center"/>
          </w:tcPr>
          <w:p>
            <w:pPr>
              <w:spacing w:line="24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通过式洗车机</w:t>
            </w:r>
          </w:p>
        </w:tc>
        <w:tc>
          <w:tcPr>
            <w:tcW w:w="3050" w:type="dxa"/>
            <w:vAlign w:val="center"/>
          </w:tcPr>
          <w:p>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1台</w:t>
            </w:r>
          </w:p>
        </w:tc>
        <w:tc>
          <w:tcPr>
            <w:tcW w:w="3844" w:type="dxa"/>
            <w:vAlign w:val="center"/>
          </w:tcPr>
          <w:p>
            <w:pPr>
              <w:spacing w:line="240" w:lineRule="exact"/>
              <w:rPr>
                <w:rFonts w:hint="eastAsia" w:ascii="Times New Roman" w:hAnsi="Times New Roman" w:cs="Times New Roman"/>
                <w:color w:val="auto"/>
                <w:lang w:val="en-US" w:eastAsia="zh-CN"/>
              </w:rPr>
            </w:pPr>
          </w:p>
        </w:tc>
      </w:tr>
    </w:tbl>
    <w:p>
      <w:pPr>
        <w:pStyle w:val="5"/>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p>
    <w:p>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pPr>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2-2</w:t>
      </w:r>
      <w:r>
        <w:rPr>
          <w:rFonts w:hint="eastAsia" w:ascii="Times New Roman" w:hAnsi="Times New Roman" w:cs="宋体"/>
          <w:b/>
          <w:bCs/>
          <w:color w:val="auto"/>
          <w:sz w:val="24"/>
          <w:szCs w:val="24"/>
        </w:rPr>
        <w:t>加油站基本情况</w:t>
      </w:r>
    </w:p>
    <w:tbl>
      <w:tblPr>
        <w:tblStyle w:val="20"/>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8"/>
        <w:gridCol w:w="870"/>
        <w:gridCol w:w="2119"/>
        <w:gridCol w:w="1511"/>
        <w:gridCol w:w="251"/>
        <w:gridCol w:w="927"/>
        <w:gridCol w:w="1515"/>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1428"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加油站名称</w:t>
            </w:r>
          </w:p>
        </w:tc>
        <w:tc>
          <w:tcPr>
            <w:tcW w:w="7791" w:type="dxa"/>
            <w:gridSpan w:val="6"/>
            <w:vAlign w:val="center"/>
          </w:tcPr>
          <w:p>
            <w:pPr>
              <w:spacing w:line="280" w:lineRule="exact"/>
              <w:ind w:firstLine="420" w:firstLineChars="200"/>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江西景德镇石油分公司鱼丽加油站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1428"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加油站地址</w:t>
            </w:r>
          </w:p>
        </w:tc>
        <w:tc>
          <w:tcPr>
            <w:tcW w:w="7791" w:type="dxa"/>
            <w:gridSpan w:val="6"/>
            <w:vAlign w:val="center"/>
          </w:tcPr>
          <w:p>
            <w:pPr>
              <w:spacing w:line="28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eastAsia="zh-CN"/>
              </w:rPr>
              <w:t>江西省景德镇市昌江区鱼山镇（国道与鱼丽公路交叉口东侧）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1428"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投资人</w:t>
            </w:r>
          </w:p>
        </w:tc>
        <w:tc>
          <w:tcPr>
            <w:tcW w:w="2119" w:type="dxa"/>
            <w:vAlign w:val="center"/>
          </w:tcPr>
          <w:p>
            <w:pPr>
              <w:spacing w:line="28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w:t>
            </w:r>
          </w:p>
        </w:tc>
        <w:tc>
          <w:tcPr>
            <w:tcW w:w="1511"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主管负责人</w:t>
            </w:r>
          </w:p>
        </w:tc>
        <w:tc>
          <w:tcPr>
            <w:tcW w:w="1178" w:type="dxa"/>
            <w:gridSpan w:val="2"/>
            <w:vAlign w:val="center"/>
          </w:tcPr>
          <w:p>
            <w:pPr>
              <w:spacing w:line="28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朱正阳</w:t>
            </w:r>
          </w:p>
        </w:tc>
        <w:tc>
          <w:tcPr>
            <w:tcW w:w="1515"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联系电话</w:t>
            </w:r>
          </w:p>
        </w:tc>
        <w:tc>
          <w:tcPr>
            <w:tcW w:w="1468" w:type="dxa"/>
            <w:vAlign w:val="center"/>
          </w:tcPr>
          <w:p>
            <w:pPr>
              <w:spacing w:line="280" w:lineRule="exact"/>
              <w:jc w:val="center"/>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1428"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职工人数</w:t>
            </w:r>
          </w:p>
        </w:tc>
        <w:tc>
          <w:tcPr>
            <w:tcW w:w="2119"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5</w:t>
            </w:r>
          </w:p>
        </w:tc>
        <w:tc>
          <w:tcPr>
            <w:tcW w:w="4204" w:type="dxa"/>
            <w:gridSpan w:val="4"/>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安全管理人员</w:t>
            </w:r>
          </w:p>
        </w:tc>
        <w:tc>
          <w:tcPr>
            <w:tcW w:w="1468"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1428"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占地面积</w:t>
            </w:r>
          </w:p>
        </w:tc>
        <w:tc>
          <w:tcPr>
            <w:tcW w:w="2119" w:type="dxa"/>
            <w:vAlign w:val="center"/>
          </w:tcPr>
          <w:p>
            <w:pPr>
              <w:spacing w:line="280" w:lineRule="exact"/>
              <w:jc w:val="center"/>
              <w:rPr>
                <w:rFonts w:ascii="Times New Roman" w:hAnsi="Times New Roman" w:cs="Times New Roman"/>
                <w:color w:val="auto"/>
              </w:rPr>
            </w:pPr>
            <w:r>
              <w:rPr>
                <w:rFonts w:hint="eastAsia" w:ascii="Times New Roman" w:hAnsi="Times New Roman" w:cs="Times New Roman"/>
                <w:color w:val="auto"/>
                <w:lang w:val="en-US" w:eastAsia="zh-CN"/>
              </w:rPr>
              <w:t>4644.72</w:t>
            </w:r>
            <w:r>
              <w:rPr>
                <w:rFonts w:hint="eastAsia" w:ascii="Times New Roman" w:hAnsi="Times New Roman" w:cs="宋体"/>
                <w:color w:val="auto"/>
              </w:rPr>
              <w:t>㎡</w:t>
            </w:r>
          </w:p>
        </w:tc>
        <w:tc>
          <w:tcPr>
            <w:tcW w:w="1511"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储存能力</w:t>
            </w:r>
          </w:p>
        </w:tc>
        <w:tc>
          <w:tcPr>
            <w:tcW w:w="1178" w:type="dxa"/>
            <w:gridSpan w:val="2"/>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Times New Roman"/>
                <w:color w:val="auto"/>
                <w:lang w:val="en-US" w:eastAsia="zh-CN"/>
              </w:rPr>
              <w:t>30</w:t>
            </w:r>
            <w:r>
              <w:rPr>
                <w:rFonts w:ascii="Times New Roman" w:hAnsi="Times New Roman" w:cs="Times New Roman"/>
                <w:color w:val="auto"/>
              </w:rPr>
              <w:t>m³</w:t>
            </w:r>
          </w:p>
        </w:tc>
        <w:tc>
          <w:tcPr>
            <w:tcW w:w="1515"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加油站级别</w:t>
            </w:r>
          </w:p>
        </w:tc>
        <w:tc>
          <w:tcPr>
            <w:tcW w:w="1468"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1428"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加油机</w:t>
            </w:r>
          </w:p>
        </w:tc>
        <w:tc>
          <w:tcPr>
            <w:tcW w:w="2119" w:type="dxa"/>
            <w:vAlign w:val="center"/>
          </w:tcPr>
          <w:p>
            <w:pPr>
              <w:spacing w:line="28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托肯恒山科技</w:t>
            </w:r>
          </w:p>
        </w:tc>
        <w:tc>
          <w:tcPr>
            <w:tcW w:w="1511"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加油机数量</w:t>
            </w:r>
          </w:p>
        </w:tc>
        <w:tc>
          <w:tcPr>
            <w:tcW w:w="1178" w:type="dxa"/>
            <w:gridSpan w:val="2"/>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4</w:t>
            </w:r>
          </w:p>
        </w:tc>
        <w:tc>
          <w:tcPr>
            <w:tcW w:w="1515"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加油枪数量</w:t>
            </w:r>
          </w:p>
        </w:tc>
        <w:tc>
          <w:tcPr>
            <w:tcW w:w="1468" w:type="dxa"/>
            <w:vAlign w:val="center"/>
          </w:tcPr>
          <w:p>
            <w:pPr>
              <w:spacing w:line="280" w:lineRule="exact"/>
              <w:jc w:val="center"/>
              <w:rPr>
                <w:rFonts w:ascii="Times New Roman" w:hAnsi="Times New Roman" w:cs="Times New Roman"/>
                <w:color w:val="auto"/>
              </w:rPr>
            </w:pPr>
            <w:r>
              <w:rPr>
                <w:rFonts w:hint="eastAsia" w:ascii="Times New Roman" w:hAnsi="Times New Roman" w:cs="Times New Roman"/>
                <w:color w:val="auto"/>
                <w:lang w:val="en-US" w:eastAsia="zh-CN"/>
              </w:rPr>
              <w:t>16</w:t>
            </w:r>
            <w:r>
              <w:rPr>
                <w:rFonts w:hint="eastAsia" w:ascii="Times New Roman" w:hAnsi="Times New Roman" w:cs="宋体"/>
                <w:color w:val="auto"/>
              </w:rPr>
              <w:t>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558" w:type="dxa"/>
            <w:vMerge w:val="restart"/>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建、构筑物情况</w:t>
            </w:r>
          </w:p>
        </w:tc>
        <w:tc>
          <w:tcPr>
            <w:tcW w:w="870"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名称</w:t>
            </w:r>
          </w:p>
        </w:tc>
        <w:tc>
          <w:tcPr>
            <w:tcW w:w="2119"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结构类型</w:t>
            </w:r>
          </w:p>
        </w:tc>
        <w:tc>
          <w:tcPr>
            <w:tcW w:w="1511"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耐火等级</w:t>
            </w:r>
          </w:p>
        </w:tc>
        <w:tc>
          <w:tcPr>
            <w:tcW w:w="1178" w:type="dxa"/>
            <w:gridSpan w:val="2"/>
            <w:vAlign w:val="center"/>
          </w:tcPr>
          <w:p>
            <w:pPr>
              <w:spacing w:line="280" w:lineRule="exact"/>
              <w:ind w:left="210"/>
              <w:jc w:val="center"/>
              <w:rPr>
                <w:rFonts w:ascii="Times New Roman" w:hAnsi="Times New Roman" w:cs="Times New Roman"/>
                <w:color w:val="auto"/>
              </w:rPr>
            </w:pPr>
            <w:r>
              <w:rPr>
                <w:rFonts w:hint="eastAsia" w:ascii="Times New Roman" w:hAnsi="Times New Roman" w:cs="宋体"/>
                <w:color w:val="auto"/>
              </w:rPr>
              <w:t>层</w:t>
            </w:r>
            <w:r>
              <w:rPr>
                <w:rFonts w:ascii="Times New Roman" w:hAnsi="Times New Roman" w:cs="Times New Roman"/>
                <w:color w:val="auto"/>
              </w:rPr>
              <w:t xml:space="preserve">  </w:t>
            </w:r>
            <w:r>
              <w:rPr>
                <w:rFonts w:hint="eastAsia" w:ascii="Times New Roman" w:hAnsi="Times New Roman" w:cs="宋体"/>
                <w:color w:val="auto"/>
              </w:rPr>
              <w:t>数</w:t>
            </w:r>
          </w:p>
        </w:tc>
        <w:tc>
          <w:tcPr>
            <w:tcW w:w="1515"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高</w:t>
            </w:r>
            <w:r>
              <w:rPr>
                <w:rFonts w:ascii="Times New Roman" w:hAnsi="Times New Roman" w:cs="Times New Roman"/>
                <w:color w:val="auto"/>
              </w:rPr>
              <w:t xml:space="preserve">  </w:t>
            </w:r>
            <w:r>
              <w:rPr>
                <w:rFonts w:hint="eastAsia" w:ascii="Times New Roman" w:hAnsi="Times New Roman" w:cs="宋体"/>
                <w:color w:val="auto"/>
              </w:rPr>
              <w:t>度（</w:t>
            </w:r>
            <w:r>
              <w:rPr>
                <w:rFonts w:ascii="Times New Roman" w:hAnsi="Times New Roman" w:cs="Times New Roman"/>
                <w:color w:val="auto"/>
              </w:rPr>
              <w:t>m</w:t>
            </w:r>
            <w:r>
              <w:rPr>
                <w:rFonts w:hint="eastAsia" w:ascii="Times New Roman" w:hAnsi="Times New Roman" w:cs="宋体"/>
                <w:color w:val="auto"/>
              </w:rPr>
              <w:t>）</w:t>
            </w:r>
          </w:p>
        </w:tc>
        <w:tc>
          <w:tcPr>
            <w:tcW w:w="1468"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面积（</w:t>
            </w:r>
            <w:r>
              <w:rPr>
                <w:rFonts w:ascii="Times New Roman" w:hAnsi="Times New Roman" w:cs="Times New Roman"/>
                <w:color w:val="auto"/>
              </w:rPr>
              <w:t>m²</w:t>
            </w:r>
            <w:r>
              <w:rPr>
                <w:rFonts w:hint="eastAsia" w:ascii="Times New Roman" w:hAnsi="Times New Roman"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558" w:type="dxa"/>
            <w:vMerge w:val="continue"/>
            <w:vAlign w:val="center"/>
          </w:tcPr>
          <w:p>
            <w:pPr>
              <w:spacing w:line="280" w:lineRule="exact"/>
              <w:jc w:val="center"/>
              <w:rPr>
                <w:rFonts w:ascii="Times New Roman" w:hAnsi="Times New Roman" w:cs="Times New Roman"/>
                <w:color w:val="auto"/>
              </w:rPr>
            </w:pPr>
          </w:p>
        </w:tc>
        <w:tc>
          <w:tcPr>
            <w:tcW w:w="870"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加油罩棚</w:t>
            </w:r>
          </w:p>
        </w:tc>
        <w:tc>
          <w:tcPr>
            <w:tcW w:w="2119"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lang w:val="en-US" w:eastAsia="zh-CN"/>
              </w:rPr>
              <w:t>型钢</w:t>
            </w:r>
            <w:r>
              <w:rPr>
                <w:rFonts w:hint="eastAsia" w:ascii="Times New Roman" w:hAnsi="Times New Roman" w:cs="宋体"/>
                <w:color w:val="auto"/>
              </w:rPr>
              <w:t>结构</w:t>
            </w:r>
          </w:p>
        </w:tc>
        <w:tc>
          <w:tcPr>
            <w:tcW w:w="1511"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不低于</w:t>
            </w:r>
            <w:r>
              <w:rPr>
                <w:rFonts w:ascii="Times New Roman" w:hAnsi="Times New Roman" w:cs="Times New Roman"/>
                <w:color w:val="auto"/>
              </w:rPr>
              <w:t>0.25h</w:t>
            </w:r>
          </w:p>
        </w:tc>
        <w:tc>
          <w:tcPr>
            <w:tcW w:w="1178" w:type="dxa"/>
            <w:gridSpan w:val="2"/>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1</w:t>
            </w:r>
          </w:p>
        </w:tc>
        <w:tc>
          <w:tcPr>
            <w:tcW w:w="1515" w:type="dxa"/>
            <w:vAlign w:val="center"/>
          </w:tcPr>
          <w:p>
            <w:pPr>
              <w:spacing w:line="28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6</w:t>
            </w:r>
          </w:p>
        </w:tc>
        <w:tc>
          <w:tcPr>
            <w:tcW w:w="1468" w:type="dxa"/>
            <w:vAlign w:val="center"/>
          </w:tcPr>
          <w:p>
            <w:pPr>
              <w:spacing w:line="28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558" w:type="dxa"/>
            <w:vMerge w:val="continue"/>
            <w:vAlign w:val="center"/>
          </w:tcPr>
          <w:p>
            <w:pPr>
              <w:spacing w:line="280" w:lineRule="exact"/>
              <w:jc w:val="center"/>
              <w:rPr>
                <w:rFonts w:ascii="Times New Roman" w:hAnsi="Times New Roman" w:cs="Times New Roman"/>
                <w:color w:val="auto"/>
              </w:rPr>
            </w:pPr>
          </w:p>
        </w:tc>
        <w:tc>
          <w:tcPr>
            <w:tcW w:w="870"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站房</w:t>
            </w:r>
          </w:p>
        </w:tc>
        <w:tc>
          <w:tcPr>
            <w:tcW w:w="2119"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lang w:val="en-US" w:eastAsia="zh-CN"/>
              </w:rPr>
              <w:t>钢筋砼框架</w:t>
            </w:r>
            <w:r>
              <w:rPr>
                <w:rFonts w:hint="eastAsia" w:ascii="Times New Roman" w:hAnsi="Times New Roman" w:cs="宋体"/>
                <w:color w:val="auto"/>
              </w:rPr>
              <w:t>结构</w:t>
            </w:r>
          </w:p>
        </w:tc>
        <w:tc>
          <w:tcPr>
            <w:tcW w:w="1511"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二级</w:t>
            </w:r>
          </w:p>
        </w:tc>
        <w:tc>
          <w:tcPr>
            <w:tcW w:w="1178" w:type="dxa"/>
            <w:gridSpan w:val="2"/>
            <w:vAlign w:val="center"/>
          </w:tcPr>
          <w:p>
            <w:pPr>
              <w:spacing w:line="28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1515" w:type="dxa"/>
            <w:vAlign w:val="center"/>
          </w:tcPr>
          <w:p>
            <w:pPr>
              <w:spacing w:line="28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4.9</w:t>
            </w:r>
          </w:p>
        </w:tc>
        <w:tc>
          <w:tcPr>
            <w:tcW w:w="1468" w:type="dxa"/>
            <w:vAlign w:val="center"/>
          </w:tcPr>
          <w:p>
            <w:pPr>
              <w:spacing w:line="280" w:lineRule="exact"/>
              <w:jc w:val="center"/>
              <w:rPr>
                <w:rFonts w:hint="default" w:ascii="Times New Roman" w:hAnsi="Times New Roman" w:eastAsia="宋体" w:cs="Times New Roman"/>
                <w:color w:val="auto"/>
                <w:lang w:val="en-US" w:eastAsia="zh-CN"/>
              </w:rPr>
            </w:pPr>
            <w:r>
              <w:rPr>
                <w:rFonts w:ascii="Times New Roman" w:hAnsi="Times New Roman" w:cs="Times New Roman"/>
                <w:color w:val="auto"/>
              </w:rPr>
              <w:t>1</w:t>
            </w:r>
            <w:r>
              <w:rPr>
                <w:rFonts w:hint="eastAsia" w:ascii="Times New Roman" w:hAnsi="Times New Roman" w:cs="Times New Roman"/>
                <w:color w:val="auto"/>
                <w:lang w:val="en-US" w:eastAsia="zh-CN"/>
              </w:rPr>
              <w:t>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558" w:type="dxa"/>
            <w:vAlign w:val="center"/>
          </w:tcPr>
          <w:p>
            <w:pPr>
              <w:spacing w:line="280" w:lineRule="exact"/>
              <w:jc w:val="center"/>
              <w:rPr>
                <w:rFonts w:ascii="Times New Roman" w:hAnsi="Times New Roman" w:cs="Times New Roman"/>
                <w:color w:val="auto"/>
              </w:rPr>
            </w:pPr>
          </w:p>
        </w:tc>
        <w:tc>
          <w:tcPr>
            <w:tcW w:w="870"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油罐区</w:t>
            </w:r>
          </w:p>
        </w:tc>
        <w:tc>
          <w:tcPr>
            <w:tcW w:w="2119" w:type="dxa"/>
            <w:vAlign w:val="center"/>
          </w:tcPr>
          <w:p>
            <w:pPr>
              <w:spacing w:line="28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混凝土</w:t>
            </w:r>
          </w:p>
        </w:tc>
        <w:tc>
          <w:tcPr>
            <w:tcW w:w="1511"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w:t>
            </w:r>
          </w:p>
        </w:tc>
        <w:tc>
          <w:tcPr>
            <w:tcW w:w="1178" w:type="dxa"/>
            <w:gridSpan w:val="2"/>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w:t>
            </w:r>
          </w:p>
        </w:tc>
        <w:tc>
          <w:tcPr>
            <w:tcW w:w="1515"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w:t>
            </w:r>
          </w:p>
        </w:tc>
        <w:tc>
          <w:tcPr>
            <w:tcW w:w="1468"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558" w:type="dxa"/>
            <w:vMerge w:val="restart"/>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储</w:t>
            </w:r>
          </w:p>
          <w:p>
            <w:pPr>
              <w:spacing w:line="280" w:lineRule="exact"/>
              <w:jc w:val="center"/>
              <w:rPr>
                <w:rFonts w:ascii="Times New Roman" w:hAnsi="Times New Roman" w:cs="Times New Roman"/>
                <w:color w:val="auto"/>
              </w:rPr>
            </w:pPr>
            <w:r>
              <w:rPr>
                <w:rFonts w:hint="eastAsia" w:ascii="Times New Roman" w:hAnsi="Times New Roman" w:cs="宋体"/>
                <w:color w:val="auto"/>
              </w:rPr>
              <w:t>罐</w:t>
            </w:r>
          </w:p>
          <w:p>
            <w:pPr>
              <w:spacing w:line="280" w:lineRule="exact"/>
              <w:jc w:val="center"/>
              <w:rPr>
                <w:rFonts w:ascii="Times New Roman" w:hAnsi="Times New Roman" w:cs="Times New Roman"/>
                <w:color w:val="auto"/>
              </w:rPr>
            </w:pPr>
            <w:r>
              <w:rPr>
                <w:rFonts w:hint="eastAsia" w:ascii="Times New Roman" w:hAnsi="Times New Roman" w:cs="宋体"/>
                <w:color w:val="auto"/>
              </w:rPr>
              <w:t>情</w:t>
            </w:r>
          </w:p>
          <w:p>
            <w:pPr>
              <w:spacing w:line="280" w:lineRule="exact"/>
              <w:jc w:val="center"/>
              <w:rPr>
                <w:rFonts w:ascii="Times New Roman" w:hAnsi="Times New Roman" w:cs="Times New Roman"/>
                <w:color w:val="auto"/>
              </w:rPr>
            </w:pPr>
            <w:r>
              <w:rPr>
                <w:rFonts w:hint="eastAsia" w:ascii="Times New Roman" w:hAnsi="Times New Roman" w:cs="宋体"/>
                <w:color w:val="auto"/>
              </w:rPr>
              <w:t>况</w:t>
            </w:r>
          </w:p>
        </w:tc>
        <w:tc>
          <w:tcPr>
            <w:tcW w:w="870"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序号</w:t>
            </w:r>
          </w:p>
        </w:tc>
        <w:tc>
          <w:tcPr>
            <w:tcW w:w="2119"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油品名称及编号</w:t>
            </w:r>
          </w:p>
        </w:tc>
        <w:tc>
          <w:tcPr>
            <w:tcW w:w="2689" w:type="dxa"/>
            <w:gridSpan w:val="3"/>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单罐容积（</w:t>
            </w:r>
            <w:r>
              <w:rPr>
                <w:rFonts w:ascii="Times New Roman" w:hAnsi="Times New Roman" w:cs="Times New Roman"/>
                <w:color w:val="auto"/>
              </w:rPr>
              <w:t>m³</w:t>
            </w:r>
            <w:r>
              <w:rPr>
                <w:rFonts w:hint="eastAsia" w:ascii="Times New Roman" w:hAnsi="Times New Roman" w:cs="宋体"/>
                <w:color w:val="auto"/>
              </w:rPr>
              <w:t>）</w:t>
            </w:r>
            <w:r>
              <w:rPr>
                <w:rFonts w:ascii="Times New Roman" w:hAnsi="Times New Roman" w:cs="Times New Roman"/>
                <w:color w:val="auto"/>
              </w:rPr>
              <w:t>×</w:t>
            </w:r>
            <w:r>
              <w:rPr>
                <w:rFonts w:hint="eastAsia" w:ascii="Times New Roman" w:hAnsi="Times New Roman" w:cs="宋体"/>
                <w:color w:val="auto"/>
              </w:rPr>
              <w:t>台数</w:t>
            </w:r>
          </w:p>
        </w:tc>
        <w:tc>
          <w:tcPr>
            <w:tcW w:w="1515"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油罐</w:t>
            </w:r>
          </w:p>
        </w:tc>
        <w:tc>
          <w:tcPr>
            <w:tcW w:w="1468"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形</w:t>
            </w:r>
            <w:r>
              <w:rPr>
                <w:rFonts w:ascii="Times New Roman" w:hAnsi="Times New Roman" w:cs="Times New Roman"/>
                <w:color w:val="auto"/>
              </w:rPr>
              <w:t xml:space="preserve"> </w:t>
            </w:r>
            <w:r>
              <w:rPr>
                <w:rFonts w:hint="eastAsia" w:ascii="Times New Roman" w:hAnsi="Times New Roman" w:cs="宋体"/>
                <w:color w:val="auto"/>
              </w:rPr>
              <w:t>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558" w:type="dxa"/>
            <w:vMerge w:val="continue"/>
            <w:vAlign w:val="center"/>
          </w:tcPr>
          <w:p>
            <w:pPr>
              <w:spacing w:line="280" w:lineRule="exact"/>
              <w:jc w:val="center"/>
              <w:rPr>
                <w:rFonts w:ascii="Times New Roman" w:hAnsi="Times New Roman" w:cs="Times New Roman"/>
                <w:color w:val="auto"/>
              </w:rPr>
            </w:pPr>
          </w:p>
        </w:tc>
        <w:tc>
          <w:tcPr>
            <w:tcW w:w="870"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1</w:t>
            </w:r>
          </w:p>
        </w:tc>
        <w:tc>
          <w:tcPr>
            <w:tcW w:w="2119"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0#</w:t>
            </w:r>
            <w:r>
              <w:rPr>
                <w:rFonts w:hint="eastAsia" w:ascii="Times New Roman" w:hAnsi="Times New Roman" w:cs="宋体"/>
                <w:color w:val="auto"/>
              </w:rPr>
              <w:t>柴油</w:t>
            </w:r>
          </w:p>
        </w:tc>
        <w:tc>
          <w:tcPr>
            <w:tcW w:w="2689" w:type="dxa"/>
            <w:gridSpan w:val="3"/>
            <w:vAlign w:val="center"/>
          </w:tcPr>
          <w:p>
            <w:pPr>
              <w:spacing w:line="28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5</w:t>
            </w:r>
            <w:r>
              <w:rPr>
                <w:rFonts w:ascii="Times New Roman" w:hAnsi="Times New Roman" w:cs="Times New Roman"/>
                <w:color w:val="auto"/>
              </w:rPr>
              <w:t>0m³×</w:t>
            </w:r>
            <w:r>
              <w:rPr>
                <w:rFonts w:hint="eastAsia" w:ascii="Times New Roman" w:hAnsi="Times New Roman" w:cs="Times New Roman"/>
                <w:color w:val="auto"/>
                <w:lang w:val="en-US" w:eastAsia="zh-CN"/>
              </w:rPr>
              <w:t>1</w:t>
            </w:r>
          </w:p>
        </w:tc>
        <w:tc>
          <w:tcPr>
            <w:tcW w:w="1515"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双层</w:t>
            </w:r>
            <w:r>
              <w:rPr>
                <w:rFonts w:ascii="Times New Roman" w:hAnsi="Times New Roman" w:cs="Times New Roman"/>
                <w:color w:val="auto"/>
              </w:rPr>
              <w:t>SF</w:t>
            </w:r>
            <w:r>
              <w:rPr>
                <w:rFonts w:hint="eastAsia" w:ascii="Times New Roman" w:hAnsi="Times New Roman" w:cs="宋体"/>
                <w:color w:val="auto"/>
              </w:rPr>
              <w:t>储罐</w:t>
            </w:r>
          </w:p>
        </w:tc>
        <w:tc>
          <w:tcPr>
            <w:tcW w:w="1468"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卧式埋地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558" w:type="dxa"/>
            <w:vMerge w:val="continue"/>
            <w:vAlign w:val="center"/>
          </w:tcPr>
          <w:p>
            <w:pPr>
              <w:spacing w:line="280" w:lineRule="exact"/>
              <w:jc w:val="center"/>
              <w:rPr>
                <w:rFonts w:ascii="Times New Roman" w:hAnsi="Times New Roman" w:cs="Times New Roman"/>
                <w:color w:val="auto"/>
              </w:rPr>
            </w:pPr>
          </w:p>
        </w:tc>
        <w:tc>
          <w:tcPr>
            <w:tcW w:w="870"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2</w:t>
            </w:r>
          </w:p>
        </w:tc>
        <w:tc>
          <w:tcPr>
            <w:tcW w:w="2119"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92#</w:t>
            </w:r>
            <w:r>
              <w:rPr>
                <w:rFonts w:hint="eastAsia" w:ascii="Times New Roman" w:hAnsi="Times New Roman" w:cs="宋体"/>
                <w:color w:val="auto"/>
              </w:rPr>
              <w:t>汽油</w:t>
            </w:r>
          </w:p>
        </w:tc>
        <w:tc>
          <w:tcPr>
            <w:tcW w:w="2689" w:type="dxa"/>
            <w:gridSpan w:val="3"/>
            <w:vAlign w:val="center"/>
          </w:tcPr>
          <w:p>
            <w:pPr>
              <w:spacing w:line="28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50</w:t>
            </w:r>
            <w:r>
              <w:rPr>
                <w:rFonts w:ascii="Times New Roman" w:hAnsi="Times New Roman" w:cs="Times New Roman"/>
                <w:color w:val="auto"/>
              </w:rPr>
              <w:t>m³×</w:t>
            </w:r>
            <w:r>
              <w:rPr>
                <w:rFonts w:hint="eastAsia" w:ascii="Times New Roman" w:hAnsi="Times New Roman" w:cs="Times New Roman"/>
                <w:color w:val="auto"/>
                <w:lang w:val="en-US" w:eastAsia="zh-CN"/>
              </w:rPr>
              <w:t>1</w:t>
            </w:r>
          </w:p>
        </w:tc>
        <w:tc>
          <w:tcPr>
            <w:tcW w:w="1515"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双层</w:t>
            </w:r>
            <w:r>
              <w:rPr>
                <w:rFonts w:ascii="Times New Roman" w:hAnsi="Times New Roman" w:cs="Times New Roman"/>
                <w:color w:val="auto"/>
              </w:rPr>
              <w:t>SF</w:t>
            </w:r>
            <w:r>
              <w:rPr>
                <w:rFonts w:hint="eastAsia" w:ascii="Times New Roman" w:hAnsi="Times New Roman" w:cs="宋体"/>
                <w:color w:val="auto"/>
              </w:rPr>
              <w:t>储罐</w:t>
            </w:r>
          </w:p>
        </w:tc>
        <w:tc>
          <w:tcPr>
            <w:tcW w:w="1468"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卧式埋地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exact"/>
          <w:jc w:val="center"/>
        </w:trPr>
        <w:tc>
          <w:tcPr>
            <w:tcW w:w="558" w:type="dxa"/>
            <w:vMerge w:val="continue"/>
            <w:vAlign w:val="center"/>
          </w:tcPr>
          <w:p>
            <w:pPr>
              <w:spacing w:line="280" w:lineRule="exact"/>
              <w:jc w:val="center"/>
              <w:rPr>
                <w:rFonts w:ascii="Times New Roman" w:hAnsi="Times New Roman" w:cs="Times New Roman"/>
                <w:color w:val="auto"/>
              </w:rPr>
            </w:pPr>
          </w:p>
        </w:tc>
        <w:tc>
          <w:tcPr>
            <w:tcW w:w="870"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3</w:t>
            </w:r>
          </w:p>
        </w:tc>
        <w:tc>
          <w:tcPr>
            <w:tcW w:w="2119"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95#</w:t>
            </w:r>
            <w:r>
              <w:rPr>
                <w:rFonts w:hint="eastAsia" w:ascii="Times New Roman" w:hAnsi="Times New Roman" w:cs="宋体"/>
                <w:color w:val="auto"/>
              </w:rPr>
              <w:t>汽油</w:t>
            </w:r>
          </w:p>
        </w:tc>
        <w:tc>
          <w:tcPr>
            <w:tcW w:w="2689" w:type="dxa"/>
            <w:gridSpan w:val="3"/>
            <w:vAlign w:val="center"/>
          </w:tcPr>
          <w:p>
            <w:pPr>
              <w:spacing w:line="280" w:lineRule="exact"/>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ascii="Times New Roman" w:hAnsi="Times New Roman" w:cs="Times New Roman"/>
                <w:color w:val="auto"/>
              </w:rPr>
              <w:t>0m³×1</w:t>
            </w:r>
          </w:p>
        </w:tc>
        <w:tc>
          <w:tcPr>
            <w:tcW w:w="1515"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双层</w:t>
            </w:r>
            <w:r>
              <w:rPr>
                <w:rFonts w:ascii="Times New Roman" w:hAnsi="Times New Roman" w:cs="Times New Roman"/>
                <w:color w:val="auto"/>
              </w:rPr>
              <w:t>SF</w:t>
            </w:r>
            <w:r>
              <w:rPr>
                <w:rFonts w:hint="eastAsia" w:ascii="Times New Roman" w:hAnsi="Times New Roman" w:cs="宋体"/>
                <w:color w:val="auto"/>
              </w:rPr>
              <w:t>储罐</w:t>
            </w:r>
          </w:p>
        </w:tc>
        <w:tc>
          <w:tcPr>
            <w:tcW w:w="1468"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卧式埋地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1428" w:type="dxa"/>
            <w:gridSpan w:val="2"/>
            <w:vAlign w:val="center"/>
          </w:tcPr>
          <w:p>
            <w:pPr>
              <w:spacing w:line="280" w:lineRule="exact"/>
              <w:jc w:val="center"/>
              <w:rPr>
                <w:rFonts w:ascii="Times New Roman" w:hAnsi="Times New Roman" w:eastAsia="新宋体" w:cs="Times New Roman"/>
                <w:color w:val="auto"/>
              </w:rPr>
            </w:pPr>
            <w:r>
              <w:rPr>
                <w:rFonts w:hint="eastAsia" w:ascii="Times New Roman" w:hAnsi="Times New Roman" w:eastAsia="新宋体" w:cs="新宋体"/>
                <w:color w:val="auto"/>
              </w:rPr>
              <w:t>主要</w:t>
            </w:r>
          </w:p>
          <w:p>
            <w:pPr>
              <w:spacing w:line="280" w:lineRule="exact"/>
              <w:jc w:val="center"/>
              <w:rPr>
                <w:rFonts w:ascii="Times New Roman" w:hAnsi="Times New Roman" w:cs="Times New Roman"/>
                <w:color w:val="auto"/>
              </w:rPr>
            </w:pPr>
            <w:r>
              <w:rPr>
                <w:rFonts w:hint="eastAsia" w:ascii="Times New Roman" w:hAnsi="Times New Roman" w:eastAsia="新宋体" w:cs="新宋体"/>
                <w:color w:val="auto"/>
              </w:rPr>
              <w:t>消防设施</w:t>
            </w:r>
          </w:p>
        </w:tc>
        <w:tc>
          <w:tcPr>
            <w:tcW w:w="7791" w:type="dxa"/>
            <w:gridSpan w:val="6"/>
            <w:vAlign w:val="center"/>
          </w:tcPr>
          <w:p>
            <w:pPr>
              <w:spacing w:line="280" w:lineRule="exact"/>
              <w:rPr>
                <w:rFonts w:ascii="Times New Roman" w:hAnsi="Times New Roman" w:cs="Times New Roman"/>
                <w:color w:val="auto"/>
              </w:rPr>
            </w:pPr>
            <w:r>
              <w:rPr>
                <w:rFonts w:hint="eastAsia" w:ascii="Times New Roman" w:hAnsi="Times New Roman" w:cs="Times New Roman"/>
                <w:color w:val="auto"/>
                <w:lang w:val="en-US" w:eastAsia="zh-CN"/>
              </w:rPr>
              <w:t>5</w:t>
            </w:r>
            <w:r>
              <w:rPr>
                <w:rFonts w:ascii="Times New Roman" w:hAnsi="Times New Roman" w:cs="Times New Roman"/>
                <w:color w:val="auto"/>
              </w:rPr>
              <w:t>kg</w:t>
            </w:r>
            <w:r>
              <w:rPr>
                <w:rFonts w:hint="eastAsia" w:ascii="Times New Roman" w:hAnsi="Times New Roman" w:cs="宋体"/>
                <w:color w:val="auto"/>
              </w:rPr>
              <w:t>手提式干粉灭火</w:t>
            </w:r>
            <w:r>
              <w:rPr>
                <w:rFonts w:hint="eastAsia" w:ascii="Times New Roman" w:hAnsi="Times New Roman" w:cs="Times New Roman"/>
                <w:color w:val="auto"/>
                <w:lang w:val="en-US" w:eastAsia="zh-CN"/>
              </w:rPr>
              <w:t>8</w:t>
            </w:r>
            <w:r>
              <w:rPr>
                <w:rFonts w:hint="eastAsia" w:ascii="Times New Roman" w:hAnsi="Times New Roman" w:cs="宋体"/>
                <w:color w:val="auto"/>
              </w:rPr>
              <w:t>具；灭火毯</w:t>
            </w:r>
            <w:r>
              <w:rPr>
                <w:rFonts w:hint="eastAsia" w:ascii="Times New Roman" w:hAnsi="Times New Roman" w:cs="Times New Roman"/>
                <w:color w:val="auto"/>
                <w:lang w:val="en-US" w:eastAsia="zh-CN"/>
              </w:rPr>
              <w:t>5</w:t>
            </w:r>
            <w:r>
              <w:rPr>
                <w:rFonts w:hint="eastAsia" w:ascii="Times New Roman" w:hAnsi="Times New Roman" w:cs="宋体"/>
                <w:color w:val="auto"/>
              </w:rPr>
              <w:t>块，消防锹</w:t>
            </w:r>
            <w:r>
              <w:rPr>
                <w:rFonts w:hint="eastAsia" w:ascii="Times New Roman" w:hAnsi="Times New Roman" w:cs="宋体"/>
                <w:color w:val="auto"/>
                <w:lang w:val="en-US" w:eastAsia="zh-CN"/>
              </w:rPr>
              <w:t>5</w:t>
            </w:r>
            <w:r>
              <w:rPr>
                <w:rFonts w:hint="eastAsia" w:ascii="Times New Roman" w:hAnsi="Times New Roman" w:cs="宋体"/>
                <w:color w:val="auto"/>
              </w:rPr>
              <w:t>把，</w:t>
            </w:r>
            <w:r>
              <w:rPr>
                <w:rFonts w:hint="eastAsia" w:ascii="Times New Roman" w:hAnsi="Times New Roman" w:cs="Times New Roman"/>
                <w:color w:val="auto"/>
                <w:lang w:val="en-US" w:eastAsia="zh-CN"/>
              </w:rPr>
              <w:t>2</w:t>
            </w:r>
            <w:r>
              <w:rPr>
                <w:rFonts w:ascii="Times New Roman" w:hAnsi="Times New Roman" w:cs="Times New Roman"/>
                <w:color w:val="auto"/>
              </w:rPr>
              <w:t>m</w:t>
            </w:r>
            <w:r>
              <w:rPr>
                <w:rFonts w:hint="eastAsia" w:ascii="Times New Roman" w:hAnsi="Times New Roman" w:cs="宋体"/>
                <w:color w:val="auto"/>
              </w:rPr>
              <w:t>³沙池一座。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1428" w:type="dxa"/>
            <w:gridSpan w:val="2"/>
            <w:vAlign w:val="center"/>
          </w:tcPr>
          <w:p>
            <w:pPr>
              <w:spacing w:line="280" w:lineRule="exact"/>
              <w:jc w:val="center"/>
              <w:rPr>
                <w:rFonts w:ascii="Times New Roman" w:hAnsi="Times New Roman" w:eastAsia="新宋体" w:cs="Times New Roman"/>
                <w:color w:val="auto"/>
              </w:rPr>
            </w:pPr>
            <w:r>
              <w:rPr>
                <w:rFonts w:hint="eastAsia" w:ascii="Times New Roman" w:hAnsi="Times New Roman" w:eastAsia="新宋体" w:cs="新宋体"/>
                <w:color w:val="auto"/>
              </w:rPr>
              <w:t>设计单位</w:t>
            </w:r>
          </w:p>
        </w:tc>
        <w:tc>
          <w:tcPr>
            <w:tcW w:w="3881" w:type="dxa"/>
            <w:gridSpan w:val="3"/>
            <w:vAlign w:val="center"/>
          </w:tcPr>
          <w:p>
            <w:pPr>
              <w:spacing w:line="280" w:lineRule="exact"/>
              <w:rPr>
                <w:rFonts w:hint="eastAsia" w:ascii="Times New Roman" w:hAnsi="Times New Roman" w:eastAsia="宋体" w:cs="Times New Roman"/>
                <w:color w:val="auto"/>
                <w:lang w:eastAsia="zh-CN"/>
              </w:rPr>
            </w:pPr>
            <w:r>
              <w:rPr>
                <w:rFonts w:hint="eastAsia" w:ascii="Times New Roman" w:hAnsi="Times New Roman" w:eastAsia="宋体" w:cs="宋体"/>
                <w:color w:val="auto"/>
                <w:lang w:eastAsia="zh-CN"/>
              </w:rPr>
              <w:t>哈尔滨天源石化工程设计有限责任公司</w:t>
            </w:r>
          </w:p>
        </w:tc>
        <w:tc>
          <w:tcPr>
            <w:tcW w:w="927" w:type="dxa"/>
            <w:vAlign w:val="center"/>
          </w:tcPr>
          <w:p>
            <w:pPr>
              <w:spacing w:line="280" w:lineRule="exact"/>
              <w:jc w:val="center"/>
              <w:rPr>
                <w:rFonts w:ascii="Times New Roman" w:hAnsi="Times New Roman" w:cs="Times New Roman"/>
                <w:color w:val="auto"/>
              </w:rPr>
            </w:pPr>
            <w:r>
              <w:rPr>
                <w:rFonts w:hint="eastAsia" w:ascii="Times New Roman" w:hAnsi="Times New Roman" w:eastAsia="宋体" w:cs="宋体"/>
                <w:color w:val="auto"/>
              </w:rPr>
              <w:t>资质</w:t>
            </w:r>
          </w:p>
        </w:tc>
        <w:tc>
          <w:tcPr>
            <w:tcW w:w="2983" w:type="dxa"/>
            <w:gridSpan w:val="2"/>
            <w:vAlign w:val="center"/>
          </w:tcPr>
          <w:p>
            <w:pPr>
              <w:spacing w:line="280" w:lineRule="exact"/>
              <w:rPr>
                <w:rFonts w:ascii="Times New Roman" w:hAnsi="Times New Roman" w:cs="Times New Roman"/>
                <w:color w:val="auto"/>
              </w:rPr>
            </w:pPr>
            <w:r>
              <w:rPr>
                <w:rFonts w:hint="eastAsia" w:ascii="Times New Roman" w:hAnsi="Times New Roman" w:eastAsia="宋体" w:cs="宋体"/>
                <w:color w:val="auto"/>
              </w:rPr>
              <w:t>化工石化医药行业（石油及化工产品储运）专业甲级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1428" w:type="dxa"/>
            <w:gridSpan w:val="2"/>
            <w:vAlign w:val="center"/>
          </w:tcPr>
          <w:p>
            <w:pPr>
              <w:spacing w:line="280" w:lineRule="exact"/>
              <w:jc w:val="center"/>
              <w:rPr>
                <w:rFonts w:ascii="Times New Roman" w:hAnsi="Times New Roman" w:eastAsia="新宋体" w:cs="Times New Roman"/>
                <w:color w:val="auto"/>
              </w:rPr>
            </w:pPr>
            <w:r>
              <w:rPr>
                <w:rFonts w:hint="eastAsia" w:ascii="Times New Roman" w:hAnsi="Times New Roman" w:eastAsia="新宋体" w:cs="新宋体"/>
                <w:color w:val="auto"/>
              </w:rPr>
              <w:t>土建施工单位</w:t>
            </w:r>
          </w:p>
        </w:tc>
        <w:tc>
          <w:tcPr>
            <w:tcW w:w="3881" w:type="dxa"/>
            <w:gridSpan w:val="3"/>
            <w:vAlign w:val="center"/>
          </w:tcPr>
          <w:p>
            <w:pPr>
              <w:spacing w:line="280" w:lineRule="exact"/>
              <w:rPr>
                <w:rFonts w:hint="eastAsia" w:ascii="Times New Roman" w:hAnsi="Times New Roman" w:eastAsia="宋体" w:cs="Times New Roman"/>
                <w:color w:val="auto"/>
                <w:lang w:eastAsia="zh-CN"/>
              </w:rPr>
            </w:pPr>
            <w:r>
              <w:rPr>
                <w:rFonts w:hint="eastAsia" w:ascii="Times New Roman" w:hAnsi="Times New Roman" w:cs="宋体"/>
                <w:color w:val="auto"/>
                <w:lang w:eastAsia="zh-CN"/>
              </w:rPr>
              <w:t>中化华油建设集团有限公司</w:t>
            </w:r>
          </w:p>
        </w:tc>
        <w:tc>
          <w:tcPr>
            <w:tcW w:w="9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资质</w:t>
            </w:r>
          </w:p>
        </w:tc>
        <w:tc>
          <w:tcPr>
            <w:tcW w:w="2983" w:type="dxa"/>
            <w:gridSpan w:val="2"/>
            <w:vAlign w:val="center"/>
          </w:tcPr>
          <w:p>
            <w:pPr>
              <w:spacing w:line="280" w:lineRule="exact"/>
              <w:rPr>
                <w:rFonts w:cs="Times New Roman"/>
                <w:color w:val="auto"/>
              </w:rPr>
            </w:pPr>
            <w:r>
              <w:rPr>
                <w:rFonts w:hint="eastAsia" w:cs="宋体"/>
                <w:color w:val="auto"/>
              </w:rPr>
              <w:t>建筑工程施工总承包叁级</w:t>
            </w:r>
          </w:p>
          <w:p>
            <w:pPr>
              <w:pStyle w:val="37"/>
              <w:rPr>
                <w:color w:val="auto"/>
              </w:rPr>
            </w:pPr>
            <w:r>
              <w:rPr>
                <w:rFonts w:hint="eastAsia" w:cs="宋体"/>
                <w:color w:val="auto"/>
              </w:rPr>
              <w:t>钢结构工程专业承包</w:t>
            </w:r>
            <w:r>
              <w:rPr>
                <w:rFonts w:hint="eastAsia" w:cs="宋体"/>
                <w:color w:val="auto"/>
                <w:lang w:eastAsia="zh-CN"/>
              </w:rPr>
              <w:t>贰</w:t>
            </w:r>
            <w:r>
              <w:rPr>
                <w:rFonts w:hint="eastAsia" w:cs="宋体"/>
                <w:color w:val="auto"/>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1428" w:type="dxa"/>
            <w:gridSpan w:val="2"/>
            <w:vAlign w:val="center"/>
          </w:tcPr>
          <w:p>
            <w:pPr>
              <w:spacing w:line="280" w:lineRule="exact"/>
              <w:jc w:val="center"/>
              <w:rPr>
                <w:rFonts w:ascii="Times New Roman" w:hAnsi="Times New Roman" w:eastAsia="新宋体" w:cs="Times New Roman"/>
                <w:color w:val="auto"/>
              </w:rPr>
            </w:pPr>
            <w:r>
              <w:rPr>
                <w:rFonts w:hint="eastAsia" w:ascii="Times New Roman" w:hAnsi="Times New Roman" w:eastAsia="新宋体" w:cs="新宋体"/>
                <w:color w:val="auto"/>
              </w:rPr>
              <w:t>油罐、管线安装单位</w:t>
            </w:r>
          </w:p>
        </w:tc>
        <w:tc>
          <w:tcPr>
            <w:tcW w:w="3881" w:type="dxa"/>
            <w:gridSpan w:val="3"/>
            <w:vAlign w:val="center"/>
          </w:tcPr>
          <w:p>
            <w:pPr>
              <w:spacing w:line="280" w:lineRule="exact"/>
              <w:rPr>
                <w:rFonts w:ascii="Times New Roman" w:hAnsi="Times New Roman" w:cs="Times New Roman"/>
                <w:color w:val="auto"/>
              </w:rPr>
            </w:pPr>
            <w:r>
              <w:rPr>
                <w:rFonts w:hint="eastAsia" w:ascii="Times New Roman" w:hAnsi="Times New Roman" w:cs="宋体"/>
                <w:color w:val="auto"/>
                <w:lang w:eastAsia="zh-CN"/>
              </w:rPr>
              <w:t>中化华油建设集团有限公司</w:t>
            </w:r>
          </w:p>
        </w:tc>
        <w:tc>
          <w:tcPr>
            <w:tcW w:w="9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资质</w:t>
            </w:r>
          </w:p>
        </w:tc>
        <w:tc>
          <w:tcPr>
            <w:tcW w:w="2983" w:type="dxa"/>
            <w:gridSpan w:val="2"/>
            <w:vAlign w:val="center"/>
          </w:tcPr>
          <w:p>
            <w:pPr>
              <w:pStyle w:val="37"/>
              <w:rPr>
                <w:color w:val="auto"/>
              </w:rPr>
            </w:pPr>
            <w:r>
              <w:rPr>
                <w:rFonts w:hint="eastAsia" w:cs="宋体"/>
                <w:color w:val="auto"/>
              </w:rPr>
              <w:t>石油化工工程施工总承包</w:t>
            </w:r>
            <w:r>
              <w:rPr>
                <w:rFonts w:hint="eastAsia" w:cs="宋体"/>
                <w:color w:val="auto"/>
                <w:lang w:eastAsia="zh-CN"/>
              </w:rPr>
              <w:t>壹</w:t>
            </w:r>
            <w:r>
              <w:rPr>
                <w:rFonts w:hint="eastAsia" w:cs="宋体"/>
                <w:color w:val="auto"/>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1428" w:type="dxa"/>
            <w:gridSpan w:val="2"/>
            <w:vAlign w:val="center"/>
          </w:tcPr>
          <w:p>
            <w:pPr>
              <w:spacing w:line="280" w:lineRule="exact"/>
              <w:jc w:val="center"/>
              <w:rPr>
                <w:rFonts w:ascii="Times New Roman" w:hAnsi="Times New Roman" w:eastAsia="新宋体" w:cs="Times New Roman"/>
                <w:color w:val="auto"/>
              </w:rPr>
            </w:pPr>
            <w:r>
              <w:rPr>
                <w:rFonts w:hint="eastAsia" w:ascii="Times New Roman" w:hAnsi="Times New Roman" w:eastAsia="新宋体" w:cs="新宋体"/>
                <w:color w:val="auto"/>
              </w:rPr>
              <w:t>监理单位</w:t>
            </w:r>
          </w:p>
        </w:tc>
        <w:tc>
          <w:tcPr>
            <w:tcW w:w="3881" w:type="dxa"/>
            <w:gridSpan w:val="3"/>
            <w:vAlign w:val="center"/>
          </w:tcPr>
          <w:p>
            <w:pPr>
              <w:spacing w:line="280" w:lineRule="exact"/>
              <w:rPr>
                <w:rFonts w:hint="eastAsia" w:ascii="Times New Roman" w:hAnsi="Times New Roman" w:eastAsia="宋体" w:cs="Times New Roman"/>
                <w:color w:val="auto"/>
                <w:lang w:eastAsia="zh-CN"/>
              </w:rPr>
            </w:pPr>
            <w:r>
              <w:rPr>
                <w:rFonts w:hint="eastAsia" w:ascii="Times New Roman" w:hAnsi="Times New Roman" w:cs="宋体"/>
                <w:color w:val="auto"/>
                <w:lang w:eastAsia="zh-CN"/>
              </w:rPr>
              <w:t>江西中煤建设工程有限公司</w:t>
            </w:r>
          </w:p>
        </w:tc>
        <w:tc>
          <w:tcPr>
            <w:tcW w:w="9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资质</w:t>
            </w:r>
          </w:p>
        </w:tc>
        <w:tc>
          <w:tcPr>
            <w:tcW w:w="2983" w:type="dxa"/>
            <w:gridSpan w:val="2"/>
            <w:vAlign w:val="center"/>
          </w:tcPr>
          <w:p>
            <w:pPr>
              <w:spacing w:line="280" w:lineRule="exact"/>
              <w:rPr>
                <w:rFonts w:ascii="Times New Roman" w:hAnsi="Times New Roman" w:cs="Times New Roman"/>
                <w:color w:val="auto"/>
              </w:rPr>
            </w:pPr>
            <w:r>
              <w:rPr>
                <w:rFonts w:hint="eastAsia" w:ascii="Times New Roman" w:hAnsi="Times New Roman" w:cs="宋体"/>
                <w:color w:val="auto"/>
              </w:rPr>
              <w:t>市政公用工程监理甲级，房屋建筑工程监理甲级</w:t>
            </w:r>
          </w:p>
        </w:tc>
      </w:tr>
    </w:tbl>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此加油站折算总储量为</w:t>
      </w:r>
      <w:r>
        <w:rPr>
          <w:rFonts w:ascii="Times New Roman" w:hAnsi="Times New Roman" w:cs="Times New Roman"/>
          <w:color w:val="auto"/>
          <w:sz w:val="28"/>
          <w:szCs w:val="28"/>
        </w:rPr>
        <w:t>10</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m³</w:t>
      </w:r>
      <w:r>
        <w:rPr>
          <w:rFonts w:hint="eastAsia" w:ascii="Times New Roman" w:hAnsi="Times New Roman" w:cs="宋体"/>
          <w:color w:val="auto"/>
          <w:sz w:val="28"/>
          <w:szCs w:val="28"/>
        </w:rPr>
        <w:t>，最大单罐容积为</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0m³</w:t>
      </w:r>
      <w:r>
        <w:rPr>
          <w:rFonts w:hint="eastAsia" w:ascii="Times New Roman" w:hAnsi="Times New Roman" w:cs="宋体"/>
          <w:color w:val="auto"/>
          <w:sz w:val="28"/>
          <w:szCs w:val="28"/>
        </w:rPr>
        <w:t>，属二级加油站。</w:t>
      </w:r>
    </w:p>
    <w:p>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江西景德镇石油分公司鱼丽加油站已取得景德镇市人民政府下发的土地证，编号为景昌土国用（</w:t>
      </w:r>
      <w:r>
        <w:rPr>
          <w:rFonts w:hint="eastAsia" w:ascii="Times New Roman" w:hAnsi="Times New Roman" w:cs="宋体"/>
          <w:color w:val="auto"/>
          <w:sz w:val="28"/>
          <w:szCs w:val="28"/>
          <w:lang w:val="en-US" w:eastAsia="zh-CN"/>
        </w:rPr>
        <w:t>2015</w:t>
      </w:r>
      <w:r>
        <w:rPr>
          <w:rFonts w:hint="eastAsia" w:ascii="Times New Roman" w:hAnsi="Times New Roman" w:cs="宋体"/>
          <w:color w:val="auto"/>
          <w:sz w:val="28"/>
          <w:szCs w:val="28"/>
          <w:lang w:eastAsia="zh-CN"/>
        </w:rPr>
        <w:t>）第</w:t>
      </w:r>
      <w:r>
        <w:rPr>
          <w:rFonts w:hint="eastAsia" w:ascii="Times New Roman" w:hAnsi="Times New Roman" w:cs="宋体"/>
          <w:color w:val="auto"/>
          <w:sz w:val="28"/>
          <w:szCs w:val="28"/>
          <w:lang w:val="en-US" w:eastAsia="zh-CN"/>
        </w:rPr>
        <w:t>002号</w:t>
      </w:r>
      <w:r>
        <w:rPr>
          <w:rFonts w:hint="eastAsia" w:ascii="Times New Roman" w:hAnsi="Times New Roman" w:cs="宋体"/>
          <w:color w:val="auto"/>
          <w:sz w:val="28"/>
          <w:szCs w:val="28"/>
          <w:lang w:eastAsia="zh-CN"/>
        </w:rPr>
        <w:t>。</w:t>
      </w:r>
    </w:p>
    <w:p>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江西省万隆实业有限公司出具了S/F双层油罐产品质量证明书。</w:t>
      </w:r>
    </w:p>
    <w:p>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托肯恒山科技（广州）有限公司</w:t>
      </w:r>
      <w:r>
        <w:rPr>
          <w:rFonts w:hint="eastAsia" w:ascii="Times New Roman" w:hAnsi="Times New Roman" w:cs="宋体"/>
          <w:color w:val="auto"/>
          <w:sz w:val="28"/>
          <w:szCs w:val="28"/>
        </w:rPr>
        <w:t>出具</w:t>
      </w:r>
      <w:r>
        <w:rPr>
          <w:rFonts w:hint="eastAsia" w:ascii="Times New Roman" w:hAnsi="Times New Roman" w:cs="宋体"/>
          <w:color w:val="auto"/>
          <w:sz w:val="28"/>
          <w:szCs w:val="28"/>
          <w:lang w:eastAsia="zh-CN"/>
        </w:rPr>
        <w:t>了</w:t>
      </w:r>
      <w:r>
        <w:rPr>
          <w:rFonts w:hint="eastAsia" w:ascii="Times New Roman" w:hAnsi="Times New Roman" w:cs="宋体"/>
          <w:color w:val="auto"/>
          <w:sz w:val="28"/>
          <w:szCs w:val="28"/>
        </w:rPr>
        <w:t>加油机产品合格证。</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江西赣象防雷检测中心有限公司景德镇分公司于202</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eastAsia="zh-CN"/>
        </w:rPr>
        <w:t>年</w:t>
      </w:r>
      <w:r>
        <w:rPr>
          <w:rFonts w:hint="eastAsia" w:ascii="Times New Roman" w:hAnsi="Times New Roman" w:cs="宋体"/>
          <w:color w:val="auto"/>
          <w:sz w:val="28"/>
          <w:szCs w:val="28"/>
          <w:lang w:val="en-US" w:eastAsia="zh-CN"/>
        </w:rPr>
        <w:t>11</w:t>
      </w:r>
      <w:r>
        <w:rPr>
          <w:rFonts w:hint="eastAsia" w:ascii="Times New Roman" w:hAnsi="Times New Roman" w:cs="宋体"/>
          <w:color w:val="auto"/>
          <w:sz w:val="28"/>
          <w:szCs w:val="28"/>
          <w:lang w:eastAsia="zh-CN"/>
        </w:rPr>
        <w:t>月17日</w:t>
      </w:r>
      <w:r>
        <w:rPr>
          <w:rFonts w:hint="eastAsia" w:ascii="Times New Roman" w:hAnsi="Times New Roman" w:cs="宋体"/>
          <w:color w:val="auto"/>
          <w:sz w:val="28"/>
          <w:szCs w:val="28"/>
        </w:rPr>
        <w:t>对</w:t>
      </w:r>
      <w:r>
        <w:rPr>
          <w:rFonts w:hint="eastAsia" w:ascii="Times New Roman" w:hAnsi="Times New Roman" w:cs="宋体"/>
          <w:color w:val="auto"/>
          <w:sz w:val="28"/>
          <w:szCs w:val="28"/>
          <w:lang w:eastAsia="zh-CN"/>
        </w:rPr>
        <w:t>江西景德镇石油分公司鱼丽加油站</w:t>
      </w:r>
      <w:r>
        <w:rPr>
          <w:rFonts w:hint="eastAsia" w:ascii="Times New Roman" w:hAnsi="Times New Roman" w:cs="宋体"/>
          <w:color w:val="auto"/>
          <w:sz w:val="28"/>
          <w:szCs w:val="28"/>
        </w:rPr>
        <w:t>防雷装置进行检测，检测结论为合格，报告有效期至</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3</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月</w:t>
      </w:r>
      <w:r>
        <w:rPr>
          <w:rFonts w:ascii="Times New Roman" w:hAnsi="Times New Roman" w:cs="Times New Roman"/>
          <w:color w:val="auto"/>
          <w:sz w:val="28"/>
          <w:szCs w:val="28"/>
        </w:rPr>
        <w:t>16</w:t>
      </w:r>
      <w:r>
        <w:rPr>
          <w:rFonts w:hint="eastAsia" w:ascii="Times New Roman" w:hAnsi="Times New Roman" w:cs="宋体"/>
          <w:color w:val="auto"/>
          <w:sz w:val="28"/>
          <w:szCs w:val="28"/>
        </w:rPr>
        <w:t>日。</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江西景德镇石油分公司鱼丽加油站</w:t>
      </w:r>
      <w:r>
        <w:rPr>
          <w:rFonts w:hint="eastAsia" w:ascii="Times New Roman" w:hAnsi="Times New Roman" w:cs="宋体"/>
          <w:color w:val="auto"/>
          <w:sz w:val="28"/>
          <w:szCs w:val="28"/>
        </w:rPr>
        <w:t>主要负责人及安全管理人员</w:t>
      </w:r>
      <w:r>
        <w:rPr>
          <w:rFonts w:hint="eastAsia" w:ascii="Times New Roman" w:hAnsi="Times New Roman" w:cs="宋体"/>
          <w:color w:val="auto"/>
          <w:sz w:val="28"/>
          <w:szCs w:val="28"/>
          <w:lang w:eastAsia="zh-CN"/>
        </w:rPr>
        <w:t>均已取得考核合格证</w:t>
      </w:r>
      <w:r>
        <w:rPr>
          <w:rFonts w:hint="eastAsia" w:ascii="Times New Roman" w:hAnsi="Times New Roman" w:cs="宋体"/>
          <w:color w:val="auto"/>
          <w:sz w:val="28"/>
          <w:szCs w:val="28"/>
        </w:rPr>
        <w:t>。</w:t>
      </w:r>
    </w:p>
    <w:p>
      <w:pPr>
        <w:pStyle w:val="5"/>
        <w:spacing w:line="360" w:lineRule="auto"/>
        <w:rPr>
          <w:rFonts w:cs="Times New Roman"/>
          <w:color w:val="auto"/>
          <w:sz w:val="28"/>
          <w:szCs w:val="28"/>
        </w:rPr>
      </w:pPr>
      <w:r>
        <w:rPr>
          <w:color w:val="auto"/>
          <w:sz w:val="28"/>
          <w:szCs w:val="28"/>
        </w:rPr>
        <w:t>2.1.3</w:t>
      </w:r>
      <w:r>
        <w:rPr>
          <w:rFonts w:hint="eastAsia" w:cs="宋体"/>
          <w:color w:val="auto"/>
          <w:sz w:val="28"/>
          <w:szCs w:val="28"/>
        </w:rPr>
        <w:t>建设情况与安全设施设计情况对比</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加油站安全设施设计中</w:t>
      </w:r>
      <w:r>
        <w:rPr>
          <w:rFonts w:hint="eastAsia" w:ascii="Times New Roman" w:hAnsi="Times New Roman" w:cs="宋体"/>
          <w:color w:val="auto"/>
          <w:sz w:val="28"/>
          <w:szCs w:val="28"/>
          <w:lang w:eastAsia="zh-CN"/>
        </w:rPr>
        <w:t>设置充电桩，</w:t>
      </w:r>
      <w:r>
        <w:rPr>
          <w:rFonts w:hint="eastAsia" w:ascii="Times New Roman" w:hAnsi="Times New Roman" w:cs="宋体"/>
          <w:color w:val="auto"/>
          <w:sz w:val="28"/>
          <w:szCs w:val="28"/>
        </w:rPr>
        <w:t>但后期建设过程中未安装，</w:t>
      </w:r>
      <w:r>
        <w:rPr>
          <w:rFonts w:hint="eastAsia" w:ascii="Times New Roman" w:hAnsi="Times New Roman" w:cs="宋体"/>
          <w:color w:val="auto"/>
          <w:sz w:val="28"/>
          <w:szCs w:val="28"/>
          <w:lang w:val="en-US" w:eastAsia="zh-CN"/>
        </w:rPr>
        <w:t>其余与设计一致，</w:t>
      </w:r>
      <w:r>
        <w:rPr>
          <w:rFonts w:hint="eastAsia" w:ascii="Times New Roman" w:hAnsi="Times New Roman" w:cs="宋体"/>
          <w:color w:val="auto"/>
          <w:sz w:val="28"/>
          <w:szCs w:val="28"/>
        </w:rPr>
        <w:t>详见竣工图。</w:t>
      </w:r>
    </w:p>
    <w:p>
      <w:pPr>
        <w:spacing w:line="360" w:lineRule="auto"/>
        <w:outlineLvl w:val="1"/>
        <w:rPr>
          <w:rStyle w:val="25"/>
          <w:color w:val="auto"/>
        </w:rPr>
      </w:pPr>
      <w:bookmarkStart w:id="30" w:name="_Toc21689"/>
      <w:r>
        <w:rPr>
          <w:rStyle w:val="25"/>
          <w:color w:val="auto"/>
        </w:rPr>
        <w:t xml:space="preserve">2.2 </w:t>
      </w:r>
      <w:r>
        <w:rPr>
          <w:rStyle w:val="25"/>
          <w:rFonts w:hint="eastAsia" w:cs="宋体"/>
          <w:color w:val="auto"/>
        </w:rPr>
        <w:t>加油站概况</w:t>
      </w:r>
      <w:bookmarkEnd w:id="29"/>
      <w:bookmarkEnd w:id="30"/>
    </w:p>
    <w:p>
      <w:pPr>
        <w:pStyle w:val="5"/>
        <w:spacing w:line="360" w:lineRule="auto"/>
        <w:rPr>
          <w:rFonts w:cs="Times New Roman"/>
          <w:color w:val="auto"/>
        </w:rPr>
      </w:pPr>
      <w:bookmarkStart w:id="31" w:name="_Toc25412"/>
      <w:r>
        <w:rPr>
          <w:color w:val="auto"/>
        </w:rPr>
        <w:t>2.2.1</w:t>
      </w:r>
      <w:r>
        <w:rPr>
          <w:rFonts w:hint="eastAsia" w:cs="宋体"/>
          <w:color w:val="auto"/>
        </w:rPr>
        <w:t>周边环境</w:t>
      </w:r>
      <w:bookmarkEnd w:id="31"/>
    </w:p>
    <w:p>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该站位于江西省景德镇市昌江区鱼山镇（国道与鱼丽路交叉口东侧），交通运输较便利。</w:t>
      </w:r>
    </w:p>
    <w:p>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中国石化销售股份有限公司江西景德镇石油分公司鱼丽加油站地处江西省景德镇市昌江区鱼山镇（国道与鱼丽路交叉口东侧）。站区西面为206国道</w:t>
      </w:r>
      <w:r>
        <w:rPr>
          <w:rFonts w:hint="eastAsia" w:ascii="Times New Roman" w:hAnsi="Times New Roman" w:cs="宋体"/>
          <w:color w:val="auto"/>
          <w:sz w:val="28"/>
          <w:szCs w:val="28"/>
          <w:lang w:eastAsia="zh-CN"/>
        </w:rPr>
        <w:t>，国道的人行道旁深埋的天然气管道</w:t>
      </w:r>
      <w:r>
        <w:rPr>
          <w:rFonts w:hint="eastAsia" w:ascii="Times New Roman" w:hAnsi="Times New Roman" w:cs="宋体"/>
          <w:color w:val="auto"/>
          <w:sz w:val="28"/>
          <w:szCs w:val="28"/>
        </w:rPr>
        <w:t>；站区北面为105县道、架空电力线路（8m杆高，有绝缘层）、架空通信线；站区南面为鱼山农贸市场（三类保护物）；站区东面为空地。</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该站站区外50m范围内无重要建筑物，站区四周无自然保护区、风景区。</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加油站内有混凝土路面与公路相连，站区内地势平坦，站内地坪</w:t>
      </w:r>
      <w:r>
        <w:rPr>
          <w:rFonts w:ascii="Times New Roman" w:hAnsi="Times New Roman" w:cs="Times New Roman"/>
          <w:color w:val="auto"/>
          <w:sz w:val="28"/>
          <w:szCs w:val="28"/>
        </w:rPr>
        <w:t>0.5%</w:t>
      </w:r>
      <w:r>
        <w:rPr>
          <w:rFonts w:hint="eastAsia" w:ascii="Times New Roman" w:hAnsi="Times New Roman" w:cs="宋体"/>
          <w:color w:val="auto"/>
          <w:sz w:val="28"/>
          <w:szCs w:val="28"/>
        </w:rPr>
        <w:t>坡向道路进出口。</w:t>
      </w:r>
    </w:p>
    <w:p>
      <w:pPr>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 xml:space="preserve">2-2  </w:t>
      </w:r>
      <w:r>
        <w:rPr>
          <w:rFonts w:hint="eastAsia" w:ascii="Times New Roman" w:hAnsi="Times New Roman" w:cs="宋体"/>
          <w:b/>
          <w:bCs/>
          <w:color w:val="auto"/>
          <w:sz w:val="24"/>
          <w:szCs w:val="24"/>
        </w:rPr>
        <w:t>油罐、加油机和通气管管口与站外建、构筑物实际距离（</w:t>
      </w:r>
      <w:r>
        <w:rPr>
          <w:rFonts w:ascii="Times New Roman" w:hAnsi="Times New Roman" w:cs="Times New Roman"/>
          <w:b/>
          <w:bCs/>
          <w:color w:val="auto"/>
          <w:sz w:val="24"/>
          <w:szCs w:val="24"/>
        </w:rPr>
        <w:t>m</w:t>
      </w:r>
      <w:r>
        <w:rPr>
          <w:rFonts w:hint="eastAsia" w:ascii="Times New Roman" w:hAnsi="Times New Roman" w:cs="宋体"/>
          <w:b/>
          <w:bCs/>
          <w:color w:val="auto"/>
          <w:sz w:val="24"/>
          <w:szCs w:val="24"/>
        </w:rPr>
        <w:t>）</w:t>
      </w:r>
    </w:p>
    <w:tbl>
      <w:tblPr>
        <w:tblStyle w:val="20"/>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1400"/>
        <w:gridCol w:w="2913"/>
        <w:gridCol w:w="142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exact"/>
          <w:jc w:val="center"/>
        </w:trPr>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
                <w:bCs/>
                <w:color w:val="auto"/>
                <w:szCs w:val="21"/>
              </w:rPr>
            </w:pPr>
            <w:r>
              <w:rPr>
                <w:b/>
                <w:color w:val="auto"/>
                <w:szCs w:val="21"/>
                <w:lang w:val="zh-CN"/>
              </w:rPr>
              <w:t>工艺装置</w:t>
            </w:r>
            <w:r>
              <w:rPr>
                <w:b/>
                <w:bCs/>
                <w:color w:val="auto"/>
                <w:szCs w:val="21"/>
              </w:rPr>
              <w:t>名称</w:t>
            </w:r>
          </w:p>
        </w:tc>
        <w:tc>
          <w:tcPr>
            <w:tcW w:w="14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
                <w:bCs/>
                <w:color w:val="auto"/>
                <w:szCs w:val="21"/>
              </w:rPr>
            </w:pPr>
            <w:r>
              <w:rPr>
                <w:b/>
                <w:bCs/>
                <w:color w:val="auto"/>
                <w:szCs w:val="21"/>
              </w:rPr>
              <w:t>相对位置</w:t>
            </w: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
                <w:bCs/>
                <w:color w:val="auto"/>
                <w:szCs w:val="21"/>
              </w:rPr>
            </w:pPr>
            <w:r>
              <w:rPr>
                <w:b/>
                <w:bCs/>
                <w:color w:val="auto"/>
                <w:szCs w:val="21"/>
              </w:rPr>
              <w:t>建（构）筑物名称</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
                <w:bCs/>
                <w:color w:val="auto"/>
                <w:szCs w:val="21"/>
              </w:rPr>
            </w:pPr>
            <w:r>
              <w:rPr>
                <w:rFonts w:hint="eastAsia"/>
                <w:b/>
                <w:bCs/>
                <w:color w:val="auto"/>
                <w:szCs w:val="21"/>
                <w:lang w:val="en-US" w:eastAsia="zh-CN"/>
              </w:rPr>
              <w:t>实际</w:t>
            </w:r>
            <w:r>
              <w:rPr>
                <w:b/>
                <w:bCs/>
                <w:color w:val="auto"/>
                <w:szCs w:val="21"/>
              </w:rPr>
              <w:t>间距</w:t>
            </w:r>
            <w:r>
              <w:rPr>
                <w:color w:val="auto"/>
                <w:szCs w:val="21"/>
              </w:rPr>
              <w:t>m</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
                <w:bCs/>
                <w:color w:val="auto"/>
                <w:szCs w:val="21"/>
              </w:rPr>
            </w:pPr>
            <w:r>
              <w:rPr>
                <w:rFonts w:hint="eastAsia"/>
                <w:b/>
                <w:bCs/>
                <w:color w:val="auto"/>
                <w:szCs w:val="21"/>
              </w:rPr>
              <w:t>标准要求m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bCs/>
                <w:color w:val="auto"/>
                <w:szCs w:val="21"/>
              </w:rPr>
              <w:t>埋地油罐（柴油）</w:t>
            </w:r>
          </w:p>
        </w:tc>
        <w:tc>
          <w:tcPr>
            <w:tcW w:w="14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东面</w:t>
            </w: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空地</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bCs/>
                <w:color w:val="auto"/>
                <w:szCs w:val="21"/>
              </w:rPr>
              <w:t>/</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南面</w:t>
            </w: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鱼山农贸市场（三类保护物）</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5</w:t>
            </w:r>
            <w:r>
              <w:rPr>
                <w:bCs/>
                <w:color w:val="auto"/>
                <w:szCs w:val="21"/>
              </w:rPr>
              <w:t>3.3</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bCs/>
                <w:color w:val="auto"/>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西面</w:t>
            </w: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lang w:val="en-US" w:eastAsia="zh-CN"/>
              </w:rPr>
              <w:t>G</w:t>
            </w:r>
            <w:r>
              <w:rPr>
                <w:rFonts w:hint="eastAsia"/>
                <w:bCs/>
                <w:color w:val="auto"/>
                <w:szCs w:val="21"/>
              </w:rPr>
              <w:t>2</w:t>
            </w:r>
            <w:r>
              <w:rPr>
                <w:bCs/>
                <w:color w:val="auto"/>
                <w:szCs w:val="21"/>
              </w:rPr>
              <w:t>06</w:t>
            </w:r>
            <w:r>
              <w:rPr>
                <w:rFonts w:hint="eastAsia"/>
                <w:bCs/>
                <w:color w:val="auto"/>
                <w:szCs w:val="21"/>
              </w:rPr>
              <w:t>国道人行道</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38.3</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北面</w:t>
            </w: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1</w:t>
            </w:r>
            <w:r>
              <w:rPr>
                <w:bCs/>
                <w:color w:val="auto"/>
                <w:szCs w:val="21"/>
              </w:rPr>
              <w:t>05</w:t>
            </w:r>
            <w:r>
              <w:rPr>
                <w:rFonts w:hint="eastAsia"/>
                <w:bCs/>
                <w:color w:val="auto"/>
                <w:szCs w:val="21"/>
              </w:rPr>
              <w:t>县道</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27.7</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架空电力线路（有绝缘层，H=8m）</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29.6</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架空通信线</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27.8</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bCs/>
                <w:color w:val="auto"/>
                <w:szCs w:val="21"/>
              </w:rPr>
              <w:t>埋地油罐（汽油）</w:t>
            </w:r>
          </w:p>
        </w:tc>
        <w:tc>
          <w:tcPr>
            <w:tcW w:w="14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东面</w:t>
            </w: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空地</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bCs/>
                <w:color w:val="auto"/>
                <w:szCs w:val="21"/>
              </w:rPr>
              <w:t>/</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南面</w:t>
            </w: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鱼山农贸市场（三类保护物）</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50.5</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8</w:t>
            </w:r>
            <w:r>
              <w:rPr>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西面</w:t>
            </w: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2</w:t>
            </w:r>
            <w:r>
              <w:rPr>
                <w:bCs/>
                <w:color w:val="auto"/>
                <w:szCs w:val="21"/>
              </w:rPr>
              <w:t>06</w:t>
            </w:r>
            <w:r>
              <w:rPr>
                <w:rFonts w:hint="eastAsia"/>
                <w:bCs/>
                <w:color w:val="auto"/>
                <w:szCs w:val="21"/>
              </w:rPr>
              <w:t>国道人行道</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40.5</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5</w:t>
            </w:r>
            <w:r>
              <w:rPr>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北面</w:t>
            </w: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1</w:t>
            </w:r>
            <w:r>
              <w:rPr>
                <w:bCs/>
                <w:color w:val="auto"/>
                <w:szCs w:val="21"/>
              </w:rPr>
              <w:t>05</w:t>
            </w:r>
            <w:r>
              <w:rPr>
                <w:rFonts w:hint="eastAsia"/>
                <w:bCs/>
                <w:color w:val="auto"/>
                <w:szCs w:val="21"/>
              </w:rPr>
              <w:t>县道</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25.4</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架空电力线路（有绝缘层，H=8m）</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27.2</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6（0</w:t>
            </w:r>
            <w:r>
              <w:rPr>
                <w:bCs/>
                <w:color w:val="auto"/>
                <w:szCs w:val="21"/>
              </w:rPr>
              <w:t>.75H</w:t>
            </w:r>
            <w:r>
              <w:rPr>
                <w:rFonts w:hint="eastAsia"/>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14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p>
        </w:tc>
        <w:tc>
          <w:tcPr>
            <w:tcW w:w="291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bCs/>
                <w:color w:val="auto"/>
                <w:szCs w:val="21"/>
              </w:rPr>
            </w:pPr>
            <w:r>
              <w:rPr>
                <w:rFonts w:hint="eastAsia"/>
                <w:bCs/>
                <w:color w:val="auto"/>
                <w:szCs w:val="21"/>
              </w:rPr>
              <w:t>架空通信线</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25.5</w:t>
            </w:r>
          </w:p>
        </w:tc>
        <w:tc>
          <w:tcPr>
            <w:tcW w:w="1332"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restart"/>
            <w:noWrap w:val="0"/>
            <w:vAlign w:val="center"/>
          </w:tcPr>
          <w:p>
            <w:pPr>
              <w:jc w:val="center"/>
              <w:rPr>
                <w:rFonts w:hint="default" w:eastAsia="宋体"/>
                <w:color w:val="auto"/>
                <w:szCs w:val="21"/>
                <w:lang w:val="en-US" w:eastAsia="zh-CN"/>
              </w:rPr>
            </w:pPr>
            <w:r>
              <w:rPr>
                <w:rFonts w:hint="eastAsia"/>
                <w:color w:val="auto"/>
                <w:szCs w:val="21"/>
                <w:lang w:val="zh-CN"/>
              </w:rPr>
              <w:t>（汽油</w:t>
            </w:r>
            <w:r>
              <w:rPr>
                <w:rFonts w:hint="eastAsia"/>
                <w:color w:val="auto"/>
                <w:szCs w:val="21"/>
                <w:lang w:val="en-US" w:eastAsia="zh-CN"/>
              </w:rPr>
              <w:t>和柴油</w:t>
            </w:r>
            <w:r>
              <w:rPr>
                <w:rFonts w:hint="eastAsia"/>
                <w:color w:val="auto"/>
                <w:szCs w:val="21"/>
                <w:lang w:val="zh-CN"/>
              </w:rPr>
              <w:t>）</w:t>
            </w:r>
            <w:r>
              <w:rPr>
                <w:color w:val="auto"/>
                <w:szCs w:val="21"/>
                <w:lang w:val="zh-CN"/>
              </w:rPr>
              <w:t>通气管管口</w:t>
            </w:r>
          </w:p>
        </w:tc>
        <w:tc>
          <w:tcPr>
            <w:tcW w:w="1400" w:type="dxa"/>
            <w:noWrap w:val="0"/>
            <w:vAlign w:val="center"/>
          </w:tcPr>
          <w:p>
            <w:pPr>
              <w:jc w:val="center"/>
              <w:rPr>
                <w:bCs/>
                <w:color w:val="auto"/>
                <w:szCs w:val="21"/>
              </w:rPr>
            </w:pPr>
            <w:r>
              <w:rPr>
                <w:rFonts w:hint="eastAsia"/>
                <w:bCs/>
                <w:color w:val="auto"/>
                <w:szCs w:val="21"/>
              </w:rPr>
              <w:t>东面</w:t>
            </w:r>
          </w:p>
        </w:tc>
        <w:tc>
          <w:tcPr>
            <w:tcW w:w="2913" w:type="dxa"/>
            <w:noWrap w:val="0"/>
            <w:vAlign w:val="center"/>
          </w:tcPr>
          <w:p>
            <w:pPr>
              <w:jc w:val="center"/>
              <w:rPr>
                <w:bCs/>
                <w:color w:val="auto"/>
                <w:szCs w:val="21"/>
              </w:rPr>
            </w:pPr>
            <w:r>
              <w:rPr>
                <w:rFonts w:hint="eastAsia"/>
                <w:bCs/>
                <w:color w:val="auto"/>
                <w:szCs w:val="21"/>
              </w:rPr>
              <w:t>空地</w:t>
            </w:r>
          </w:p>
        </w:tc>
        <w:tc>
          <w:tcPr>
            <w:tcW w:w="1420" w:type="dxa"/>
            <w:noWrap w:val="0"/>
            <w:vAlign w:val="center"/>
          </w:tcPr>
          <w:p>
            <w:pPr>
              <w:jc w:val="center"/>
              <w:rPr>
                <w:bCs/>
                <w:color w:val="auto"/>
                <w:szCs w:val="21"/>
              </w:rPr>
            </w:pPr>
            <w:r>
              <w:rPr>
                <w:bCs/>
                <w:color w:val="auto"/>
                <w:szCs w:val="21"/>
              </w:rPr>
              <w:t>/</w:t>
            </w:r>
          </w:p>
        </w:tc>
        <w:tc>
          <w:tcPr>
            <w:tcW w:w="1332" w:type="dxa"/>
            <w:noWrap w:val="0"/>
            <w:vAlign w:val="center"/>
          </w:tcPr>
          <w:p>
            <w:pPr>
              <w:jc w:val="center"/>
              <w:rPr>
                <w:bCs/>
                <w:color w:val="auto"/>
                <w:szCs w:val="21"/>
              </w:rPr>
            </w:pPr>
            <w:r>
              <w:rPr>
                <w:rFonts w:hint="eastAsia"/>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noWrap w:val="0"/>
            <w:vAlign w:val="center"/>
          </w:tcPr>
          <w:p>
            <w:pPr>
              <w:jc w:val="center"/>
              <w:rPr>
                <w:rFonts w:hint="eastAsia"/>
                <w:bCs/>
                <w:color w:val="auto"/>
                <w:szCs w:val="21"/>
              </w:rPr>
            </w:pPr>
            <w:r>
              <w:rPr>
                <w:rFonts w:hint="eastAsia"/>
                <w:bCs/>
                <w:color w:val="auto"/>
                <w:szCs w:val="21"/>
              </w:rPr>
              <w:t>南面</w:t>
            </w:r>
          </w:p>
        </w:tc>
        <w:tc>
          <w:tcPr>
            <w:tcW w:w="2913" w:type="dxa"/>
            <w:noWrap w:val="0"/>
            <w:vAlign w:val="center"/>
          </w:tcPr>
          <w:p>
            <w:pPr>
              <w:jc w:val="center"/>
              <w:rPr>
                <w:rFonts w:hint="eastAsia"/>
                <w:bCs/>
                <w:color w:val="auto"/>
                <w:szCs w:val="21"/>
              </w:rPr>
            </w:pPr>
            <w:r>
              <w:rPr>
                <w:rFonts w:hint="eastAsia"/>
                <w:bCs/>
                <w:color w:val="auto"/>
                <w:szCs w:val="21"/>
              </w:rPr>
              <w:t>鱼山农贸市场（三类保护物）</w:t>
            </w:r>
          </w:p>
        </w:tc>
        <w:tc>
          <w:tcPr>
            <w:tcW w:w="1420" w:type="dxa"/>
            <w:noWrap w:val="0"/>
            <w:vAlign w:val="center"/>
          </w:tcPr>
          <w:p>
            <w:pPr>
              <w:jc w:val="center"/>
              <w:rPr>
                <w:bCs/>
                <w:color w:val="auto"/>
                <w:szCs w:val="21"/>
              </w:rPr>
            </w:pPr>
            <w:r>
              <w:rPr>
                <w:rFonts w:hint="eastAsia"/>
                <w:bCs/>
                <w:color w:val="auto"/>
                <w:szCs w:val="21"/>
              </w:rPr>
              <w:t>2</w:t>
            </w:r>
            <w:r>
              <w:rPr>
                <w:bCs/>
                <w:color w:val="auto"/>
                <w:szCs w:val="21"/>
              </w:rPr>
              <w:t>0</w:t>
            </w:r>
          </w:p>
        </w:tc>
        <w:tc>
          <w:tcPr>
            <w:tcW w:w="1332" w:type="dxa"/>
            <w:noWrap w:val="0"/>
            <w:vAlign w:val="center"/>
          </w:tcPr>
          <w:p>
            <w:pPr>
              <w:jc w:val="center"/>
              <w:rPr>
                <w:rFonts w:hint="eastAsia"/>
                <w:bCs/>
                <w:color w:val="auto"/>
                <w:szCs w:val="21"/>
              </w:rPr>
            </w:pPr>
            <w:r>
              <w:rPr>
                <w:bCs/>
                <w:color w:val="auto"/>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noWrap w:val="0"/>
            <w:vAlign w:val="center"/>
          </w:tcPr>
          <w:p>
            <w:pPr>
              <w:jc w:val="center"/>
              <w:rPr>
                <w:rFonts w:hint="eastAsia"/>
                <w:bCs/>
                <w:color w:val="auto"/>
                <w:szCs w:val="21"/>
              </w:rPr>
            </w:pPr>
            <w:r>
              <w:rPr>
                <w:rFonts w:hint="eastAsia"/>
                <w:bCs/>
                <w:color w:val="auto"/>
                <w:szCs w:val="21"/>
              </w:rPr>
              <w:t>西面</w:t>
            </w:r>
          </w:p>
        </w:tc>
        <w:tc>
          <w:tcPr>
            <w:tcW w:w="2913" w:type="dxa"/>
            <w:noWrap w:val="0"/>
            <w:vAlign w:val="center"/>
          </w:tcPr>
          <w:p>
            <w:pPr>
              <w:jc w:val="center"/>
              <w:rPr>
                <w:rFonts w:hint="eastAsia"/>
                <w:bCs/>
                <w:color w:val="auto"/>
                <w:szCs w:val="21"/>
              </w:rPr>
            </w:pPr>
            <w:r>
              <w:rPr>
                <w:rFonts w:hint="eastAsia"/>
                <w:bCs/>
                <w:color w:val="auto"/>
                <w:szCs w:val="21"/>
              </w:rPr>
              <w:t>2</w:t>
            </w:r>
            <w:r>
              <w:rPr>
                <w:bCs/>
                <w:color w:val="auto"/>
                <w:szCs w:val="21"/>
              </w:rPr>
              <w:t>06</w:t>
            </w:r>
            <w:r>
              <w:rPr>
                <w:rFonts w:hint="eastAsia"/>
                <w:bCs/>
                <w:color w:val="auto"/>
                <w:szCs w:val="21"/>
              </w:rPr>
              <w:t>国道人行道</w:t>
            </w:r>
          </w:p>
        </w:tc>
        <w:tc>
          <w:tcPr>
            <w:tcW w:w="1420" w:type="dxa"/>
            <w:noWrap w:val="0"/>
            <w:vAlign w:val="center"/>
          </w:tcPr>
          <w:p>
            <w:pPr>
              <w:jc w:val="center"/>
              <w:rPr>
                <w:bCs/>
                <w:color w:val="auto"/>
                <w:szCs w:val="21"/>
              </w:rPr>
            </w:pPr>
            <w:r>
              <w:rPr>
                <w:bCs/>
                <w:color w:val="auto"/>
                <w:szCs w:val="21"/>
              </w:rPr>
              <w:t>44.1</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vMerge w:val="restart"/>
            <w:noWrap w:val="0"/>
            <w:vAlign w:val="center"/>
          </w:tcPr>
          <w:p>
            <w:pPr>
              <w:jc w:val="center"/>
              <w:rPr>
                <w:rFonts w:hint="eastAsia"/>
                <w:bCs/>
                <w:color w:val="auto"/>
                <w:szCs w:val="21"/>
              </w:rPr>
            </w:pPr>
            <w:r>
              <w:rPr>
                <w:rFonts w:hint="eastAsia"/>
                <w:bCs/>
                <w:color w:val="auto"/>
                <w:szCs w:val="21"/>
              </w:rPr>
              <w:t>北面</w:t>
            </w:r>
          </w:p>
        </w:tc>
        <w:tc>
          <w:tcPr>
            <w:tcW w:w="2913" w:type="dxa"/>
            <w:noWrap w:val="0"/>
            <w:vAlign w:val="center"/>
          </w:tcPr>
          <w:p>
            <w:pPr>
              <w:jc w:val="center"/>
              <w:rPr>
                <w:rFonts w:hint="eastAsia"/>
                <w:bCs/>
                <w:color w:val="auto"/>
                <w:szCs w:val="21"/>
              </w:rPr>
            </w:pPr>
            <w:r>
              <w:rPr>
                <w:rFonts w:hint="eastAsia"/>
                <w:bCs/>
                <w:color w:val="auto"/>
                <w:szCs w:val="21"/>
              </w:rPr>
              <w:t>1</w:t>
            </w:r>
            <w:r>
              <w:rPr>
                <w:bCs/>
                <w:color w:val="auto"/>
                <w:szCs w:val="21"/>
              </w:rPr>
              <w:t>05</w:t>
            </w:r>
            <w:r>
              <w:rPr>
                <w:rFonts w:hint="eastAsia"/>
                <w:bCs/>
                <w:color w:val="auto"/>
                <w:szCs w:val="21"/>
              </w:rPr>
              <w:t>县道</w:t>
            </w:r>
          </w:p>
        </w:tc>
        <w:tc>
          <w:tcPr>
            <w:tcW w:w="1420" w:type="dxa"/>
            <w:noWrap w:val="0"/>
            <w:vAlign w:val="center"/>
          </w:tcPr>
          <w:p>
            <w:pPr>
              <w:jc w:val="center"/>
              <w:rPr>
                <w:bCs/>
                <w:color w:val="auto"/>
                <w:szCs w:val="21"/>
              </w:rPr>
            </w:pPr>
            <w:r>
              <w:rPr>
                <w:bCs/>
                <w:color w:val="auto"/>
                <w:szCs w:val="21"/>
              </w:rPr>
              <w:t>66</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871" w:type="dxa"/>
            <w:vMerge w:val="continue"/>
            <w:noWrap w:val="0"/>
            <w:vAlign w:val="center"/>
          </w:tcPr>
          <w:p>
            <w:pPr>
              <w:jc w:val="center"/>
              <w:rPr>
                <w:color w:val="auto"/>
                <w:szCs w:val="21"/>
                <w:lang w:val="zh-CN"/>
              </w:rPr>
            </w:pPr>
          </w:p>
        </w:tc>
        <w:tc>
          <w:tcPr>
            <w:tcW w:w="1400" w:type="dxa"/>
            <w:vMerge w:val="continue"/>
            <w:noWrap w:val="0"/>
            <w:vAlign w:val="center"/>
          </w:tcPr>
          <w:p>
            <w:pPr>
              <w:jc w:val="center"/>
              <w:rPr>
                <w:bCs/>
                <w:color w:val="auto"/>
                <w:szCs w:val="21"/>
              </w:rPr>
            </w:pPr>
          </w:p>
        </w:tc>
        <w:tc>
          <w:tcPr>
            <w:tcW w:w="2913" w:type="dxa"/>
            <w:noWrap w:val="0"/>
            <w:vAlign w:val="center"/>
          </w:tcPr>
          <w:p>
            <w:pPr>
              <w:jc w:val="center"/>
              <w:rPr>
                <w:bCs/>
                <w:color w:val="auto"/>
                <w:szCs w:val="21"/>
              </w:rPr>
            </w:pPr>
            <w:r>
              <w:rPr>
                <w:rFonts w:hint="eastAsia"/>
                <w:bCs/>
                <w:color w:val="auto"/>
                <w:szCs w:val="21"/>
              </w:rPr>
              <w:t>架空电力线路（有绝缘层，H=8m）</w:t>
            </w:r>
          </w:p>
        </w:tc>
        <w:tc>
          <w:tcPr>
            <w:tcW w:w="1420" w:type="dxa"/>
            <w:noWrap w:val="0"/>
            <w:vAlign w:val="center"/>
          </w:tcPr>
          <w:p>
            <w:pPr>
              <w:jc w:val="center"/>
              <w:rPr>
                <w:bCs/>
                <w:color w:val="auto"/>
                <w:szCs w:val="21"/>
              </w:rPr>
            </w:pPr>
            <w:r>
              <w:rPr>
                <w:bCs/>
                <w:color w:val="auto"/>
                <w:szCs w:val="21"/>
              </w:rPr>
              <w:t>67.4</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vMerge w:val="continue"/>
            <w:noWrap w:val="0"/>
            <w:vAlign w:val="center"/>
          </w:tcPr>
          <w:p>
            <w:pPr>
              <w:jc w:val="center"/>
              <w:rPr>
                <w:bCs/>
                <w:color w:val="auto"/>
                <w:szCs w:val="21"/>
              </w:rPr>
            </w:pPr>
          </w:p>
        </w:tc>
        <w:tc>
          <w:tcPr>
            <w:tcW w:w="2913" w:type="dxa"/>
            <w:noWrap w:val="0"/>
            <w:vAlign w:val="center"/>
          </w:tcPr>
          <w:p>
            <w:pPr>
              <w:jc w:val="center"/>
              <w:rPr>
                <w:rFonts w:hint="eastAsia"/>
                <w:bCs/>
                <w:color w:val="auto"/>
                <w:szCs w:val="21"/>
              </w:rPr>
            </w:pPr>
            <w:r>
              <w:rPr>
                <w:rFonts w:hint="eastAsia"/>
                <w:bCs/>
                <w:color w:val="auto"/>
                <w:szCs w:val="21"/>
              </w:rPr>
              <w:t>架空通信线</w:t>
            </w:r>
          </w:p>
        </w:tc>
        <w:tc>
          <w:tcPr>
            <w:tcW w:w="1420" w:type="dxa"/>
            <w:noWrap w:val="0"/>
            <w:vAlign w:val="center"/>
          </w:tcPr>
          <w:p>
            <w:pPr>
              <w:jc w:val="center"/>
              <w:rPr>
                <w:bCs/>
                <w:color w:val="auto"/>
                <w:szCs w:val="21"/>
              </w:rPr>
            </w:pPr>
            <w:r>
              <w:rPr>
                <w:rFonts w:hint="eastAsia"/>
                <w:bCs/>
                <w:color w:val="auto"/>
                <w:szCs w:val="21"/>
              </w:rPr>
              <w:t>6</w:t>
            </w:r>
            <w:r>
              <w:rPr>
                <w:bCs/>
                <w:color w:val="auto"/>
                <w:szCs w:val="21"/>
              </w:rPr>
              <w:t>5.5</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restart"/>
            <w:noWrap w:val="0"/>
            <w:vAlign w:val="center"/>
          </w:tcPr>
          <w:p>
            <w:pPr>
              <w:jc w:val="center"/>
              <w:rPr>
                <w:color w:val="auto"/>
                <w:szCs w:val="21"/>
                <w:lang w:val="zh-CN"/>
              </w:rPr>
            </w:pPr>
            <w:r>
              <w:rPr>
                <w:rFonts w:hint="eastAsia"/>
                <w:color w:val="auto"/>
                <w:szCs w:val="21"/>
                <w:lang w:val="zh-CN"/>
              </w:rPr>
              <w:t>加油机（汽油）</w:t>
            </w:r>
          </w:p>
        </w:tc>
        <w:tc>
          <w:tcPr>
            <w:tcW w:w="1400" w:type="dxa"/>
            <w:noWrap w:val="0"/>
            <w:vAlign w:val="center"/>
          </w:tcPr>
          <w:p>
            <w:pPr>
              <w:jc w:val="center"/>
              <w:rPr>
                <w:bCs/>
                <w:color w:val="auto"/>
                <w:szCs w:val="21"/>
              </w:rPr>
            </w:pPr>
            <w:r>
              <w:rPr>
                <w:rFonts w:hint="eastAsia"/>
                <w:bCs/>
                <w:color w:val="auto"/>
                <w:szCs w:val="21"/>
              </w:rPr>
              <w:t>东面</w:t>
            </w:r>
          </w:p>
        </w:tc>
        <w:tc>
          <w:tcPr>
            <w:tcW w:w="2913" w:type="dxa"/>
            <w:noWrap w:val="0"/>
            <w:vAlign w:val="center"/>
          </w:tcPr>
          <w:p>
            <w:pPr>
              <w:jc w:val="center"/>
              <w:rPr>
                <w:rFonts w:hint="eastAsia"/>
                <w:bCs/>
                <w:color w:val="auto"/>
                <w:szCs w:val="21"/>
              </w:rPr>
            </w:pPr>
            <w:r>
              <w:rPr>
                <w:rFonts w:hint="eastAsia"/>
                <w:bCs/>
                <w:color w:val="auto"/>
                <w:szCs w:val="21"/>
              </w:rPr>
              <w:t>空地</w:t>
            </w:r>
          </w:p>
        </w:tc>
        <w:tc>
          <w:tcPr>
            <w:tcW w:w="1420" w:type="dxa"/>
            <w:noWrap w:val="0"/>
            <w:vAlign w:val="center"/>
          </w:tcPr>
          <w:p>
            <w:pPr>
              <w:jc w:val="center"/>
              <w:rPr>
                <w:bCs/>
                <w:color w:val="auto"/>
                <w:szCs w:val="21"/>
              </w:rPr>
            </w:pPr>
            <w:r>
              <w:rPr>
                <w:bCs/>
                <w:color w:val="auto"/>
                <w:szCs w:val="21"/>
              </w:rPr>
              <w:t>/</w:t>
            </w:r>
          </w:p>
        </w:tc>
        <w:tc>
          <w:tcPr>
            <w:tcW w:w="1332" w:type="dxa"/>
            <w:noWrap w:val="0"/>
            <w:vAlign w:val="center"/>
          </w:tcPr>
          <w:p>
            <w:pPr>
              <w:jc w:val="center"/>
              <w:rPr>
                <w:bCs/>
                <w:color w:val="auto"/>
                <w:szCs w:val="21"/>
              </w:rPr>
            </w:pPr>
            <w:r>
              <w:rPr>
                <w:rFonts w:hint="eastAsia"/>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noWrap w:val="0"/>
            <w:vAlign w:val="center"/>
          </w:tcPr>
          <w:p>
            <w:pPr>
              <w:jc w:val="center"/>
              <w:rPr>
                <w:bCs/>
                <w:color w:val="auto"/>
                <w:szCs w:val="21"/>
              </w:rPr>
            </w:pPr>
            <w:r>
              <w:rPr>
                <w:rFonts w:hint="eastAsia"/>
                <w:bCs/>
                <w:color w:val="auto"/>
                <w:szCs w:val="21"/>
              </w:rPr>
              <w:t>南面</w:t>
            </w:r>
          </w:p>
        </w:tc>
        <w:tc>
          <w:tcPr>
            <w:tcW w:w="2913" w:type="dxa"/>
            <w:noWrap w:val="0"/>
            <w:vAlign w:val="center"/>
          </w:tcPr>
          <w:p>
            <w:pPr>
              <w:jc w:val="center"/>
              <w:rPr>
                <w:rFonts w:hint="eastAsia"/>
                <w:bCs/>
                <w:color w:val="auto"/>
                <w:szCs w:val="21"/>
              </w:rPr>
            </w:pPr>
            <w:r>
              <w:rPr>
                <w:rFonts w:hint="eastAsia"/>
                <w:bCs/>
                <w:color w:val="auto"/>
                <w:szCs w:val="21"/>
              </w:rPr>
              <w:t>鱼山农贸市场（三类保护物）</w:t>
            </w:r>
          </w:p>
        </w:tc>
        <w:tc>
          <w:tcPr>
            <w:tcW w:w="1420" w:type="dxa"/>
            <w:noWrap w:val="0"/>
            <w:vAlign w:val="center"/>
          </w:tcPr>
          <w:p>
            <w:pPr>
              <w:jc w:val="center"/>
              <w:rPr>
                <w:bCs/>
                <w:color w:val="auto"/>
                <w:szCs w:val="21"/>
              </w:rPr>
            </w:pPr>
            <w:r>
              <w:rPr>
                <w:rFonts w:hint="eastAsia"/>
                <w:bCs/>
                <w:color w:val="auto"/>
                <w:szCs w:val="21"/>
              </w:rPr>
              <w:t>4</w:t>
            </w:r>
            <w:r>
              <w:rPr>
                <w:bCs/>
                <w:color w:val="auto"/>
                <w:szCs w:val="21"/>
              </w:rPr>
              <w:t>5.5</w:t>
            </w:r>
          </w:p>
        </w:tc>
        <w:tc>
          <w:tcPr>
            <w:tcW w:w="1332" w:type="dxa"/>
            <w:noWrap w:val="0"/>
            <w:vAlign w:val="center"/>
          </w:tcPr>
          <w:p>
            <w:pPr>
              <w:jc w:val="center"/>
              <w:rPr>
                <w:rFonts w:hint="eastAsia"/>
                <w:bCs/>
                <w:color w:val="auto"/>
                <w:szCs w:val="21"/>
              </w:rPr>
            </w:pPr>
            <w:r>
              <w:rPr>
                <w:rFonts w:hint="eastAsia"/>
                <w:bCs/>
                <w:color w:val="auto"/>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noWrap w:val="0"/>
            <w:vAlign w:val="center"/>
          </w:tcPr>
          <w:p>
            <w:pPr>
              <w:jc w:val="center"/>
              <w:rPr>
                <w:rFonts w:hint="eastAsia"/>
                <w:bCs/>
                <w:color w:val="auto"/>
                <w:szCs w:val="21"/>
              </w:rPr>
            </w:pPr>
            <w:r>
              <w:rPr>
                <w:rFonts w:hint="eastAsia"/>
                <w:bCs/>
                <w:color w:val="auto"/>
                <w:szCs w:val="21"/>
              </w:rPr>
              <w:t>西面</w:t>
            </w:r>
          </w:p>
        </w:tc>
        <w:tc>
          <w:tcPr>
            <w:tcW w:w="2913" w:type="dxa"/>
            <w:noWrap w:val="0"/>
            <w:vAlign w:val="center"/>
          </w:tcPr>
          <w:p>
            <w:pPr>
              <w:jc w:val="center"/>
              <w:rPr>
                <w:rFonts w:hint="eastAsia"/>
                <w:bCs/>
                <w:color w:val="auto"/>
                <w:szCs w:val="21"/>
              </w:rPr>
            </w:pPr>
            <w:r>
              <w:rPr>
                <w:rFonts w:hint="eastAsia"/>
                <w:bCs/>
                <w:color w:val="auto"/>
                <w:szCs w:val="21"/>
              </w:rPr>
              <w:t>2</w:t>
            </w:r>
            <w:r>
              <w:rPr>
                <w:bCs/>
                <w:color w:val="auto"/>
                <w:szCs w:val="21"/>
              </w:rPr>
              <w:t>06</w:t>
            </w:r>
            <w:r>
              <w:rPr>
                <w:rFonts w:hint="eastAsia"/>
                <w:bCs/>
                <w:color w:val="auto"/>
                <w:szCs w:val="21"/>
              </w:rPr>
              <w:t>国道人行道</w:t>
            </w:r>
          </w:p>
        </w:tc>
        <w:tc>
          <w:tcPr>
            <w:tcW w:w="1420" w:type="dxa"/>
            <w:noWrap w:val="0"/>
            <w:vAlign w:val="center"/>
          </w:tcPr>
          <w:p>
            <w:pPr>
              <w:jc w:val="center"/>
              <w:rPr>
                <w:bCs/>
                <w:color w:val="auto"/>
                <w:szCs w:val="21"/>
              </w:rPr>
            </w:pPr>
            <w:r>
              <w:rPr>
                <w:rFonts w:hint="eastAsia"/>
                <w:bCs/>
                <w:color w:val="auto"/>
                <w:szCs w:val="21"/>
              </w:rPr>
              <w:t>35.8</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vMerge w:val="restart"/>
            <w:noWrap w:val="0"/>
            <w:vAlign w:val="center"/>
          </w:tcPr>
          <w:p>
            <w:pPr>
              <w:jc w:val="center"/>
              <w:rPr>
                <w:bCs/>
                <w:color w:val="auto"/>
                <w:szCs w:val="21"/>
              </w:rPr>
            </w:pPr>
            <w:r>
              <w:rPr>
                <w:rFonts w:hint="eastAsia"/>
                <w:bCs/>
                <w:color w:val="auto"/>
                <w:szCs w:val="21"/>
              </w:rPr>
              <w:t>北面</w:t>
            </w:r>
          </w:p>
        </w:tc>
        <w:tc>
          <w:tcPr>
            <w:tcW w:w="2913" w:type="dxa"/>
            <w:noWrap w:val="0"/>
            <w:vAlign w:val="center"/>
          </w:tcPr>
          <w:p>
            <w:pPr>
              <w:jc w:val="center"/>
              <w:rPr>
                <w:rFonts w:hint="eastAsia"/>
                <w:bCs/>
                <w:color w:val="auto"/>
                <w:szCs w:val="21"/>
              </w:rPr>
            </w:pPr>
            <w:r>
              <w:rPr>
                <w:rFonts w:hint="eastAsia"/>
                <w:bCs/>
                <w:color w:val="auto"/>
                <w:szCs w:val="21"/>
              </w:rPr>
              <w:t>1</w:t>
            </w:r>
            <w:r>
              <w:rPr>
                <w:bCs/>
                <w:color w:val="auto"/>
                <w:szCs w:val="21"/>
              </w:rPr>
              <w:t>05</w:t>
            </w:r>
            <w:r>
              <w:rPr>
                <w:rFonts w:hint="eastAsia"/>
                <w:bCs/>
                <w:color w:val="auto"/>
                <w:szCs w:val="21"/>
              </w:rPr>
              <w:t>县道</w:t>
            </w:r>
          </w:p>
        </w:tc>
        <w:tc>
          <w:tcPr>
            <w:tcW w:w="1420" w:type="dxa"/>
            <w:noWrap w:val="0"/>
            <w:vAlign w:val="center"/>
          </w:tcPr>
          <w:p>
            <w:pPr>
              <w:jc w:val="center"/>
              <w:rPr>
                <w:bCs/>
                <w:color w:val="auto"/>
                <w:szCs w:val="21"/>
              </w:rPr>
            </w:pPr>
            <w:r>
              <w:rPr>
                <w:rFonts w:hint="eastAsia"/>
                <w:bCs/>
                <w:color w:val="auto"/>
                <w:szCs w:val="21"/>
              </w:rPr>
              <w:t>22.8</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871" w:type="dxa"/>
            <w:vMerge w:val="continue"/>
            <w:noWrap w:val="0"/>
            <w:vAlign w:val="center"/>
          </w:tcPr>
          <w:p>
            <w:pPr>
              <w:jc w:val="center"/>
              <w:rPr>
                <w:color w:val="auto"/>
                <w:szCs w:val="21"/>
                <w:lang w:val="zh-CN"/>
              </w:rPr>
            </w:pPr>
          </w:p>
        </w:tc>
        <w:tc>
          <w:tcPr>
            <w:tcW w:w="1400" w:type="dxa"/>
            <w:vMerge w:val="continue"/>
            <w:noWrap w:val="0"/>
            <w:vAlign w:val="center"/>
          </w:tcPr>
          <w:p>
            <w:pPr>
              <w:jc w:val="center"/>
              <w:rPr>
                <w:bCs/>
                <w:color w:val="auto"/>
                <w:szCs w:val="21"/>
              </w:rPr>
            </w:pPr>
          </w:p>
        </w:tc>
        <w:tc>
          <w:tcPr>
            <w:tcW w:w="2913" w:type="dxa"/>
            <w:noWrap w:val="0"/>
            <w:vAlign w:val="center"/>
          </w:tcPr>
          <w:p>
            <w:pPr>
              <w:jc w:val="center"/>
              <w:rPr>
                <w:rFonts w:hint="eastAsia"/>
                <w:bCs/>
                <w:color w:val="auto"/>
                <w:szCs w:val="21"/>
              </w:rPr>
            </w:pPr>
            <w:r>
              <w:rPr>
                <w:rFonts w:hint="eastAsia"/>
                <w:bCs/>
                <w:color w:val="auto"/>
                <w:szCs w:val="21"/>
              </w:rPr>
              <w:t>架空电力线路（有绝缘层，H=8m）</w:t>
            </w:r>
          </w:p>
        </w:tc>
        <w:tc>
          <w:tcPr>
            <w:tcW w:w="1420" w:type="dxa"/>
            <w:noWrap w:val="0"/>
            <w:vAlign w:val="center"/>
          </w:tcPr>
          <w:p>
            <w:pPr>
              <w:jc w:val="center"/>
              <w:rPr>
                <w:bCs/>
                <w:color w:val="auto"/>
                <w:szCs w:val="21"/>
              </w:rPr>
            </w:pPr>
            <w:r>
              <w:rPr>
                <w:rFonts w:hint="eastAsia"/>
                <w:bCs/>
                <w:color w:val="auto"/>
                <w:szCs w:val="21"/>
              </w:rPr>
              <w:t>24.7</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vMerge w:val="continue"/>
            <w:noWrap w:val="0"/>
            <w:vAlign w:val="center"/>
          </w:tcPr>
          <w:p>
            <w:pPr>
              <w:jc w:val="center"/>
              <w:rPr>
                <w:rFonts w:hint="eastAsia"/>
                <w:bCs/>
                <w:color w:val="auto"/>
                <w:szCs w:val="21"/>
              </w:rPr>
            </w:pPr>
          </w:p>
        </w:tc>
        <w:tc>
          <w:tcPr>
            <w:tcW w:w="2913" w:type="dxa"/>
            <w:noWrap w:val="0"/>
            <w:vAlign w:val="center"/>
          </w:tcPr>
          <w:p>
            <w:pPr>
              <w:jc w:val="center"/>
              <w:rPr>
                <w:rFonts w:hint="eastAsia"/>
                <w:bCs/>
                <w:color w:val="auto"/>
                <w:szCs w:val="21"/>
              </w:rPr>
            </w:pPr>
            <w:r>
              <w:rPr>
                <w:rFonts w:hint="eastAsia"/>
                <w:bCs/>
                <w:color w:val="auto"/>
                <w:szCs w:val="21"/>
              </w:rPr>
              <w:t>架空通信线</w:t>
            </w:r>
          </w:p>
        </w:tc>
        <w:tc>
          <w:tcPr>
            <w:tcW w:w="1420" w:type="dxa"/>
            <w:noWrap w:val="0"/>
            <w:vAlign w:val="center"/>
          </w:tcPr>
          <w:p>
            <w:pPr>
              <w:jc w:val="center"/>
              <w:rPr>
                <w:bCs/>
                <w:color w:val="auto"/>
                <w:szCs w:val="21"/>
              </w:rPr>
            </w:pPr>
            <w:r>
              <w:rPr>
                <w:rFonts w:hint="eastAsia"/>
                <w:bCs/>
                <w:color w:val="auto"/>
                <w:szCs w:val="21"/>
              </w:rPr>
              <w:t>23.0</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restart"/>
            <w:noWrap w:val="0"/>
            <w:vAlign w:val="center"/>
          </w:tcPr>
          <w:p>
            <w:pPr>
              <w:jc w:val="center"/>
              <w:rPr>
                <w:color w:val="auto"/>
                <w:szCs w:val="21"/>
                <w:lang w:val="zh-CN"/>
              </w:rPr>
            </w:pPr>
            <w:r>
              <w:rPr>
                <w:rFonts w:hint="eastAsia"/>
                <w:color w:val="auto"/>
                <w:szCs w:val="21"/>
                <w:lang w:val="zh-CN"/>
              </w:rPr>
              <w:t>加油机（柴油）</w:t>
            </w:r>
          </w:p>
        </w:tc>
        <w:tc>
          <w:tcPr>
            <w:tcW w:w="1400" w:type="dxa"/>
            <w:noWrap w:val="0"/>
            <w:vAlign w:val="center"/>
          </w:tcPr>
          <w:p>
            <w:pPr>
              <w:jc w:val="center"/>
              <w:rPr>
                <w:bCs/>
                <w:color w:val="auto"/>
                <w:szCs w:val="21"/>
              </w:rPr>
            </w:pPr>
            <w:r>
              <w:rPr>
                <w:rFonts w:hint="eastAsia"/>
                <w:bCs/>
                <w:color w:val="auto"/>
                <w:szCs w:val="21"/>
              </w:rPr>
              <w:t>东面</w:t>
            </w:r>
          </w:p>
        </w:tc>
        <w:tc>
          <w:tcPr>
            <w:tcW w:w="2913" w:type="dxa"/>
            <w:noWrap w:val="0"/>
            <w:vAlign w:val="center"/>
          </w:tcPr>
          <w:p>
            <w:pPr>
              <w:jc w:val="center"/>
              <w:rPr>
                <w:rFonts w:hint="eastAsia"/>
                <w:bCs/>
                <w:color w:val="auto"/>
                <w:szCs w:val="21"/>
              </w:rPr>
            </w:pPr>
            <w:r>
              <w:rPr>
                <w:rFonts w:hint="eastAsia"/>
                <w:bCs/>
                <w:color w:val="auto"/>
                <w:szCs w:val="21"/>
              </w:rPr>
              <w:t>空地</w:t>
            </w:r>
          </w:p>
        </w:tc>
        <w:tc>
          <w:tcPr>
            <w:tcW w:w="1420" w:type="dxa"/>
            <w:noWrap w:val="0"/>
            <w:vAlign w:val="center"/>
          </w:tcPr>
          <w:p>
            <w:pPr>
              <w:jc w:val="center"/>
              <w:rPr>
                <w:bCs/>
                <w:color w:val="auto"/>
                <w:szCs w:val="21"/>
              </w:rPr>
            </w:pPr>
            <w:r>
              <w:rPr>
                <w:bCs/>
                <w:color w:val="auto"/>
                <w:szCs w:val="21"/>
              </w:rPr>
              <w:t>/</w:t>
            </w:r>
          </w:p>
        </w:tc>
        <w:tc>
          <w:tcPr>
            <w:tcW w:w="1332" w:type="dxa"/>
            <w:noWrap w:val="0"/>
            <w:vAlign w:val="center"/>
          </w:tcPr>
          <w:p>
            <w:pPr>
              <w:jc w:val="center"/>
              <w:rPr>
                <w:bCs/>
                <w:color w:val="auto"/>
                <w:szCs w:val="21"/>
              </w:rPr>
            </w:pPr>
            <w:r>
              <w:rPr>
                <w:rFonts w:hint="eastAsia"/>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noWrap w:val="0"/>
            <w:vAlign w:val="center"/>
          </w:tcPr>
          <w:p>
            <w:pPr>
              <w:jc w:val="center"/>
              <w:rPr>
                <w:bCs/>
                <w:color w:val="auto"/>
                <w:szCs w:val="21"/>
              </w:rPr>
            </w:pPr>
            <w:r>
              <w:rPr>
                <w:rFonts w:hint="eastAsia"/>
                <w:bCs/>
                <w:color w:val="auto"/>
                <w:szCs w:val="21"/>
              </w:rPr>
              <w:t>南面</w:t>
            </w:r>
          </w:p>
        </w:tc>
        <w:tc>
          <w:tcPr>
            <w:tcW w:w="2913" w:type="dxa"/>
            <w:noWrap w:val="0"/>
            <w:vAlign w:val="center"/>
          </w:tcPr>
          <w:p>
            <w:pPr>
              <w:jc w:val="center"/>
              <w:rPr>
                <w:rFonts w:hint="eastAsia"/>
                <w:bCs/>
                <w:color w:val="auto"/>
                <w:szCs w:val="21"/>
              </w:rPr>
            </w:pPr>
            <w:r>
              <w:rPr>
                <w:rFonts w:hint="eastAsia"/>
                <w:bCs/>
                <w:color w:val="auto"/>
                <w:szCs w:val="21"/>
              </w:rPr>
              <w:t>鱼山农贸市场（三类保护物）</w:t>
            </w:r>
          </w:p>
        </w:tc>
        <w:tc>
          <w:tcPr>
            <w:tcW w:w="1420" w:type="dxa"/>
            <w:noWrap w:val="0"/>
            <w:vAlign w:val="center"/>
          </w:tcPr>
          <w:p>
            <w:pPr>
              <w:jc w:val="center"/>
              <w:rPr>
                <w:bCs/>
                <w:color w:val="auto"/>
                <w:szCs w:val="21"/>
              </w:rPr>
            </w:pPr>
            <w:r>
              <w:rPr>
                <w:rFonts w:hint="eastAsia"/>
                <w:bCs/>
                <w:color w:val="auto"/>
                <w:szCs w:val="21"/>
              </w:rPr>
              <w:t>4</w:t>
            </w:r>
            <w:r>
              <w:rPr>
                <w:bCs/>
                <w:color w:val="auto"/>
                <w:szCs w:val="21"/>
              </w:rPr>
              <w:t>5.5</w:t>
            </w:r>
          </w:p>
        </w:tc>
        <w:tc>
          <w:tcPr>
            <w:tcW w:w="1332" w:type="dxa"/>
            <w:noWrap w:val="0"/>
            <w:vAlign w:val="center"/>
          </w:tcPr>
          <w:p>
            <w:pPr>
              <w:jc w:val="center"/>
              <w:rPr>
                <w:rFonts w:hint="eastAsia"/>
                <w:bCs/>
                <w:color w:val="auto"/>
                <w:szCs w:val="21"/>
              </w:rPr>
            </w:pPr>
            <w:r>
              <w:rPr>
                <w:rFonts w:hint="eastAsia"/>
                <w:bCs/>
                <w:color w:val="auto"/>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noWrap w:val="0"/>
            <w:vAlign w:val="center"/>
          </w:tcPr>
          <w:p>
            <w:pPr>
              <w:jc w:val="center"/>
              <w:rPr>
                <w:rFonts w:hint="eastAsia"/>
                <w:bCs/>
                <w:color w:val="auto"/>
                <w:szCs w:val="21"/>
              </w:rPr>
            </w:pPr>
            <w:r>
              <w:rPr>
                <w:rFonts w:hint="eastAsia"/>
                <w:bCs/>
                <w:color w:val="auto"/>
                <w:szCs w:val="21"/>
              </w:rPr>
              <w:t>西面</w:t>
            </w:r>
          </w:p>
        </w:tc>
        <w:tc>
          <w:tcPr>
            <w:tcW w:w="2913" w:type="dxa"/>
            <w:noWrap w:val="0"/>
            <w:vAlign w:val="center"/>
          </w:tcPr>
          <w:p>
            <w:pPr>
              <w:jc w:val="center"/>
              <w:rPr>
                <w:rFonts w:hint="eastAsia"/>
                <w:bCs/>
                <w:color w:val="auto"/>
                <w:szCs w:val="21"/>
              </w:rPr>
            </w:pPr>
            <w:r>
              <w:rPr>
                <w:rFonts w:hint="eastAsia"/>
                <w:bCs/>
                <w:color w:val="auto"/>
                <w:szCs w:val="21"/>
              </w:rPr>
              <w:t>2</w:t>
            </w:r>
            <w:r>
              <w:rPr>
                <w:bCs/>
                <w:color w:val="auto"/>
                <w:szCs w:val="21"/>
              </w:rPr>
              <w:t>06</w:t>
            </w:r>
            <w:r>
              <w:rPr>
                <w:rFonts w:hint="eastAsia"/>
                <w:bCs/>
                <w:color w:val="auto"/>
                <w:szCs w:val="21"/>
              </w:rPr>
              <w:t>国道人行道</w:t>
            </w:r>
          </w:p>
        </w:tc>
        <w:tc>
          <w:tcPr>
            <w:tcW w:w="1420" w:type="dxa"/>
            <w:noWrap w:val="0"/>
            <w:vAlign w:val="center"/>
          </w:tcPr>
          <w:p>
            <w:pPr>
              <w:jc w:val="center"/>
              <w:rPr>
                <w:bCs/>
                <w:color w:val="auto"/>
                <w:szCs w:val="21"/>
              </w:rPr>
            </w:pPr>
            <w:r>
              <w:rPr>
                <w:rFonts w:hint="eastAsia"/>
                <w:bCs/>
                <w:color w:val="auto"/>
                <w:szCs w:val="21"/>
              </w:rPr>
              <w:t>35.8</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871" w:type="dxa"/>
            <w:vMerge w:val="continue"/>
            <w:noWrap w:val="0"/>
            <w:vAlign w:val="center"/>
          </w:tcPr>
          <w:p>
            <w:pPr>
              <w:jc w:val="center"/>
              <w:rPr>
                <w:color w:val="auto"/>
                <w:szCs w:val="21"/>
                <w:lang w:val="zh-CN"/>
              </w:rPr>
            </w:pPr>
          </w:p>
        </w:tc>
        <w:tc>
          <w:tcPr>
            <w:tcW w:w="1400" w:type="dxa"/>
            <w:vMerge w:val="restart"/>
            <w:noWrap w:val="0"/>
            <w:vAlign w:val="center"/>
          </w:tcPr>
          <w:p>
            <w:pPr>
              <w:jc w:val="center"/>
              <w:rPr>
                <w:bCs/>
                <w:color w:val="auto"/>
                <w:szCs w:val="21"/>
              </w:rPr>
            </w:pPr>
            <w:r>
              <w:rPr>
                <w:rFonts w:hint="eastAsia"/>
                <w:bCs/>
                <w:color w:val="auto"/>
                <w:szCs w:val="21"/>
              </w:rPr>
              <w:t>北面</w:t>
            </w:r>
          </w:p>
        </w:tc>
        <w:tc>
          <w:tcPr>
            <w:tcW w:w="2913" w:type="dxa"/>
            <w:noWrap w:val="0"/>
            <w:vAlign w:val="center"/>
          </w:tcPr>
          <w:p>
            <w:pPr>
              <w:jc w:val="center"/>
              <w:rPr>
                <w:rFonts w:hint="eastAsia"/>
                <w:bCs/>
                <w:color w:val="auto"/>
                <w:szCs w:val="21"/>
              </w:rPr>
            </w:pPr>
            <w:r>
              <w:rPr>
                <w:rFonts w:hint="eastAsia"/>
                <w:bCs/>
                <w:color w:val="auto"/>
                <w:szCs w:val="21"/>
              </w:rPr>
              <w:t>1</w:t>
            </w:r>
            <w:r>
              <w:rPr>
                <w:bCs/>
                <w:color w:val="auto"/>
                <w:szCs w:val="21"/>
              </w:rPr>
              <w:t>05</w:t>
            </w:r>
            <w:r>
              <w:rPr>
                <w:rFonts w:hint="eastAsia"/>
                <w:bCs/>
                <w:color w:val="auto"/>
                <w:szCs w:val="21"/>
              </w:rPr>
              <w:t>县道</w:t>
            </w:r>
          </w:p>
        </w:tc>
        <w:tc>
          <w:tcPr>
            <w:tcW w:w="1420" w:type="dxa"/>
            <w:noWrap w:val="0"/>
            <w:vAlign w:val="center"/>
          </w:tcPr>
          <w:p>
            <w:pPr>
              <w:jc w:val="center"/>
              <w:rPr>
                <w:bCs/>
                <w:color w:val="auto"/>
                <w:szCs w:val="21"/>
              </w:rPr>
            </w:pPr>
            <w:r>
              <w:rPr>
                <w:rFonts w:hint="eastAsia"/>
                <w:bCs/>
                <w:color w:val="auto"/>
                <w:szCs w:val="21"/>
              </w:rPr>
              <w:t>22.8</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871" w:type="dxa"/>
            <w:vMerge w:val="continue"/>
            <w:noWrap w:val="0"/>
            <w:vAlign w:val="center"/>
          </w:tcPr>
          <w:p>
            <w:pPr>
              <w:jc w:val="center"/>
              <w:rPr>
                <w:color w:val="auto"/>
                <w:szCs w:val="21"/>
                <w:lang w:val="zh-CN"/>
              </w:rPr>
            </w:pPr>
          </w:p>
        </w:tc>
        <w:tc>
          <w:tcPr>
            <w:tcW w:w="1400" w:type="dxa"/>
            <w:vMerge w:val="continue"/>
            <w:noWrap w:val="0"/>
            <w:vAlign w:val="center"/>
          </w:tcPr>
          <w:p>
            <w:pPr>
              <w:jc w:val="center"/>
              <w:rPr>
                <w:bCs/>
                <w:color w:val="auto"/>
                <w:szCs w:val="21"/>
              </w:rPr>
            </w:pPr>
          </w:p>
        </w:tc>
        <w:tc>
          <w:tcPr>
            <w:tcW w:w="2913" w:type="dxa"/>
            <w:noWrap w:val="0"/>
            <w:vAlign w:val="center"/>
          </w:tcPr>
          <w:p>
            <w:pPr>
              <w:jc w:val="center"/>
              <w:rPr>
                <w:rFonts w:hint="eastAsia"/>
                <w:bCs/>
                <w:color w:val="auto"/>
                <w:szCs w:val="21"/>
              </w:rPr>
            </w:pPr>
            <w:r>
              <w:rPr>
                <w:rFonts w:hint="eastAsia"/>
                <w:bCs/>
                <w:color w:val="auto"/>
                <w:szCs w:val="21"/>
              </w:rPr>
              <w:t>架空电力线路（有绝缘层，H=8m）</w:t>
            </w:r>
          </w:p>
        </w:tc>
        <w:tc>
          <w:tcPr>
            <w:tcW w:w="1420" w:type="dxa"/>
            <w:noWrap w:val="0"/>
            <w:vAlign w:val="center"/>
          </w:tcPr>
          <w:p>
            <w:pPr>
              <w:jc w:val="center"/>
              <w:rPr>
                <w:bCs/>
                <w:color w:val="auto"/>
                <w:szCs w:val="21"/>
              </w:rPr>
            </w:pPr>
            <w:r>
              <w:rPr>
                <w:rFonts w:hint="eastAsia"/>
                <w:bCs/>
                <w:color w:val="auto"/>
                <w:szCs w:val="21"/>
              </w:rPr>
              <w:t>24.7</w:t>
            </w:r>
          </w:p>
        </w:tc>
        <w:tc>
          <w:tcPr>
            <w:tcW w:w="1332" w:type="dxa"/>
            <w:noWrap w:val="0"/>
            <w:vAlign w:val="center"/>
          </w:tcPr>
          <w:p>
            <w:pPr>
              <w:jc w:val="center"/>
              <w:rPr>
                <w:bCs/>
                <w:color w:val="auto"/>
                <w:szCs w:val="21"/>
              </w:rPr>
            </w:pPr>
            <w:r>
              <w:rPr>
                <w:rFonts w:hint="eastAsia"/>
                <w:b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1871" w:type="dxa"/>
            <w:vMerge w:val="continue"/>
            <w:noWrap w:val="0"/>
            <w:vAlign w:val="center"/>
          </w:tcPr>
          <w:p>
            <w:pPr>
              <w:jc w:val="center"/>
              <w:rPr>
                <w:color w:val="auto"/>
                <w:szCs w:val="21"/>
                <w:lang w:val="zh-CN"/>
              </w:rPr>
            </w:pPr>
          </w:p>
        </w:tc>
        <w:tc>
          <w:tcPr>
            <w:tcW w:w="1400" w:type="dxa"/>
            <w:vMerge w:val="continue"/>
            <w:noWrap w:val="0"/>
            <w:vAlign w:val="center"/>
          </w:tcPr>
          <w:p>
            <w:pPr>
              <w:jc w:val="center"/>
              <w:rPr>
                <w:rFonts w:hint="eastAsia"/>
                <w:bCs/>
                <w:color w:val="auto"/>
                <w:szCs w:val="21"/>
              </w:rPr>
            </w:pPr>
          </w:p>
        </w:tc>
        <w:tc>
          <w:tcPr>
            <w:tcW w:w="2913" w:type="dxa"/>
            <w:noWrap w:val="0"/>
            <w:vAlign w:val="center"/>
          </w:tcPr>
          <w:p>
            <w:pPr>
              <w:jc w:val="center"/>
              <w:rPr>
                <w:rFonts w:hint="eastAsia"/>
                <w:bCs/>
                <w:color w:val="auto"/>
                <w:szCs w:val="21"/>
              </w:rPr>
            </w:pPr>
            <w:r>
              <w:rPr>
                <w:rFonts w:hint="eastAsia"/>
                <w:bCs/>
                <w:color w:val="auto"/>
                <w:szCs w:val="21"/>
              </w:rPr>
              <w:t>架空通信线</w:t>
            </w:r>
          </w:p>
        </w:tc>
        <w:tc>
          <w:tcPr>
            <w:tcW w:w="1420" w:type="dxa"/>
            <w:noWrap w:val="0"/>
            <w:vAlign w:val="center"/>
          </w:tcPr>
          <w:p>
            <w:pPr>
              <w:jc w:val="center"/>
              <w:rPr>
                <w:bCs/>
                <w:color w:val="auto"/>
                <w:szCs w:val="21"/>
              </w:rPr>
            </w:pPr>
            <w:r>
              <w:rPr>
                <w:rFonts w:hint="eastAsia"/>
                <w:bCs/>
                <w:color w:val="auto"/>
                <w:szCs w:val="21"/>
              </w:rPr>
              <w:t>23.0</w:t>
            </w:r>
          </w:p>
        </w:tc>
        <w:tc>
          <w:tcPr>
            <w:tcW w:w="1332" w:type="dxa"/>
            <w:noWrap w:val="0"/>
            <w:vAlign w:val="center"/>
          </w:tcPr>
          <w:p>
            <w:pPr>
              <w:jc w:val="center"/>
              <w:rPr>
                <w:bCs/>
                <w:color w:val="auto"/>
                <w:szCs w:val="21"/>
              </w:rPr>
            </w:pPr>
            <w:r>
              <w:rPr>
                <w:rFonts w:hint="eastAsia"/>
                <w:bCs/>
                <w:color w:val="auto"/>
                <w:szCs w:val="21"/>
              </w:rPr>
              <w:t>5</w:t>
            </w:r>
          </w:p>
        </w:tc>
      </w:tr>
    </w:tbl>
    <w:p>
      <w:pPr>
        <w:bidi w:val="0"/>
        <w:rPr>
          <w:color w:val="auto"/>
          <w:sz w:val="24"/>
          <w:szCs w:val="24"/>
        </w:rPr>
      </w:pPr>
      <w:r>
        <w:rPr>
          <w:rFonts w:hint="eastAsia"/>
          <w:bCs/>
          <w:color w:val="auto"/>
          <w:sz w:val="24"/>
          <w:szCs w:val="24"/>
        </w:rPr>
        <w:t>备注：以上标准要求均依据自G</w:t>
      </w:r>
      <w:r>
        <w:rPr>
          <w:bCs/>
          <w:color w:val="auto"/>
          <w:sz w:val="24"/>
          <w:szCs w:val="24"/>
        </w:rPr>
        <w:t>B50156-2021</w:t>
      </w:r>
      <w:r>
        <w:rPr>
          <w:rFonts w:hint="eastAsia"/>
          <w:bCs/>
          <w:color w:val="auto"/>
          <w:sz w:val="24"/>
          <w:szCs w:val="24"/>
        </w:rPr>
        <w:t>第4</w:t>
      </w:r>
      <w:r>
        <w:rPr>
          <w:bCs/>
          <w:color w:val="auto"/>
          <w:sz w:val="24"/>
          <w:szCs w:val="24"/>
        </w:rPr>
        <w:t>.0.4</w:t>
      </w:r>
      <w:r>
        <w:rPr>
          <w:rFonts w:hint="eastAsia"/>
          <w:bCs/>
          <w:color w:val="auto"/>
          <w:sz w:val="24"/>
          <w:szCs w:val="24"/>
        </w:rPr>
        <w:t>条。</w:t>
      </w:r>
    </w:p>
    <w:p>
      <w:pPr>
        <w:pStyle w:val="5"/>
        <w:rPr>
          <w:rFonts w:cs="Times New Roman"/>
          <w:color w:val="auto"/>
        </w:rPr>
      </w:pPr>
      <w:r>
        <w:rPr>
          <w:color w:val="auto"/>
        </w:rPr>
        <w:t xml:space="preserve">2.2.2 </w:t>
      </w:r>
      <w:r>
        <w:rPr>
          <w:rFonts w:hint="eastAsia" w:cs="宋体"/>
          <w:color w:val="auto"/>
        </w:rPr>
        <w:t>自然条件</w:t>
      </w:r>
    </w:p>
    <w:p>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1、地理位置</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该项目站址位于江西省景德镇市昌江区鱼山镇（国道与鱼丽路交叉口东侧），交通条件便利，基础设施完备，建设环境条件良好。</w:t>
      </w:r>
    </w:p>
    <w:p>
      <w:pPr>
        <w:spacing w:line="360" w:lineRule="auto"/>
        <w:ind w:firstLine="480" w:firstLineChars="200"/>
        <w:jc w:val="left"/>
        <w:rPr>
          <w:rFonts w:ascii="Times New Roman" w:hAnsi="Times New Roman" w:cs="Times New Roman"/>
          <w:color w:val="auto"/>
          <w:sz w:val="28"/>
          <w:szCs w:val="28"/>
        </w:rPr>
      </w:pPr>
      <w:r>
        <w:rPr>
          <w:rFonts w:hint="eastAsia"/>
          <w:color w:val="auto"/>
          <w:sz w:val="24"/>
        </w:rPr>
        <w:drawing>
          <wp:anchor distT="0" distB="0" distL="114300" distR="114300" simplePos="0" relativeHeight="251664384" behindDoc="0" locked="0" layoutInCell="1" allowOverlap="1">
            <wp:simplePos x="0" y="0"/>
            <wp:positionH relativeFrom="margin">
              <wp:posOffset>33655</wp:posOffset>
            </wp:positionH>
            <wp:positionV relativeFrom="paragraph">
              <wp:posOffset>682625</wp:posOffset>
            </wp:positionV>
            <wp:extent cx="5745480" cy="4754880"/>
            <wp:effectExtent l="0" t="0" r="7620" b="7620"/>
            <wp:wrapSquare wrapText="bothSides"/>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5745480" cy="4754880"/>
                    </a:xfrm>
                    <a:prstGeom prst="rect">
                      <a:avLst/>
                    </a:prstGeom>
                    <a:noFill/>
                    <a:ln>
                      <a:noFill/>
                    </a:ln>
                  </pic:spPr>
                </pic:pic>
              </a:graphicData>
            </a:graphic>
          </wp:anchor>
        </w:drawing>
      </w:r>
    </w:p>
    <w:p>
      <w:pPr>
        <w:spacing w:line="360" w:lineRule="auto"/>
        <w:jc w:val="center"/>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图2.</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-1加油站选址（黄线标记处）</w:t>
      </w:r>
    </w:p>
    <w:p>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景德镇市位于江西东北部，坐落在黄山、怀玉山余脉与鄱阳湖平原过渡地带。西北与安徽省东至县交界，南与万年县为邻，西同鄱阳县接壤，东北倚安徽省祁门县，东南和婺源县毗连，介于东经116°57′—117°42′，北纬28°44′—29°56′之间，总面积5256平方千米。</w:t>
      </w:r>
    </w:p>
    <w:p>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2、地形、地貌条件</w:t>
      </w:r>
    </w:p>
    <w:p>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景德镇属丘陵地带，坐落于黄山、怀玉山余脉与鄱阳湖平原过渡地带，是典型的江南红壤丘陵区。市区内平均海拔32米，地势由东北向西南倾斜，东北和西北部多山，最高峰位于与安徽休宁接壤的省界地带，海拔1618米。</w:t>
      </w:r>
    </w:p>
    <w:p>
      <w:pPr>
        <w:numPr>
          <w:ilvl w:val="0"/>
          <w:numId w:val="1"/>
        </w:num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气象条件</w:t>
      </w:r>
    </w:p>
    <w:p>
      <w:pPr>
        <w:spacing w:line="360" w:lineRule="auto"/>
        <w:ind w:firstLine="560" w:firstLineChars="200"/>
        <w:rPr>
          <w:rFonts w:cs="Times New Roman"/>
          <w:color w:val="auto"/>
          <w:sz w:val="28"/>
          <w:szCs w:val="28"/>
        </w:rPr>
      </w:pPr>
      <w:r>
        <w:rPr>
          <w:rFonts w:hint="eastAsia" w:hAnsi="宋体" w:cs="宋体"/>
          <w:color w:val="auto"/>
          <w:sz w:val="28"/>
          <w:szCs w:val="28"/>
        </w:rPr>
        <w:t>景德镇属亚热带季风气候，境内光照充足，雨量充沛，温和湿润，四季分明。根据1981—2010年最新气象数据，景德镇城区历年平均气温17.8℃，年平均降雨量1805毫米。有气象记录以来极端最高气温41.8℃（1967年8月29日），极端最低气温-10.9℃（1963年1月13日）。景德镇春季气候多变，时冷时暖，春夏之交常有冷暖气流交汇于境内，阴雨连绵；前夏梅雨期间，降雨集中，大、暴雨频繁，5、6、7月份的常年平均降水量有200～350毫米，极易导致洪涝灾害发生，出梅后多受副热带高压控制，天气炎热，且湿度较高，会使人感到闷热难耐；秋季气温较为温和且雨水少；冬季常受西伯利亚（或蒙古）冷高压影响，盛行偏北风，天气寒冷。平均雷暴日为</w:t>
      </w:r>
      <w:r>
        <w:rPr>
          <w:rFonts w:hAnsi="宋体"/>
          <w:color w:val="auto"/>
          <w:sz w:val="28"/>
          <w:szCs w:val="28"/>
        </w:rPr>
        <w:t>53.8d</w:t>
      </w:r>
      <w:r>
        <w:rPr>
          <w:rFonts w:hint="eastAsia" w:hAnsi="宋体" w:cs="宋体"/>
          <w:color w:val="auto"/>
          <w:sz w:val="28"/>
          <w:szCs w:val="28"/>
        </w:rPr>
        <w:t>。</w:t>
      </w:r>
    </w:p>
    <w:p>
      <w:pPr>
        <w:pStyle w:val="38"/>
        <w:spacing w:line="360" w:lineRule="auto"/>
        <w:ind w:firstLine="560" w:firstLineChars="200"/>
        <w:rPr>
          <w:rFonts w:hint="eastAsia" w:ascii="Times New Roman" w:cs="Times New Roman"/>
          <w:color w:val="auto"/>
          <w:kern w:val="2"/>
          <w:sz w:val="28"/>
          <w:szCs w:val="28"/>
          <w:lang w:val="en-US" w:eastAsia="zh-CN"/>
        </w:rPr>
      </w:pPr>
      <w:r>
        <w:rPr>
          <w:rFonts w:hint="eastAsia" w:ascii="Times New Roman" w:cs="Times New Roman"/>
          <w:color w:val="auto"/>
          <w:kern w:val="2"/>
          <w:sz w:val="28"/>
          <w:szCs w:val="28"/>
          <w:lang w:val="en-US" w:eastAsia="zh-CN"/>
        </w:rPr>
        <w:t>4、水文</w:t>
      </w:r>
    </w:p>
    <w:p>
      <w:pPr>
        <w:pStyle w:val="38"/>
        <w:spacing w:line="360" w:lineRule="auto"/>
        <w:ind w:firstLine="560" w:firstLineChars="200"/>
        <w:rPr>
          <w:rFonts w:hint="eastAsia" w:ascii="Times New Roman" w:cs="Times New Roman"/>
          <w:color w:val="auto"/>
          <w:kern w:val="2"/>
          <w:sz w:val="28"/>
          <w:szCs w:val="28"/>
          <w:lang w:val="en-US" w:eastAsia="zh-CN"/>
        </w:rPr>
      </w:pPr>
      <w:r>
        <w:rPr>
          <w:rFonts w:hint="eastAsia" w:ascii="Times New Roman" w:cs="Times New Roman"/>
          <w:color w:val="auto"/>
          <w:kern w:val="2"/>
          <w:sz w:val="28"/>
          <w:szCs w:val="28"/>
          <w:lang w:val="en-US" w:eastAsia="zh-CN"/>
        </w:rPr>
        <w:t>昌江、西河、南河，昌江为流经景德镇市的最大河流，西河、南河是其重要支流，于景德镇市区注入昌江。</w:t>
      </w:r>
    </w:p>
    <w:p>
      <w:pPr>
        <w:pStyle w:val="38"/>
        <w:spacing w:line="360" w:lineRule="auto"/>
        <w:ind w:firstLine="560" w:firstLineChars="200"/>
        <w:rPr>
          <w:rFonts w:hint="eastAsia" w:ascii="Times New Roman" w:cs="Times New Roman"/>
          <w:color w:val="auto"/>
          <w:kern w:val="2"/>
          <w:sz w:val="28"/>
          <w:szCs w:val="28"/>
          <w:lang w:val="en-US" w:eastAsia="zh-CN"/>
        </w:rPr>
      </w:pPr>
      <w:r>
        <w:rPr>
          <w:rFonts w:hint="eastAsia" w:ascii="Times New Roman" w:cs="Times New Roman"/>
          <w:color w:val="auto"/>
          <w:kern w:val="2"/>
          <w:sz w:val="28"/>
          <w:szCs w:val="28"/>
          <w:lang w:val="en-US" w:eastAsia="zh-CN"/>
        </w:rPr>
        <w:t>昌江发源于江西省与安徽省交界处的山区，大致呈北南走向，由北向南注入鄱阳湖。历史上，昌江曾是景德镇对外交通最重要的通道。</w:t>
      </w:r>
    </w:p>
    <w:p>
      <w:pPr>
        <w:pStyle w:val="38"/>
        <w:spacing w:line="360" w:lineRule="auto"/>
        <w:ind w:firstLine="560" w:firstLineChars="200"/>
        <w:rPr>
          <w:rFonts w:ascii="Times New Roman" w:cs="Times New Roman"/>
          <w:color w:val="auto"/>
          <w:kern w:val="2"/>
          <w:sz w:val="28"/>
          <w:szCs w:val="28"/>
        </w:rPr>
      </w:pPr>
      <w:r>
        <w:rPr>
          <w:rFonts w:hint="eastAsia" w:ascii="Times New Roman" w:cs="Times New Roman"/>
          <w:color w:val="auto"/>
          <w:kern w:val="2"/>
          <w:sz w:val="28"/>
          <w:szCs w:val="28"/>
          <w:lang w:val="en-US" w:eastAsia="zh-CN"/>
        </w:rPr>
        <w:t>5、</w:t>
      </w:r>
      <w:r>
        <w:rPr>
          <w:rFonts w:hint="eastAsia" w:ascii="Times New Roman"/>
          <w:color w:val="auto"/>
          <w:kern w:val="2"/>
          <w:sz w:val="28"/>
          <w:szCs w:val="28"/>
        </w:rPr>
        <w:t>地震烈度</w:t>
      </w:r>
    </w:p>
    <w:p>
      <w:pPr>
        <w:pStyle w:val="38"/>
        <w:spacing w:line="360" w:lineRule="auto"/>
        <w:ind w:firstLine="560" w:firstLineChars="200"/>
        <w:rPr>
          <w:rFonts w:hint="eastAsia" w:ascii="Times New Roman"/>
          <w:color w:val="auto"/>
          <w:kern w:val="2"/>
          <w:sz w:val="28"/>
          <w:szCs w:val="28"/>
        </w:rPr>
      </w:pPr>
      <w:r>
        <w:rPr>
          <w:rFonts w:hint="eastAsia" w:ascii="Times New Roman"/>
          <w:color w:val="auto"/>
          <w:kern w:val="2"/>
          <w:sz w:val="28"/>
          <w:szCs w:val="28"/>
        </w:rPr>
        <w:t>根据《中国地震动参数区划图》（</w:t>
      </w:r>
      <w:r>
        <w:rPr>
          <w:rFonts w:ascii="Times New Roman" w:cs="Times New Roman"/>
          <w:color w:val="auto"/>
          <w:kern w:val="2"/>
          <w:sz w:val="28"/>
          <w:szCs w:val="28"/>
        </w:rPr>
        <w:t>GB18306-2015</w:t>
      </w:r>
      <w:r>
        <w:rPr>
          <w:rFonts w:hint="eastAsia" w:ascii="Times New Roman"/>
          <w:color w:val="auto"/>
          <w:kern w:val="2"/>
          <w:sz w:val="28"/>
          <w:szCs w:val="28"/>
        </w:rPr>
        <w:t>），</w:t>
      </w:r>
      <w:r>
        <w:rPr>
          <w:rFonts w:hint="eastAsia" w:ascii="Times New Roman"/>
          <w:color w:val="auto"/>
          <w:kern w:val="2"/>
          <w:sz w:val="28"/>
          <w:szCs w:val="28"/>
          <w:lang w:eastAsia="zh-CN"/>
        </w:rPr>
        <w:t>景德镇市</w:t>
      </w:r>
      <w:r>
        <w:rPr>
          <w:rFonts w:hint="eastAsia" w:ascii="Times New Roman"/>
          <w:color w:val="auto"/>
          <w:kern w:val="2"/>
          <w:sz w:val="28"/>
          <w:szCs w:val="28"/>
        </w:rPr>
        <w:t>基本地震动峰值加速度为</w:t>
      </w:r>
      <w:r>
        <w:rPr>
          <w:rFonts w:ascii="Times New Roman" w:cs="Times New Roman"/>
          <w:color w:val="auto"/>
          <w:kern w:val="2"/>
          <w:sz w:val="28"/>
          <w:szCs w:val="28"/>
        </w:rPr>
        <w:t>0.05g</w:t>
      </w:r>
      <w:r>
        <w:rPr>
          <w:rFonts w:hint="eastAsia" w:ascii="Times New Roman"/>
          <w:color w:val="auto"/>
          <w:kern w:val="2"/>
          <w:sz w:val="28"/>
          <w:szCs w:val="28"/>
        </w:rPr>
        <w:t>，反应谱特征周期为</w:t>
      </w:r>
      <w:r>
        <w:rPr>
          <w:rFonts w:ascii="Times New Roman" w:cs="Times New Roman"/>
          <w:color w:val="auto"/>
          <w:kern w:val="2"/>
          <w:sz w:val="28"/>
          <w:szCs w:val="28"/>
        </w:rPr>
        <w:t>0.35s</w:t>
      </w:r>
      <w:r>
        <w:rPr>
          <w:rFonts w:hint="eastAsia" w:ascii="Times New Roman"/>
          <w:color w:val="auto"/>
          <w:kern w:val="2"/>
          <w:sz w:val="28"/>
          <w:szCs w:val="28"/>
        </w:rPr>
        <w:t>。地震烈度为</w:t>
      </w:r>
      <w:r>
        <w:rPr>
          <w:rFonts w:ascii="Times New Roman" w:cs="Times New Roman"/>
          <w:color w:val="auto"/>
          <w:kern w:val="2"/>
          <w:sz w:val="28"/>
          <w:szCs w:val="28"/>
        </w:rPr>
        <w:t>6</w:t>
      </w:r>
      <w:r>
        <w:rPr>
          <w:rFonts w:hint="eastAsia" w:ascii="Times New Roman"/>
          <w:color w:val="auto"/>
          <w:kern w:val="2"/>
          <w:sz w:val="28"/>
          <w:szCs w:val="28"/>
        </w:rPr>
        <w:t>度，加油站建构筑物按</w:t>
      </w:r>
      <w:r>
        <w:rPr>
          <w:rFonts w:ascii="Times New Roman" w:cs="Times New Roman"/>
          <w:color w:val="auto"/>
          <w:kern w:val="2"/>
          <w:sz w:val="28"/>
          <w:szCs w:val="28"/>
        </w:rPr>
        <w:t>6</w:t>
      </w:r>
      <w:r>
        <w:rPr>
          <w:rFonts w:hint="eastAsia" w:ascii="Times New Roman"/>
          <w:color w:val="auto"/>
          <w:kern w:val="2"/>
          <w:sz w:val="28"/>
          <w:szCs w:val="28"/>
        </w:rPr>
        <w:t>度设防。</w:t>
      </w:r>
    </w:p>
    <w:p>
      <w:pPr>
        <w:pStyle w:val="38"/>
        <w:spacing w:line="360" w:lineRule="auto"/>
        <w:ind w:firstLine="560" w:firstLineChars="200"/>
        <w:rPr>
          <w:rFonts w:hint="eastAsia" w:ascii="Times New Roman"/>
          <w:color w:val="auto"/>
          <w:kern w:val="2"/>
          <w:sz w:val="28"/>
          <w:szCs w:val="28"/>
          <w:lang w:val="en-US" w:eastAsia="zh-CN"/>
        </w:rPr>
      </w:pPr>
      <w:r>
        <w:rPr>
          <w:rFonts w:hint="eastAsia" w:ascii="Times New Roman"/>
          <w:color w:val="auto"/>
          <w:kern w:val="2"/>
          <w:sz w:val="28"/>
          <w:szCs w:val="28"/>
          <w:lang w:val="en-US" w:eastAsia="zh-CN"/>
        </w:rPr>
        <w:t>6、外部依托</w:t>
      </w:r>
    </w:p>
    <w:p>
      <w:pPr>
        <w:pStyle w:val="38"/>
        <w:spacing w:line="360" w:lineRule="auto"/>
        <w:ind w:firstLine="560" w:firstLineChars="200"/>
        <w:rPr>
          <w:rFonts w:hint="eastAsia" w:ascii="Times New Roman" w:eastAsia="宋体" w:cs="Times New Roman"/>
          <w:color w:val="auto"/>
          <w:kern w:val="2"/>
          <w:sz w:val="28"/>
          <w:szCs w:val="28"/>
          <w:lang w:val="en-US" w:eastAsia="zh-CN"/>
        </w:rPr>
      </w:pPr>
      <w:r>
        <w:rPr>
          <w:rFonts w:hint="eastAsia" w:ascii="Times New Roman"/>
          <w:color w:val="auto"/>
          <w:kern w:val="2"/>
          <w:sz w:val="28"/>
          <w:szCs w:val="28"/>
          <w:lang w:val="en-US" w:eastAsia="zh-CN"/>
        </w:rPr>
        <w:t>景德镇市高新消防救援大队距该加油站9.9公里，可作为该加油站依托的社会消防力量，鱼山卫生院距该加油站5.5m，可作为该加油站依托的社会救援力量。</w:t>
      </w:r>
    </w:p>
    <w:p>
      <w:pPr>
        <w:pStyle w:val="5"/>
        <w:spacing w:line="360" w:lineRule="auto"/>
        <w:rPr>
          <w:rFonts w:cs="Times New Roman"/>
          <w:color w:val="auto"/>
          <w:sz w:val="28"/>
          <w:szCs w:val="28"/>
        </w:rPr>
      </w:pPr>
      <w:bookmarkStart w:id="32" w:name="_Toc7824"/>
      <w:r>
        <w:rPr>
          <w:color w:val="auto"/>
          <w:sz w:val="28"/>
          <w:szCs w:val="28"/>
        </w:rPr>
        <w:t>2.2.3</w:t>
      </w:r>
      <w:r>
        <w:rPr>
          <w:rFonts w:hint="eastAsia" w:cs="宋体"/>
          <w:color w:val="auto"/>
          <w:sz w:val="28"/>
          <w:szCs w:val="28"/>
        </w:rPr>
        <w:t>总图及平面布置</w:t>
      </w:r>
      <w:bookmarkEnd w:id="32"/>
    </w:p>
    <w:p>
      <w:pPr>
        <w:spacing w:line="360" w:lineRule="auto"/>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、总平面布置</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项目平面布置为：加油罩棚区（含油罐）、站房区、卸油区。</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加油站进、出口分开设置，面向道路无围墙，其两侧与公路连接处为</w:t>
      </w:r>
      <w:r>
        <w:rPr>
          <w:rFonts w:hint="eastAsia" w:ascii="Times New Roman" w:hAnsi="Times New Roman" w:cs="宋体"/>
          <w:color w:val="auto"/>
          <w:sz w:val="28"/>
          <w:szCs w:val="28"/>
          <w:lang w:eastAsia="zh-CN"/>
        </w:rPr>
        <w:t>混凝土</w:t>
      </w:r>
      <w:r>
        <w:rPr>
          <w:rFonts w:hint="eastAsia" w:ascii="Times New Roman" w:hAnsi="Times New Roman" w:cs="宋体"/>
          <w:color w:val="auto"/>
          <w:sz w:val="28"/>
          <w:szCs w:val="28"/>
        </w:rPr>
        <w:t>地面。站区东、西、</w:t>
      </w:r>
      <w:r>
        <w:rPr>
          <w:rFonts w:hint="eastAsia" w:ascii="Times New Roman" w:hAnsi="Times New Roman" w:cs="宋体"/>
          <w:color w:val="auto"/>
          <w:sz w:val="28"/>
          <w:szCs w:val="28"/>
          <w:lang w:eastAsia="zh-CN"/>
        </w:rPr>
        <w:t>南</w:t>
      </w:r>
      <w:r>
        <w:rPr>
          <w:rFonts w:hint="eastAsia" w:ascii="Times New Roman" w:hAnsi="Times New Roman" w:cs="宋体"/>
          <w:color w:val="auto"/>
          <w:sz w:val="28"/>
          <w:szCs w:val="28"/>
        </w:rPr>
        <w:t>三面设有实体围墙，围墙高</w:t>
      </w:r>
      <w:r>
        <w:rPr>
          <w:rFonts w:ascii="Times New Roman" w:hAnsi="Times New Roman" w:cs="Times New Roman"/>
          <w:color w:val="auto"/>
          <w:sz w:val="28"/>
          <w:szCs w:val="28"/>
        </w:rPr>
        <w:t>2.2m</w:t>
      </w:r>
      <w:r>
        <w:rPr>
          <w:rFonts w:hint="eastAsia" w:ascii="Times New Roman" w:hAnsi="Times New Roman" w:cs="宋体"/>
          <w:color w:val="auto"/>
          <w:sz w:val="28"/>
          <w:szCs w:val="28"/>
        </w:rPr>
        <w:t>，与外界隔开。</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加油站面向</w:t>
      </w:r>
      <w:r>
        <w:rPr>
          <w:rFonts w:hint="eastAsia" w:ascii="Times New Roman" w:hAnsi="Times New Roman" w:cs="Times New Roman"/>
          <w:color w:val="auto"/>
          <w:sz w:val="28"/>
          <w:szCs w:val="28"/>
          <w:lang w:eastAsia="zh-CN"/>
        </w:rPr>
        <w:t>X105县道</w:t>
      </w:r>
      <w:r>
        <w:rPr>
          <w:rFonts w:hint="eastAsia" w:ascii="Times New Roman" w:hAnsi="Times New Roman" w:cs="宋体"/>
          <w:color w:val="auto"/>
          <w:sz w:val="28"/>
          <w:szCs w:val="28"/>
        </w:rPr>
        <w:t>双排布置。共设有</w:t>
      </w:r>
      <w:r>
        <w:rPr>
          <w:rFonts w:ascii="Times New Roman" w:hAnsi="Times New Roman" w:cs="Times New Roman"/>
          <w:color w:val="auto"/>
          <w:sz w:val="28"/>
          <w:szCs w:val="28"/>
        </w:rPr>
        <w:t>4</w:t>
      </w:r>
      <w:r>
        <w:rPr>
          <w:rFonts w:hint="eastAsia" w:ascii="Times New Roman" w:hAnsi="Times New Roman" w:cs="宋体"/>
          <w:color w:val="auto"/>
          <w:sz w:val="28"/>
          <w:szCs w:val="28"/>
        </w:rPr>
        <w:t>个加油岛，</w:t>
      </w:r>
      <w:r>
        <w:rPr>
          <w:rFonts w:ascii="Times New Roman" w:hAnsi="Times New Roman" w:cs="Times New Roman"/>
          <w:color w:val="auto"/>
          <w:sz w:val="28"/>
          <w:szCs w:val="28"/>
        </w:rPr>
        <w:t>4</w:t>
      </w:r>
      <w:r>
        <w:rPr>
          <w:rFonts w:hint="eastAsia" w:ascii="Times New Roman" w:hAnsi="Times New Roman" w:cs="宋体"/>
          <w:color w:val="auto"/>
          <w:sz w:val="28"/>
          <w:szCs w:val="28"/>
        </w:rPr>
        <w:t>台</w:t>
      </w:r>
      <w:r>
        <w:rPr>
          <w:rFonts w:hint="eastAsia" w:ascii="Times New Roman" w:hAnsi="Times New Roman" w:cs="宋体"/>
          <w:color w:val="auto"/>
          <w:sz w:val="28"/>
          <w:szCs w:val="28"/>
          <w:lang w:eastAsia="zh-CN"/>
        </w:rPr>
        <w:t>四</w:t>
      </w:r>
      <w:r>
        <w:rPr>
          <w:rFonts w:hint="eastAsia" w:ascii="Times New Roman" w:hAnsi="Times New Roman" w:cs="宋体"/>
          <w:color w:val="auto"/>
          <w:sz w:val="28"/>
          <w:szCs w:val="28"/>
        </w:rPr>
        <w:t>枪潜油泵加油机。分两排设置，每排两台。</w:t>
      </w:r>
      <w:r>
        <w:rPr>
          <w:rFonts w:hint="eastAsia" w:ascii="Times New Roman" w:hAnsi="Times New Roman" w:cs="宋体"/>
          <w:color w:val="auto"/>
          <w:sz w:val="28"/>
          <w:szCs w:val="28"/>
          <w:lang w:eastAsia="zh-CN"/>
        </w:rPr>
        <w:t>靠站房一排加油机从西南到东北为四枪加油机（2枪92#、2枪95#）、四枪加油机（2枪92#、</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eastAsia="zh-CN"/>
        </w:rPr>
        <w:t>枪0#），靠道路一排加油机从西南到东北为四枪加油机（1枪0#、2枪92#、1枪95#）、四枪加油机（2枪0#、1枪92#、1枪95#），4台加油机分别布置在一座加油岛上，另在四枪加油机（2枪0#、1枪92#、1枪95#）北侧设1台1</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eastAsia="zh-CN"/>
        </w:rPr>
        <w:t>m</w:t>
      </w:r>
      <w:r>
        <w:rPr>
          <w:rFonts w:hint="eastAsia" w:ascii="Times New Roman" w:hAnsi="Times New Roman" w:cs="宋体"/>
          <w:color w:val="auto"/>
          <w:sz w:val="28"/>
          <w:szCs w:val="28"/>
          <w:vertAlign w:val="superscript"/>
          <w:lang w:eastAsia="zh-CN"/>
        </w:rPr>
        <w:t>3</w:t>
      </w:r>
      <w:r>
        <w:rPr>
          <w:rFonts w:hint="eastAsia" w:ascii="Times New Roman" w:hAnsi="Times New Roman" w:cs="宋体"/>
          <w:color w:val="auto"/>
          <w:sz w:val="28"/>
          <w:szCs w:val="28"/>
          <w:lang w:eastAsia="zh-CN"/>
        </w:rPr>
        <w:t>尿素加注一体机（与加油机共用加油岛）</w:t>
      </w:r>
      <w:r>
        <w:rPr>
          <w:rFonts w:hint="eastAsia" w:ascii="Times New Roman" w:hAnsi="Times New Roman" w:cs="宋体"/>
          <w:color w:val="auto"/>
          <w:sz w:val="28"/>
          <w:szCs w:val="28"/>
        </w:rPr>
        <w:t>；南北两排加油岛间隔</w:t>
      </w:r>
      <w:r>
        <w:rPr>
          <w:rFonts w:ascii="Times New Roman" w:hAnsi="Times New Roman" w:cs="Times New Roman"/>
          <w:color w:val="auto"/>
          <w:sz w:val="28"/>
          <w:szCs w:val="28"/>
        </w:rPr>
        <w:t>10</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m</w:t>
      </w:r>
      <w:r>
        <w:rPr>
          <w:rFonts w:hint="eastAsia" w:ascii="Times New Roman" w:hAnsi="Times New Roman" w:cs="宋体"/>
          <w:color w:val="auto"/>
          <w:sz w:val="28"/>
          <w:szCs w:val="28"/>
        </w:rPr>
        <w:t>。</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加油区设有高</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m</w:t>
      </w:r>
      <w:r>
        <w:rPr>
          <w:rFonts w:hint="eastAsia" w:ascii="Times New Roman" w:hAnsi="Times New Roman" w:cs="宋体"/>
          <w:color w:val="auto"/>
          <w:sz w:val="28"/>
          <w:szCs w:val="28"/>
        </w:rPr>
        <w:t>、面积</w:t>
      </w:r>
      <w:r>
        <w:rPr>
          <w:rFonts w:ascii="Times New Roman" w:hAnsi="Times New Roman" w:cs="Times New Roman"/>
          <w:color w:val="auto"/>
          <w:sz w:val="28"/>
          <w:szCs w:val="28"/>
        </w:rPr>
        <w:t>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m</w:t>
      </w:r>
      <w:r>
        <w:rPr>
          <w:rFonts w:hint="eastAsia" w:ascii="Times New Roman" w:hAnsi="Times New Roman" w:cs="宋体"/>
          <w:color w:val="auto"/>
          <w:sz w:val="28"/>
          <w:szCs w:val="28"/>
        </w:rPr>
        <w:t>×</w:t>
      </w:r>
      <w:r>
        <w:rPr>
          <w:rFonts w:hint="eastAsia" w:ascii="Times New Roman" w:hAnsi="Times New Roman" w:cs="Times New Roman"/>
          <w:color w:val="auto"/>
          <w:sz w:val="28"/>
          <w:szCs w:val="28"/>
          <w:lang w:val="en-US" w:eastAsia="zh-CN"/>
        </w:rPr>
        <w:t>27</w:t>
      </w:r>
      <w:r>
        <w:rPr>
          <w:rFonts w:ascii="Times New Roman" w:hAnsi="Times New Roman" w:cs="Times New Roman"/>
          <w:color w:val="auto"/>
          <w:sz w:val="28"/>
          <w:szCs w:val="28"/>
        </w:rPr>
        <w:t>m</w:t>
      </w:r>
      <w:r>
        <w:rPr>
          <w:rFonts w:hint="eastAsia" w:ascii="Times New Roman" w:hAnsi="Times New Roman" w:cs="宋体"/>
          <w:color w:val="auto"/>
          <w:sz w:val="28"/>
          <w:szCs w:val="28"/>
        </w:rPr>
        <w:t>罩棚，罩棚边缘突出加油机</w:t>
      </w:r>
      <w:r>
        <w:rPr>
          <w:rFonts w:ascii="Times New Roman" w:hAnsi="Times New Roman" w:cs="Times New Roman"/>
          <w:color w:val="auto"/>
          <w:sz w:val="28"/>
          <w:szCs w:val="28"/>
        </w:rPr>
        <w:t>4.5m</w:t>
      </w:r>
      <w:r>
        <w:rPr>
          <w:rFonts w:hint="eastAsia" w:ascii="Times New Roman" w:hAnsi="Times New Roman" w:cs="宋体"/>
          <w:color w:val="auto"/>
          <w:sz w:val="28"/>
          <w:szCs w:val="28"/>
        </w:rPr>
        <w:t>。罩棚共</w:t>
      </w:r>
      <w:r>
        <w:rPr>
          <w:rFonts w:ascii="Times New Roman" w:hAnsi="Times New Roman" w:cs="Times New Roman"/>
          <w:color w:val="auto"/>
          <w:sz w:val="28"/>
          <w:szCs w:val="28"/>
        </w:rPr>
        <w:t>4</w:t>
      </w:r>
      <w:r>
        <w:rPr>
          <w:rFonts w:hint="eastAsia" w:ascii="Times New Roman" w:hAnsi="Times New Roman" w:cs="宋体"/>
          <w:color w:val="auto"/>
          <w:sz w:val="28"/>
          <w:szCs w:val="28"/>
        </w:rPr>
        <w:t>根现浇立柱，</w:t>
      </w:r>
      <w:r>
        <w:rPr>
          <w:rFonts w:hint="eastAsia" w:ascii="Times New Roman" w:hAnsi="Times New Roman" w:cs="宋体"/>
          <w:color w:val="auto"/>
          <w:sz w:val="28"/>
          <w:szCs w:val="28"/>
          <w:lang w:eastAsia="zh-CN"/>
        </w:rPr>
        <w:t>北</w:t>
      </w:r>
      <w:r>
        <w:rPr>
          <w:rFonts w:hint="eastAsia" w:ascii="Times New Roman" w:hAnsi="Times New Roman" w:cs="宋体"/>
          <w:color w:val="auto"/>
          <w:sz w:val="28"/>
          <w:szCs w:val="28"/>
        </w:rPr>
        <w:t>侧两根立柱分别位于靠</w:t>
      </w:r>
      <w:r>
        <w:rPr>
          <w:rFonts w:hint="eastAsia" w:ascii="Times New Roman" w:hAnsi="Times New Roman" w:cs="Times New Roman"/>
          <w:color w:val="auto"/>
          <w:sz w:val="28"/>
          <w:szCs w:val="28"/>
          <w:lang w:eastAsia="zh-CN"/>
        </w:rPr>
        <w:t>X105县道</w:t>
      </w:r>
      <w:r>
        <w:rPr>
          <w:rFonts w:hint="eastAsia" w:ascii="Times New Roman" w:hAnsi="Times New Roman" w:cs="宋体"/>
          <w:color w:val="auto"/>
          <w:sz w:val="28"/>
          <w:szCs w:val="28"/>
        </w:rPr>
        <w:t>的一排加油岛，</w:t>
      </w:r>
      <w:r>
        <w:rPr>
          <w:rFonts w:hint="eastAsia" w:ascii="Times New Roman" w:hAnsi="Times New Roman" w:cs="宋体"/>
          <w:color w:val="auto"/>
          <w:sz w:val="28"/>
          <w:szCs w:val="28"/>
          <w:lang w:eastAsia="zh-CN"/>
        </w:rPr>
        <w:t>南侧</w:t>
      </w:r>
      <w:r>
        <w:rPr>
          <w:rFonts w:hint="eastAsia" w:ascii="Times New Roman" w:hAnsi="Times New Roman" w:cs="宋体"/>
          <w:color w:val="auto"/>
          <w:sz w:val="28"/>
          <w:szCs w:val="28"/>
        </w:rPr>
        <w:t>两根立柱分别与站房墙面契合在一起，顶为网架结构轻质顶。</w:t>
      </w:r>
    </w:p>
    <w:p>
      <w:pPr>
        <w:spacing w:line="360" w:lineRule="auto"/>
        <w:ind w:firstLine="560" w:firstLineChars="200"/>
        <w:rPr>
          <w:rFonts w:hint="eastAsia" w:ascii="Times New Roman" w:hAnsi="Times New Roman" w:eastAsia="宋体" w:cs="Times New Roman"/>
          <w:color w:val="auto"/>
          <w:sz w:val="28"/>
          <w:szCs w:val="28"/>
          <w:lang w:eastAsia="zh-CN"/>
        </w:rPr>
      </w:pPr>
      <w:r>
        <w:rPr>
          <w:rFonts w:hint="eastAsia" w:ascii="Times New Roman" w:hAnsi="Times New Roman" w:cs="宋体"/>
          <w:color w:val="auto"/>
          <w:sz w:val="28"/>
          <w:szCs w:val="28"/>
        </w:rPr>
        <w:t>站房为</w:t>
      </w:r>
      <w:r>
        <w:rPr>
          <w:rFonts w:hint="eastAsia" w:ascii="Times New Roman" w:hAnsi="Times New Roman" w:cs="宋体"/>
          <w:color w:val="auto"/>
          <w:sz w:val="28"/>
          <w:szCs w:val="28"/>
          <w:lang w:eastAsia="zh-CN"/>
        </w:rPr>
        <w:t>单</w:t>
      </w:r>
      <w:r>
        <w:rPr>
          <w:rFonts w:hint="eastAsia" w:ascii="Times New Roman" w:hAnsi="Times New Roman" w:cs="宋体"/>
          <w:color w:val="auto"/>
          <w:sz w:val="28"/>
          <w:szCs w:val="28"/>
        </w:rPr>
        <w:t>层建筑，位于罩棚</w:t>
      </w:r>
      <w:r>
        <w:rPr>
          <w:rFonts w:hint="eastAsia" w:ascii="Times New Roman" w:hAnsi="Times New Roman" w:cs="宋体"/>
          <w:color w:val="auto"/>
          <w:sz w:val="28"/>
          <w:szCs w:val="28"/>
          <w:lang w:eastAsia="zh-CN"/>
        </w:rPr>
        <w:t>南</w:t>
      </w:r>
      <w:r>
        <w:rPr>
          <w:rFonts w:hint="eastAsia" w:ascii="Times New Roman" w:hAnsi="Times New Roman" w:cs="宋体"/>
          <w:color w:val="auto"/>
          <w:sz w:val="28"/>
          <w:szCs w:val="28"/>
        </w:rPr>
        <w:t>部，东西长</w:t>
      </w:r>
      <w:r>
        <w:rPr>
          <w:rFonts w:hint="eastAsia" w:ascii="Times New Roman" w:hAnsi="Times New Roman" w:cs="Times New Roman"/>
          <w:color w:val="auto"/>
          <w:sz w:val="28"/>
          <w:szCs w:val="28"/>
          <w:lang w:val="en-US" w:eastAsia="zh-CN"/>
        </w:rPr>
        <w:t>23.9</w:t>
      </w:r>
      <w:r>
        <w:rPr>
          <w:rFonts w:ascii="Times New Roman" w:hAnsi="Times New Roman" w:cs="Times New Roman"/>
          <w:color w:val="auto"/>
          <w:sz w:val="28"/>
          <w:szCs w:val="28"/>
        </w:rPr>
        <w:t>m</w:t>
      </w:r>
      <w:r>
        <w:rPr>
          <w:rFonts w:hint="eastAsia" w:ascii="Times New Roman" w:hAnsi="Times New Roman" w:cs="宋体"/>
          <w:color w:val="auto"/>
          <w:sz w:val="28"/>
          <w:szCs w:val="28"/>
        </w:rPr>
        <w:t>，南北宽</w:t>
      </w:r>
      <w:r>
        <w:rPr>
          <w:rFonts w:hint="eastAsia" w:ascii="Times New Roman" w:hAnsi="Times New Roman" w:cs="Times New Roman"/>
          <w:color w:val="auto"/>
          <w:sz w:val="28"/>
          <w:szCs w:val="28"/>
          <w:lang w:val="en-US" w:eastAsia="zh-CN"/>
        </w:rPr>
        <w:t>7.1</w:t>
      </w:r>
      <w:r>
        <w:rPr>
          <w:rFonts w:ascii="Times New Roman" w:hAnsi="Times New Roman" w:cs="Times New Roman"/>
          <w:color w:val="auto"/>
          <w:sz w:val="28"/>
          <w:szCs w:val="28"/>
        </w:rPr>
        <w:t>m</w:t>
      </w:r>
      <w:r>
        <w:rPr>
          <w:rFonts w:hint="eastAsia" w:ascii="Times New Roman" w:hAnsi="Times New Roman" w:cs="宋体"/>
          <w:color w:val="auto"/>
          <w:sz w:val="28"/>
          <w:szCs w:val="28"/>
        </w:rPr>
        <w:t>，站房设便利店、活动室、淋浴间、前室、男卫、女卫、站长室、值班室、储藏间、走廊、配电间等功能开间，</w:t>
      </w:r>
      <w:r>
        <w:rPr>
          <w:rFonts w:hint="eastAsia" w:ascii="Times New Roman" w:hAnsi="Times New Roman" w:cs="宋体"/>
          <w:color w:val="auto"/>
          <w:sz w:val="28"/>
          <w:szCs w:val="28"/>
          <w:lang w:eastAsia="zh-CN"/>
        </w:rPr>
        <w:t>值班室</w:t>
      </w:r>
      <w:r>
        <w:rPr>
          <w:rFonts w:hint="eastAsia" w:ascii="Times New Roman" w:hAnsi="Times New Roman" w:cs="宋体"/>
          <w:color w:val="auto"/>
          <w:sz w:val="28"/>
          <w:szCs w:val="28"/>
        </w:rPr>
        <w:t>设视频监控显示器，能监控加油区、罐区、营业室及站区出入口，值班室设液位仪、泄漏检测报警仪</w:t>
      </w:r>
      <w:r>
        <w:rPr>
          <w:rFonts w:hint="eastAsia" w:ascii="Times New Roman" w:hAnsi="Times New Roman" w:cs="宋体"/>
          <w:color w:val="auto"/>
          <w:sz w:val="28"/>
          <w:szCs w:val="28"/>
          <w:lang w:eastAsia="zh-CN"/>
        </w:rPr>
        <w:t>；便利店</w:t>
      </w:r>
      <w:r>
        <w:rPr>
          <w:rFonts w:hint="eastAsia" w:ascii="Times New Roman" w:hAnsi="Times New Roman" w:cs="宋体"/>
          <w:color w:val="auto"/>
          <w:sz w:val="28"/>
          <w:szCs w:val="28"/>
        </w:rPr>
        <w:t>、站房外墙各设1处紧急切断按钮。</w:t>
      </w:r>
      <w:r>
        <w:rPr>
          <w:rFonts w:hint="eastAsia" w:ascii="Times New Roman" w:hAnsi="Times New Roman" w:cs="宋体"/>
          <w:color w:val="auto"/>
          <w:sz w:val="28"/>
          <w:szCs w:val="28"/>
          <w:lang w:eastAsia="zh-CN"/>
        </w:rPr>
        <w:t>站房顶部设有光伏板。站房西侧入口处设有</w:t>
      </w:r>
      <w:r>
        <w:rPr>
          <w:rFonts w:hint="eastAsia" w:ascii="Times New Roman" w:hAnsi="Times New Roman" w:cs="宋体"/>
          <w:color w:val="auto"/>
          <w:sz w:val="28"/>
          <w:szCs w:val="28"/>
          <w:lang w:val="en-US" w:eastAsia="zh-CN"/>
        </w:rPr>
        <w:t>1台通过式洗车机</w:t>
      </w:r>
      <w:r>
        <w:rPr>
          <w:rFonts w:hint="eastAsia" w:ascii="Times New Roman" w:hAnsi="Times New Roman" w:cs="宋体"/>
          <w:color w:val="auto"/>
          <w:sz w:val="28"/>
          <w:szCs w:val="28"/>
          <w:lang w:eastAsia="zh-CN"/>
        </w:rPr>
        <w:t>。</w:t>
      </w:r>
    </w:p>
    <w:p>
      <w:pPr>
        <w:spacing w:line="600" w:lineRule="exact"/>
        <w:ind w:firstLine="560" w:firstLineChars="200"/>
        <w:rPr>
          <w:rFonts w:ascii="Times New Roman" w:hAnsi="Times New Roman" w:eastAsia="宋体" w:cs="宋体"/>
          <w:color w:val="auto"/>
          <w:sz w:val="28"/>
          <w:szCs w:val="28"/>
        </w:rPr>
      </w:pPr>
      <w:r>
        <w:rPr>
          <w:rFonts w:hint="eastAsia" w:ascii="Times New Roman" w:hAnsi="Times New Roman" w:cs="宋体"/>
          <w:color w:val="auto"/>
          <w:sz w:val="28"/>
          <w:szCs w:val="28"/>
        </w:rPr>
        <w:t>储罐区</w:t>
      </w:r>
      <w:r>
        <w:rPr>
          <w:rFonts w:hint="eastAsia" w:ascii="Times New Roman" w:hAnsi="Times New Roman" w:cs="宋体"/>
          <w:color w:val="auto"/>
          <w:sz w:val="28"/>
          <w:szCs w:val="28"/>
          <w:lang w:eastAsia="zh-CN"/>
        </w:rPr>
        <w:t>位</w:t>
      </w:r>
      <w:r>
        <w:rPr>
          <w:rFonts w:hint="eastAsia" w:ascii="Times New Roman" w:hAnsi="Times New Roman" w:cs="宋体"/>
          <w:color w:val="auto"/>
          <w:sz w:val="28"/>
          <w:szCs w:val="28"/>
        </w:rPr>
        <w:t>于罩棚下方，位于车行道下，采用直埋方式，设抗浮基础。罐区设有3座承重储罐，西北侧由西南向东北依次布置有2座埋地式卧式SF双层罐，分别为0#柴油罐（50m</w:t>
      </w:r>
      <w:r>
        <w:rPr>
          <w:rFonts w:hint="eastAsia" w:ascii="Times New Roman" w:hAnsi="Times New Roman" w:cs="宋体"/>
          <w:color w:val="auto"/>
          <w:sz w:val="28"/>
          <w:szCs w:val="28"/>
          <w:vertAlign w:val="superscript"/>
        </w:rPr>
        <w:t>3</w:t>
      </w:r>
      <w:r>
        <w:rPr>
          <w:rFonts w:hint="eastAsia" w:ascii="Times New Roman" w:hAnsi="Times New Roman" w:cs="宋体"/>
          <w:color w:val="auto"/>
          <w:sz w:val="28"/>
          <w:szCs w:val="28"/>
        </w:rPr>
        <w:t>）、92#汽油罐（50m</w:t>
      </w:r>
      <w:r>
        <w:rPr>
          <w:rFonts w:hint="eastAsia" w:ascii="Times New Roman" w:hAnsi="Times New Roman" w:cs="宋体"/>
          <w:color w:val="auto"/>
          <w:sz w:val="28"/>
          <w:szCs w:val="28"/>
          <w:vertAlign w:val="superscript"/>
        </w:rPr>
        <w:t>3</w:t>
      </w:r>
      <w:r>
        <w:rPr>
          <w:rFonts w:hint="eastAsia" w:ascii="Times New Roman" w:hAnsi="Times New Roman" w:cs="宋体"/>
          <w:color w:val="auto"/>
          <w:sz w:val="28"/>
          <w:szCs w:val="28"/>
        </w:rPr>
        <w:t>），东南侧布置95#汽油罐（30m</w:t>
      </w:r>
      <w:r>
        <w:rPr>
          <w:rFonts w:hint="eastAsia" w:ascii="Times New Roman" w:hAnsi="Times New Roman" w:cs="宋体"/>
          <w:color w:val="auto"/>
          <w:sz w:val="28"/>
          <w:szCs w:val="28"/>
          <w:vertAlign w:val="superscript"/>
          <w:lang w:val="en-US" w:eastAsia="zh-CN"/>
        </w:rPr>
        <w:t>3</w:t>
      </w:r>
      <w:r>
        <w:rPr>
          <w:rFonts w:hint="eastAsia" w:ascii="Times New Roman" w:hAnsi="Times New Roman" w:cs="宋体"/>
          <w:color w:val="auto"/>
          <w:sz w:val="28"/>
          <w:szCs w:val="28"/>
        </w:rPr>
        <w:t>）1台</w:t>
      </w:r>
      <w:r>
        <w:rPr>
          <w:rFonts w:hint="eastAsia" w:ascii="Times New Roman" w:hAnsi="Times New Roman" w:cs="宋体"/>
          <w:color w:val="auto"/>
          <w:sz w:val="28"/>
          <w:szCs w:val="28"/>
          <w:lang w:eastAsia="zh-CN"/>
        </w:rPr>
        <w:t>。</w:t>
      </w:r>
      <w:r>
        <w:rPr>
          <w:rFonts w:hint="eastAsia" w:ascii="Times New Roman" w:hAnsi="Times New Roman" w:eastAsia="宋体" w:cs="宋体"/>
          <w:color w:val="auto"/>
          <w:sz w:val="28"/>
          <w:szCs w:val="28"/>
        </w:rPr>
        <w:t>双层油罐顶部纵向中心线上均装设渗漏检测立管，站房内设置防渗漏检测报警仪。</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卸油口集中布置在油罐区</w:t>
      </w:r>
      <w:r>
        <w:rPr>
          <w:rFonts w:hint="eastAsia" w:ascii="Times New Roman" w:hAnsi="Times New Roman" w:cs="宋体"/>
          <w:color w:val="auto"/>
          <w:sz w:val="28"/>
          <w:szCs w:val="28"/>
          <w:lang w:eastAsia="zh-CN"/>
        </w:rPr>
        <w:t>南</w:t>
      </w:r>
      <w:r>
        <w:rPr>
          <w:rFonts w:hint="eastAsia" w:ascii="Times New Roman" w:hAnsi="Times New Roman" w:cs="宋体"/>
          <w:color w:val="auto"/>
          <w:sz w:val="28"/>
          <w:szCs w:val="28"/>
        </w:rPr>
        <w:t>侧，采用密闭卸油，共设</w:t>
      </w:r>
      <w:r>
        <w:rPr>
          <w:rFonts w:hint="eastAsia" w:ascii="Times New Roman" w:hAnsi="Times New Roman" w:cs="Times New Roman"/>
          <w:color w:val="auto"/>
          <w:sz w:val="28"/>
          <w:szCs w:val="28"/>
          <w:lang w:val="en-US" w:eastAsia="zh-CN"/>
        </w:rPr>
        <w:t>3</w:t>
      </w:r>
      <w:r>
        <w:rPr>
          <w:rFonts w:hint="eastAsia" w:ascii="Times New Roman" w:hAnsi="Times New Roman" w:cs="宋体"/>
          <w:color w:val="auto"/>
          <w:sz w:val="28"/>
          <w:szCs w:val="28"/>
        </w:rPr>
        <w:t>个卸油口及</w:t>
      </w:r>
      <w:r>
        <w:rPr>
          <w:rFonts w:ascii="Times New Roman" w:hAnsi="Times New Roman" w:cs="Times New Roman"/>
          <w:color w:val="auto"/>
          <w:sz w:val="28"/>
          <w:szCs w:val="28"/>
        </w:rPr>
        <w:t>1</w:t>
      </w:r>
      <w:r>
        <w:rPr>
          <w:rFonts w:hint="eastAsia" w:ascii="Times New Roman" w:hAnsi="Times New Roman" w:cs="宋体"/>
          <w:color w:val="auto"/>
          <w:sz w:val="28"/>
          <w:szCs w:val="28"/>
        </w:rPr>
        <w:t>个油气回收口。卸油口距离站房为</w:t>
      </w:r>
      <w:r>
        <w:rPr>
          <w:rFonts w:ascii="Times New Roman" w:hAnsi="Times New Roman" w:cs="Times New Roman"/>
          <w:color w:val="auto"/>
          <w:sz w:val="28"/>
          <w:szCs w:val="28"/>
        </w:rPr>
        <w:t>10m</w:t>
      </w:r>
      <w:r>
        <w:rPr>
          <w:rFonts w:hint="eastAsia" w:ascii="Times New Roman" w:hAnsi="Times New Roman" w:cs="宋体"/>
          <w:color w:val="auto"/>
          <w:sz w:val="28"/>
          <w:szCs w:val="28"/>
        </w:rPr>
        <w:t>，距离汽、柴油通气管均为</w:t>
      </w:r>
      <w:r>
        <w:rPr>
          <w:rFonts w:hint="eastAsia" w:ascii="Times New Roman" w:hAnsi="Times New Roman" w:cs="Times New Roman"/>
          <w:color w:val="auto"/>
          <w:sz w:val="28"/>
          <w:szCs w:val="28"/>
          <w:lang w:val="en-US" w:eastAsia="zh-CN"/>
        </w:rPr>
        <w:t>3.06</w:t>
      </w:r>
      <w:r>
        <w:rPr>
          <w:rFonts w:ascii="Times New Roman" w:hAnsi="Times New Roman" w:cs="Times New Roman"/>
          <w:color w:val="auto"/>
          <w:sz w:val="28"/>
          <w:szCs w:val="28"/>
        </w:rPr>
        <w:t>m</w:t>
      </w:r>
      <w:r>
        <w:rPr>
          <w:rFonts w:hint="eastAsia" w:ascii="Times New Roman" w:hAnsi="Times New Roman" w:cs="宋体"/>
          <w:color w:val="auto"/>
          <w:sz w:val="28"/>
          <w:szCs w:val="28"/>
        </w:rPr>
        <w:t>，距卸油口距离</w:t>
      </w:r>
      <w:r>
        <w:rPr>
          <w:rFonts w:ascii="Times New Roman" w:hAnsi="Times New Roman" w:cs="Times New Roman"/>
          <w:color w:val="auto"/>
          <w:sz w:val="28"/>
          <w:szCs w:val="28"/>
        </w:rPr>
        <w:t>1.5m</w:t>
      </w:r>
      <w:r>
        <w:rPr>
          <w:rFonts w:hint="eastAsia" w:ascii="Times New Roman" w:hAnsi="Times New Roman" w:cs="宋体"/>
          <w:color w:val="auto"/>
          <w:sz w:val="28"/>
          <w:szCs w:val="28"/>
        </w:rPr>
        <w:t>处安装静电接地报警仪。</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通气管在储罐区</w:t>
      </w:r>
      <w:r>
        <w:rPr>
          <w:rFonts w:hint="eastAsia" w:ascii="Times New Roman" w:hAnsi="Times New Roman" w:cs="宋体"/>
          <w:color w:val="auto"/>
          <w:sz w:val="28"/>
          <w:szCs w:val="28"/>
          <w:lang w:eastAsia="zh-CN"/>
        </w:rPr>
        <w:t>南</w:t>
      </w:r>
      <w:r>
        <w:rPr>
          <w:rFonts w:hint="eastAsia" w:ascii="Times New Roman" w:hAnsi="Times New Roman" w:cs="宋体"/>
          <w:color w:val="auto"/>
          <w:sz w:val="28"/>
          <w:szCs w:val="28"/>
        </w:rPr>
        <w:t>侧集中敷设，共设</w:t>
      </w:r>
      <w:r>
        <w:rPr>
          <w:rFonts w:hint="eastAsia" w:ascii="Times New Roman" w:hAnsi="Times New Roman" w:cs="Times New Roman"/>
          <w:color w:val="auto"/>
          <w:sz w:val="28"/>
          <w:szCs w:val="28"/>
          <w:lang w:val="en-US" w:eastAsia="zh-CN"/>
        </w:rPr>
        <w:t>2</w:t>
      </w:r>
      <w:r>
        <w:rPr>
          <w:rFonts w:hint="eastAsia" w:ascii="Times New Roman" w:hAnsi="Times New Roman" w:cs="宋体"/>
          <w:color w:val="auto"/>
          <w:sz w:val="28"/>
          <w:szCs w:val="28"/>
        </w:rPr>
        <w:t>根通气管，</w:t>
      </w:r>
      <w:r>
        <w:rPr>
          <w:rFonts w:ascii="Times New Roman" w:hAnsi="Times New Roman" w:cs="Times New Roman"/>
          <w:color w:val="auto"/>
          <w:sz w:val="28"/>
          <w:szCs w:val="28"/>
        </w:rPr>
        <w:t>1</w:t>
      </w:r>
      <w:r>
        <w:rPr>
          <w:rFonts w:hint="eastAsia" w:ascii="Times New Roman" w:hAnsi="Times New Roman" w:cs="宋体"/>
          <w:color w:val="auto"/>
          <w:sz w:val="28"/>
          <w:szCs w:val="28"/>
        </w:rPr>
        <w:t>根紧急放空管，通气管高出地面</w:t>
      </w:r>
      <w:r>
        <w:rPr>
          <w:rFonts w:ascii="Times New Roman" w:hAnsi="Times New Roman" w:cs="Times New Roman"/>
          <w:color w:val="auto"/>
          <w:sz w:val="28"/>
          <w:szCs w:val="28"/>
        </w:rPr>
        <w:t>4m</w:t>
      </w:r>
      <w:r>
        <w:rPr>
          <w:rFonts w:hint="eastAsia" w:ascii="Times New Roman" w:hAnsi="Times New Roman" w:cs="宋体"/>
          <w:color w:val="auto"/>
          <w:sz w:val="28"/>
          <w:szCs w:val="28"/>
        </w:rPr>
        <w:t>，管径为</w:t>
      </w:r>
      <w:r>
        <w:rPr>
          <w:rFonts w:ascii="Times New Roman" w:hAnsi="Times New Roman" w:cs="Times New Roman"/>
          <w:color w:val="auto"/>
          <w:sz w:val="28"/>
          <w:szCs w:val="28"/>
        </w:rPr>
        <w:t>50mm</w:t>
      </w:r>
      <w:r>
        <w:rPr>
          <w:rFonts w:hint="eastAsia" w:ascii="Times New Roman" w:hAnsi="Times New Roman" w:cs="宋体"/>
          <w:color w:val="auto"/>
          <w:sz w:val="28"/>
          <w:szCs w:val="28"/>
        </w:rPr>
        <w:t>。通气管管口距站房1</w:t>
      </w:r>
      <w:r>
        <w:rPr>
          <w:rFonts w:hint="eastAsia" w:ascii="Times New Roman" w:hAnsi="Times New Roman" w:cs="宋体"/>
          <w:color w:val="auto"/>
          <w:sz w:val="28"/>
          <w:szCs w:val="28"/>
          <w:lang w:val="en-US" w:eastAsia="zh-CN"/>
        </w:rPr>
        <w:t>3.01</w:t>
      </w:r>
      <w:r>
        <w:rPr>
          <w:rFonts w:hint="eastAsia" w:ascii="Times New Roman" w:hAnsi="Times New Roman" w:cs="宋体"/>
          <w:color w:val="auto"/>
          <w:sz w:val="28"/>
          <w:szCs w:val="28"/>
        </w:rPr>
        <w:t>m。通气管管口距配电间门窗开口1</w:t>
      </w:r>
      <w:r>
        <w:rPr>
          <w:rFonts w:hint="eastAsia" w:ascii="Times New Roman" w:hAnsi="Times New Roman" w:cs="宋体"/>
          <w:color w:val="auto"/>
          <w:sz w:val="28"/>
          <w:szCs w:val="28"/>
          <w:lang w:val="en-US" w:eastAsia="zh-CN"/>
        </w:rPr>
        <w:t>3.01</w:t>
      </w:r>
      <w:r>
        <w:rPr>
          <w:rFonts w:hint="eastAsia" w:ascii="Times New Roman" w:hAnsi="Times New Roman" w:cs="宋体"/>
          <w:color w:val="auto"/>
          <w:sz w:val="28"/>
          <w:szCs w:val="28"/>
        </w:rPr>
        <w:t>m。</w:t>
      </w:r>
    </w:p>
    <w:p>
      <w:pPr>
        <w:spacing w:line="360" w:lineRule="auto"/>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站内变压器位于站区北侧，距最近加油机（汽、柴油）15.3m，距汽油油罐19m、距柴油油罐22m，距通气管管口62m。</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配电间位于站房西侧，配电间不在爆炸区域范围内。配电间距离最近的加油机为</w:t>
      </w:r>
      <w:r>
        <w:rPr>
          <w:rFonts w:ascii="Times New Roman" w:hAnsi="Times New Roman" w:cs="Times New Roman"/>
          <w:color w:val="auto"/>
          <w:sz w:val="28"/>
          <w:szCs w:val="28"/>
        </w:rPr>
        <w:t>11.2m</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隔油池位于站区</w:t>
      </w:r>
      <w:r>
        <w:rPr>
          <w:rFonts w:hint="eastAsia" w:ascii="Times New Roman" w:hAnsi="Times New Roman" w:cs="宋体"/>
          <w:color w:val="auto"/>
          <w:sz w:val="28"/>
          <w:szCs w:val="28"/>
          <w:lang w:val="en-US" w:eastAsia="zh-CN"/>
        </w:rPr>
        <w:t>入</w:t>
      </w:r>
      <w:r>
        <w:rPr>
          <w:rFonts w:hint="eastAsia" w:ascii="Times New Roman" w:hAnsi="Times New Roman" w:eastAsia="宋体" w:cs="宋体"/>
          <w:color w:val="auto"/>
          <w:sz w:val="28"/>
          <w:szCs w:val="28"/>
        </w:rPr>
        <w:t>口处靠围墙位置。</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具体情况见下表。</w:t>
      </w:r>
    </w:p>
    <w:p>
      <w:pPr>
        <w:jc w:val="center"/>
        <w:rPr>
          <w:rFonts w:ascii="Times New Roman" w:hAnsi="Times New Roman" w:cs="Times New Roman"/>
          <w:color w:val="auto"/>
          <w:sz w:val="24"/>
          <w:szCs w:val="24"/>
        </w:rPr>
      </w:pPr>
      <w:r>
        <w:rPr>
          <w:rFonts w:hint="eastAsia" w:ascii="Times New Roman" w:hAnsi="Times New Roman" w:cs="宋体"/>
          <w:color w:val="auto"/>
          <w:sz w:val="24"/>
          <w:szCs w:val="24"/>
        </w:rPr>
        <w:t>表</w:t>
      </w:r>
      <w:r>
        <w:rPr>
          <w:rFonts w:ascii="Times New Roman" w:hAnsi="Times New Roman" w:cs="Times New Roman"/>
          <w:color w:val="auto"/>
          <w:sz w:val="24"/>
          <w:szCs w:val="24"/>
        </w:rPr>
        <w:t xml:space="preserve">2-3  </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5"/>
        <w:gridCol w:w="2361"/>
        <w:gridCol w:w="2380"/>
        <w:gridCol w:w="1700"/>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749"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序号</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设施名称</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相邻设施</w:t>
            </w:r>
          </w:p>
        </w:tc>
        <w:tc>
          <w:tcPr>
            <w:tcW w:w="1254" w:type="dxa"/>
            <w:vAlign w:val="center"/>
          </w:tcPr>
          <w:p>
            <w:pPr>
              <w:spacing w:line="240" w:lineRule="exact"/>
              <w:jc w:val="center"/>
              <w:rPr>
                <w:rFonts w:ascii="Times New Roman" w:hAnsi="Times New Roman" w:cs="Times New Roman"/>
                <w:color w:val="auto"/>
                <w:sz w:val="21"/>
                <w:szCs w:val="21"/>
              </w:rPr>
            </w:pPr>
            <w:r>
              <w:rPr>
                <w:rFonts w:hint="eastAsia" w:ascii="Times New Roman" w:hAnsi="Times New Roman" w:cs="宋体"/>
                <w:color w:val="auto"/>
                <w:sz w:val="21"/>
                <w:szCs w:val="21"/>
              </w:rPr>
              <w:t>标准要求（</w:t>
            </w:r>
            <w:r>
              <w:rPr>
                <w:rFonts w:ascii="Times New Roman" w:hAnsi="Times New Roman" w:cs="Times New Roman"/>
                <w:color w:val="auto"/>
                <w:sz w:val="21"/>
                <w:szCs w:val="21"/>
              </w:rPr>
              <w:t>m</w:t>
            </w:r>
            <w:r>
              <w:rPr>
                <w:rFonts w:hint="eastAsia" w:ascii="Times New Roman" w:hAnsi="Times New Roman" w:cs="宋体"/>
                <w:color w:val="auto"/>
                <w:sz w:val="21"/>
                <w:szCs w:val="21"/>
              </w:rPr>
              <w:t>）</w:t>
            </w:r>
          </w:p>
        </w:tc>
        <w:tc>
          <w:tcPr>
            <w:tcW w:w="1350" w:type="dxa"/>
            <w:vAlign w:val="center"/>
          </w:tcPr>
          <w:p>
            <w:pPr>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检查记录</w:t>
            </w:r>
            <w:r>
              <w:rPr>
                <w:rFonts w:hint="eastAsia" w:ascii="Times New Roman" w:hAnsi="Times New Roman" w:cs="宋体"/>
                <w:color w:val="auto"/>
                <w:sz w:val="21"/>
                <w:szCs w:val="21"/>
              </w:rPr>
              <w:t>（</w:t>
            </w:r>
            <w:r>
              <w:rPr>
                <w:rFonts w:ascii="Times New Roman" w:hAnsi="Times New Roman" w:cs="Times New Roman"/>
                <w:color w:val="auto"/>
                <w:sz w:val="21"/>
                <w:szCs w:val="21"/>
              </w:rPr>
              <w:t>m</w:t>
            </w:r>
            <w:r>
              <w:rPr>
                <w:rFonts w:hint="eastAsia" w:ascii="Times New Roman" w:hAnsi="Times New Roman" w:cs="宋体"/>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49"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1</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汽油埋地油罐</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站房</w:t>
            </w:r>
          </w:p>
        </w:tc>
        <w:tc>
          <w:tcPr>
            <w:tcW w:w="1254" w:type="dxa"/>
            <w:vAlign w:val="center"/>
          </w:tcPr>
          <w:p>
            <w:pPr>
              <w:spacing w:line="24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4</w:t>
            </w:r>
          </w:p>
        </w:tc>
        <w:tc>
          <w:tcPr>
            <w:tcW w:w="1350" w:type="dxa"/>
            <w:vAlign w:val="center"/>
          </w:tcPr>
          <w:p>
            <w:pPr>
              <w:spacing w:line="240" w:lineRule="exact"/>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749"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2</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柴油埋地油罐</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站房</w:t>
            </w:r>
          </w:p>
        </w:tc>
        <w:tc>
          <w:tcPr>
            <w:tcW w:w="1254" w:type="dxa"/>
            <w:vAlign w:val="center"/>
          </w:tcPr>
          <w:p>
            <w:pPr>
              <w:spacing w:line="24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3</w:t>
            </w:r>
          </w:p>
        </w:tc>
        <w:tc>
          <w:tcPr>
            <w:tcW w:w="1350" w:type="dxa"/>
            <w:vAlign w:val="center"/>
          </w:tcPr>
          <w:p>
            <w:pPr>
              <w:spacing w:line="240" w:lineRule="exact"/>
              <w:jc w:val="center"/>
              <w:rPr>
                <w:rFonts w:hint="eastAsia" w:ascii="Times New Roman" w:hAnsi="Times New Roman" w:eastAsia="宋体" w:cs="Times New Roman"/>
                <w:color w:val="auto"/>
                <w:kern w:val="0"/>
                <w:sz w:val="21"/>
                <w:szCs w:val="21"/>
                <w:lang w:eastAsia="zh-CN"/>
              </w:rPr>
            </w:pPr>
            <w:r>
              <w:rPr>
                <w:rFonts w:ascii="Times New Roman" w:hAnsi="Times New Roman" w:cs="Times New Roman"/>
                <w:color w:val="auto"/>
                <w:kern w:val="0"/>
                <w:sz w:val="21"/>
                <w:szCs w:val="21"/>
              </w:rPr>
              <w:t>11.</w:t>
            </w:r>
            <w:r>
              <w:rPr>
                <w:rFonts w:hint="eastAsia" w:ascii="Times New Roman" w:hAnsi="Times New Roman" w:cs="Times New Roman"/>
                <w:color w:val="auto"/>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749" w:type="dxa"/>
            <w:vAlign w:val="center"/>
          </w:tcPr>
          <w:p>
            <w:pPr>
              <w:spacing w:line="240" w:lineRule="exact"/>
              <w:jc w:val="center"/>
              <w:rPr>
                <w:rFonts w:ascii="Times New Roman" w:hAnsi="Times New Roman" w:cs="Times New Roman"/>
                <w:color w:val="auto"/>
                <w:sz w:val="21"/>
                <w:szCs w:val="21"/>
              </w:rPr>
            </w:pPr>
            <w:r>
              <w:rPr>
                <w:rFonts w:ascii="Times New Roman" w:hAnsi="Times New Roman" w:cs="Times New Roman"/>
                <w:color w:val="auto"/>
                <w:kern w:val="0"/>
                <w:sz w:val="21"/>
                <w:szCs w:val="21"/>
              </w:rPr>
              <w:t>3</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埋地油罐</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埋地油罐</w:t>
            </w:r>
          </w:p>
        </w:tc>
        <w:tc>
          <w:tcPr>
            <w:tcW w:w="1254" w:type="dxa"/>
            <w:vAlign w:val="center"/>
          </w:tcPr>
          <w:p>
            <w:pPr>
              <w:spacing w:line="24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0.5</w:t>
            </w:r>
          </w:p>
        </w:tc>
        <w:tc>
          <w:tcPr>
            <w:tcW w:w="1350" w:type="dxa"/>
            <w:vAlign w:val="center"/>
          </w:tcPr>
          <w:p>
            <w:pPr>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749" w:type="dxa"/>
            <w:vAlign w:val="center"/>
          </w:tcPr>
          <w:p>
            <w:pPr>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4</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汽油埋地油罐</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站区围墙</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2</w:t>
            </w:r>
          </w:p>
        </w:tc>
        <w:tc>
          <w:tcPr>
            <w:tcW w:w="1350" w:type="dxa"/>
            <w:vAlign w:val="center"/>
          </w:tcPr>
          <w:p>
            <w:pPr>
              <w:widowControl/>
              <w:spacing w:line="24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749" w:type="dxa"/>
            <w:vAlign w:val="center"/>
          </w:tcPr>
          <w:p>
            <w:pPr>
              <w:spacing w:line="240" w:lineRule="exact"/>
              <w:jc w:val="center"/>
              <w:rPr>
                <w:rFonts w:ascii="Times New Roman" w:hAnsi="Times New Roman" w:cs="Times New Roman"/>
                <w:color w:val="auto"/>
                <w:sz w:val="21"/>
                <w:szCs w:val="21"/>
              </w:rPr>
            </w:pPr>
            <w:r>
              <w:rPr>
                <w:rFonts w:ascii="Times New Roman" w:hAnsi="Times New Roman" w:cs="Times New Roman"/>
                <w:color w:val="auto"/>
                <w:kern w:val="0"/>
                <w:sz w:val="21"/>
                <w:szCs w:val="21"/>
              </w:rPr>
              <w:t>5</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柴油埋地油罐</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站区围墙</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2</w:t>
            </w:r>
          </w:p>
        </w:tc>
        <w:tc>
          <w:tcPr>
            <w:tcW w:w="1350" w:type="dxa"/>
            <w:vAlign w:val="center"/>
          </w:tcPr>
          <w:p>
            <w:pPr>
              <w:widowControl/>
              <w:spacing w:line="240" w:lineRule="exact"/>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749" w:type="dxa"/>
            <w:vAlign w:val="center"/>
          </w:tcPr>
          <w:p>
            <w:pPr>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6</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汽油通气管管口</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站房</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4</w:t>
            </w:r>
          </w:p>
        </w:tc>
        <w:tc>
          <w:tcPr>
            <w:tcW w:w="1350" w:type="dxa"/>
            <w:vAlign w:val="center"/>
          </w:tcPr>
          <w:p>
            <w:pPr>
              <w:spacing w:line="24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749" w:type="dxa"/>
            <w:vAlign w:val="center"/>
          </w:tcPr>
          <w:p>
            <w:pPr>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7</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柴油通气管管口</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站房</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3.5</w:t>
            </w:r>
          </w:p>
        </w:tc>
        <w:tc>
          <w:tcPr>
            <w:tcW w:w="1350" w:type="dxa"/>
            <w:vAlign w:val="center"/>
          </w:tcPr>
          <w:p>
            <w:pPr>
              <w:spacing w:line="240" w:lineRule="exact"/>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13.01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749" w:type="dxa"/>
            <w:vAlign w:val="center"/>
          </w:tcPr>
          <w:p>
            <w:pPr>
              <w:spacing w:line="240" w:lineRule="exact"/>
              <w:jc w:val="center"/>
              <w:rPr>
                <w:rFonts w:ascii="Times New Roman" w:hAnsi="Times New Roman" w:cs="Times New Roman"/>
                <w:color w:val="auto"/>
                <w:sz w:val="21"/>
                <w:szCs w:val="21"/>
              </w:rPr>
            </w:pPr>
            <w:r>
              <w:rPr>
                <w:rFonts w:ascii="Times New Roman" w:hAnsi="Times New Roman" w:cs="Times New Roman"/>
                <w:color w:val="auto"/>
                <w:kern w:val="0"/>
                <w:sz w:val="21"/>
                <w:szCs w:val="21"/>
              </w:rPr>
              <w:t>9</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汽油通气管管口</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站区围墙</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2</w:t>
            </w:r>
          </w:p>
        </w:tc>
        <w:tc>
          <w:tcPr>
            <w:tcW w:w="1350" w:type="dxa"/>
            <w:vAlign w:val="center"/>
          </w:tcPr>
          <w:p>
            <w:pPr>
              <w:widowControl/>
              <w:spacing w:line="24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749" w:type="dxa"/>
            <w:vAlign w:val="center"/>
          </w:tcPr>
          <w:p>
            <w:pPr>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10</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柴油通气管管口</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站区围墙</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2</w:t>
            </w:r>
          </w:p>
        </w:tc>
        <w:tc>
          <w:tcPr>
            <w:tcW w:w="1350" w:type="dxa"/>
            <w:vAlign w:val="center"/>
          </w:tcPr>
          <w:p>
            <w:pPr>
              <w:widowControl/>
              <w:spacing w:line="24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749" w:type="dxa"/>
            <w:vAlign w:val="center"/>
          </w:tcPr>
          <w:p>
            <w:pPr>
              <w:spacing w:line="240" w:lineRule="exact"/>
              <w:jc w:val="center"/>
              <w:rPr>
                <w:rFonts w:ascii="Times New Roman" w:hAnsi="Times New Roman" w:cs="Times New Roman"/>
                <w:color w:val="auto"/>
                <w:sz w:val="21"/>
                <w:szCs w:val="21"/>
              </w:rPr>
            </w:pPr>
            <w:r>
              <w:rPr>
                <w:rFonts w:ascii="Times New Roman" w:hAnsi="Times New Roman" w:cs="Times New Roman"/>
                <w:color w:val="auto"/>
                <w:kern w:val="0"/>
                <w:sz w:val="21"/>
                <w:szCs w:val="21"/>
              </w:rPr>
              <w:t>11</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密闭卸油点</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站房</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5</w:t>
            </w:r>
          </w:p>
        </w:tc>
        <w:tc>
          <w:tcPr>
            <w:tcW w:w="1350" w:type="dxa"/>
            <w:vAlign w:val="center"/>
          </w:tcPr>
          <w:p>
            <w:pPr>
              <w:spacing w:line="24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749" w:type="dxa"/>
            <w:vAlign w:val="center"/>
          </w:tcPr>
          <w:p>
            <w:pPr>
              <w:spacing w:line="240" w:lineRule="exact"/>
              <w:jc w:val="center"/>
              <w:rPr>
                <w:rFonts w:ascii="Times New Roman" w:hAnsi="Times New Roman" w:cs="Times New Roman"/>
                <w:color w:val="auto"/>
                <w:sz w:val="21"/>
                <w:szCs w:val="21"/>
              </w:rPr>
            </w:pPr>
            <w:r>
              <w:rPr>
                <w:rFonts w:ascii="Times New Roman" w:hAnsi="Times New Roman" w:cs="Times New Roman"/>
                <w:color w:val="auto"/>
                <w:kern w:val="0"/>
                <w:sz w:val="21"/>
                <w:szCs w:val="21"/>
              </w:rPr>
              <w:t>13</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密闭卸油点</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汽油通气管</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3</w:t>
            </w:r>
          </w:p>
        </w:tc>
        <w:tc>
          <w:tcPr>
            <w:tcW w:w="1350" w:type="dxa"/>
            <w:vAlign w:val="center"/>
          </w:tcPr>
          <w:p>
            <w:pPr>
              <w:spacing w:line="240" w:lineRule="exact"/>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749" w:type="dxa"/>
            <w:vAlign w:val="center"/>
          </w:tcPr>
          <w:p>
            <w:pPr>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14</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密闭卸油点</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柴油通气管</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2</w:t>
            </w:r>
          </w:p>
        </w:tc>
        <w:tc>
          <w:tcPr>
            <w:tcW w:w="1350" w:type="dxa"/>
            <w:vAlign w:val="center"/>
          </w:tcPr>
          <w:p>
            <w:pPr>
              <w:spacing w:line="240" w:lineRule="exact"/>
              <w:jc w:val="center"/>
              <w:rPr>
                <w:rFonts w:hint="eastAsia" w:ascii="Times New Roman" w:hAnsi="Times New Roman" w:eastAsia="宋体" w:cs="Times New Roman"/>
                <w:color w:val="auto"/>
                <w:kern w:val="0"/>
                <w:sz w:val="21"/>
                <w:szCs w:val="21"/>
                <w:lang w:eastAsia="zh-CN"/>
              </w:rPr>
            </w:pPr>
            <w:r>
              <w:rPr>
                <w:rFonts w:hint="eastAsia" w:ascii="Times New Roman" w:hAnsi="Times New Roman" w:cs="Times New Roman"/>
                <w:color w:val="auto"/>
                <w:kern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749" w:type="dxa"/>
            <w:vAlign w:val="center"/>
          </w:tcPr>
          <w:p>
            <w:pPr>
              <w:spacing w:line="240" w:lineRule="exact"/>
              <w:jc w:val="center"/>
              <w:rPr>
                <w:rFonts w:ascii="Times New Roman" w:hAnsi="Times New Roman" w:cs="Times New Roman"/>
                <w:color w:val="auto"/>
                <w:sz w:val="21"/>
                <w:szCs w:val="21"/>
              </w:rPr>
            </w:pPr>
            <w:r>
              <w:rPr>
                <w:rFonts w:ascii="Times New Roman" w:hAnsi="Times New Roman" w:cs="Times New Roman"/>
                <w:color w:val="auto"/>
                <w:kern w:val="0"/>
                <w:sz w:val="21"/>
                <w:szCs w:val="21"/>
              </w:rPr>
              <w:t>15</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汽油加油机</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站房</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5</w:t>
            </w:r>
          </w:p>
        </w:tc>
        <w:tc>
          <w:tcPr>
            <w:tcW w:w="1350" w:type="dxa"/>
            <w:vAlign w:val="center"/>
          </w:tcPr>
          <w:p>
            <w:pPr>
              <w:spacing w:line="240" w:lineRule="exact"/>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749" w:type="dxa"/>
            <w:vAlign w:val="center"/>
          </w:tcPr>
          <w:p>
            <w:pPr>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16</w:t>
            </w:r>
          </w:p>
        </w:tc>
        <w:tc>
          <w:tcPr>
            <w:tcW w:w="1742"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柴油加油机</w:t>
            </w:r>
          </w:p>
        </w:tc>
        <w:tc>
          <w:tcPr>
            <w:tcW w:w="1756"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hint="eastAsia" w:ascii="Times New Roman" w:hAnsi="Times New Roman" w:cs="宋体"/>
                <w:color w:val="auto"/>
                <w:kern w:val="0"/>
                <w:sz w:val="21"/>
                <w:szCs w:val="21"/>
              </w:rPr>
              <w:t>站房</w:t>
            </w:r>
          </w:p>
        </w:tc>
        <w:tc>
          <w:tcPr>
            <w:tcW w:w="1254" w:type="dxa"/>
            <w:vAlign w:val="center"/>
          </w:tcPr>
          <w:p>
            <w:pPr>
              <w:autoSpaceDE w:val="0"/>
              <w:autoSpaceDN w:val="0"/>
              <w:spacing w:line="240" w:lineRule="exact"/>
              <w:jc w:val="center"/>
              <w:rPr>
                <w:rFonts w:ascii="Times New Roman" w:hAnsi="Times New Roman" w:cs="Times New Roman"/>
                <w:color w:val="auto"/>
                <w:kern w:val="0"/>
                <w:sz w:val="21"/>
                <w:szCs w:val="21"/>
              </w:rPr>
            </w:pPr>
            <w:r>
              <w:rPr>
                <w:rFonts w:ascii="Times New Roman" w:hAnsi="Times New Roman" w:cs="Times New Roman"/>
                <w:color w:val="auto"/>
                <w:kern w:val="0"/>
                <w:sz w:val="21"/>
                <w:szCs w:val="21"/>
              </w:rPr>
              <w:t>4</w:t>
            </w:r>
          </w:p>
        </w:tc>
        <w:tc>
          <w:tcPr>
            <w:tcW w:w="1350" w:type="dxa"/>
            <w:vAlign w:val="center"/>
          </w:tcPr>
          <w:p>
            <w:pPr>
              <w:spacing w:line="240" w:lineRule="exact"/>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9</w:t>
            </w:r>
          </w:p>
        </w:tc>
      </w:tr>
    </w:tbl>
    <w:p>
      <w:pPr>
        <w:pStyle w:val="4"/>
        <w:spacing w:line="580" w:lineRule="exact"/>
        <w:rPr>
          <w:color w:val="auto"/>
        </w:rPr>
      </w:pPr>
      <w:bookmarkStart w:id="33" w:name="_Toc19009"/>
      <w:bookmarkStart w:id="34" w:name="_Toc27881"/>
      <w:r>
        <w:rPr>
          <w:color w:val="auto"/>
        </w:rPr>
        <w:t xml:space="preserve">2.3 </w:t>
      </w:r>
      <w:r>
        <w:rPr>
          <w:rFonts w:hint="eastAsia" w:cs="宋体"/>
          <w:color w:val="auto"/>
        </w:rPr>
        <w:t>主要设备、建筑物及工艺：</w:t>
      </w:r>
      <w:bookmarkEnd w:id="33"/>
      <w:bookmarkEnd w:id="34"/>
    </w:p>
    <w:p>
      <w:pPr>
        <w:pStyle w:val="5"/>
        <w:spacing w:line="580" w:lineRule="exact"/>
        <w:rPr>
          <w:rFonts w:cs="Times New Roman"/>
          <w:color w:val="auto"/>
        </w:rPr>
      </w:pPr>
      <w:bookmarkStart w:id="35" w:name="_Toc6304"/>
      <w:r>
        <w:rPr>
          <w:color w:val="auto"/>
        </w:rPr>
        <w:t>2.3.1</w:t>
      </w:r>
      <w:r>
        <w:rPr>
          <w:rFonts w:hint="eastAsia" w:cs="宋体"/>
          <w:color w:val="auto"/>
        </w:rPr>
        <w:t>主要设备、建筑物</w:t>
      </w:r>
      <w:bookmarkEnd w:id="35"/>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）油罐区共</w:t>
      </w:r>
      <w:r>
        <w:rPr>
          <w:rFonts w:hint="eastAsia" w:ascii="Times New Roman" w:hAnsi="Times New Roman" w:cs="Times New Roman"/>
          <w:color w:val="auto"/>
          <w:sz w:val="28"/>
          <w:szCs w:val="28"/>
          <w:lang w:val="en-US" w:eastAsia="zh-CN"/>
        </w:rPr>
        <w:t>3</w:t>
      </w:r>
      <w:r>
        <w:rPr>
          <w:rFonts w:hint="eastAsia" w:ascii="Times New Roman" w:hAnsi="Times New Roman" w:cs="宋体"/>
          <w:color w:val="auto"/>
          <w:sz w:val="28"/>
          <w:szCs w:val="28"/>
        </w:rPr>
        <w:t>个储罐，</w:t>
      </w:r>
      <w:r>
        <w:rPr>
          <w:rFonts w:hint="eastAsia" w:ascii="Times New Roman" w:hAnsi="Times New Roman" w:cs="Times New Roman"/>
          <w:color w:val="auto"/>
          <w:sz w:val="28"/>
          <w:szCs w:val="28"/>
          <w:lang w:eastAsia="zh-CN"/>
        </w:rPr>
        <w:t>1个50m</w:t>
      </w:r>
      <w:r>
        <w:rPr>
          <w:rFonts w:ascii="Times New Roman" w:hAnsi="Times New Roman" w:cs="Times New Roman"/>
          <w:color w:val="auto"/>
          <w:sz w:val="28"/>
          <w:szCs w:val="28"/>
        </w:rPr>
        <w:t>³</w:t>
      </w:r>
      <w:r>
        <w:rPr>
          <w:rFonts w:hint="eastAsia" w:ascii="Times New Roman" w:hAnsi="Times New Roman" w:cs="宋体"/>
          <w:color w:val="auto"/>
          <w:sz w:val="28"/>
          <w:szCs w:val="28"/>
        </w:rPr>
        <w:t>的</w:t>
      </w:r>
      <w:r>
        <w:rPr>
          <w:rFonts w:ascii="Times New Roman" w:hAnsi="Times New Roman" w:cs="Times New Roman"/>
          <w:color w:val="auto"/>
          <w:sz w:val="28"/>
          <w:szCs w:val="28"/>
        </w:rPr>
        <w:t>0#</w:t>
      </w:r>
      <w:r>
        <w:rPr>
          <w:rFonts w:hint="eastAsia" w:ascii="Times New Roman" w:hAnsi="Times New Roman" w:cs="宋体"/>
          <w:color w:val="auto"/>
          <w:sz w:val="28"/>
          <w:szCs w:val="28"/>
        </w:rPr>
        <w:t>柴油卧式</w:t>
      </w:r>
      <w:r>
        <w:rPr>
          <w:rFonts w:ascii="Times New Roman" w:hAnsi="Times New Roman" w:cs="Times New Roman"/>
          <w:color w:val="auto"/>
          <w:sz w:val="28"/>
          <w:szCs w:val="28"/>
        </w:rPr>
        <w:t>SF</w:t>
      </w:r>
      <w:r>
        <w:rPr>
          <w:rFonts w:hint="eastAsia" w:ascii="Times New Roman" w:hAnsi="Times New Roman" w:cs="宋体"/>
          <w:color w:val="auto"/>
          <w:sz w:val="28"/>
          <w:szCs w:val="28"/>
        </w:rPr>
        <w:t>双层储罐、</w:t>
      </w:r>
      <w:r>
        <w:rPr>
          <w:rFonts w:ascii="Times New Roman" w:hAnsi="Times New Roman" w:cs="Times New Roman"/>
          <w:color w:val="auto"/>
          <w:sz w:val="28"/>
          <w:szCs w:val="28"/>
        </w:rPr>
        <w:t>1</w:t>
      </w:r>
      <w:r>
        <w:rPr>
          <w:rFonts w:hint="eastAsia" w:ascii="Times New Roman" w:hAnsi="Times New Roman" w:cs="宋体"/>
          <w:color w:val="auto"/>
          <w:sz w:val="28"/>
          <w:szCs w:val="28"/>
        </w:rPr>
        <w:t>个</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0m³</w:t>
      </w:r>
      <w:r>
        <w:rPr>
          <w:rFonts w:hint="eastAsia" w:ascii="Times New Roman" w:hAnsi="Times New Roman" w:cs="宋体"/>
          <w:color w:val="auto"/>
          <w:sz w:val="28"/>
          <w:szCs w:val="28"/>
        </w:rPr>
        <w:t>的</w:t>
      </w:r>
      <w:r>
        <w:rPr>
          <w:rFonts w:ascii="Times New Roman" w:hAnsi="Times New Roman" w:cs="Times New Roman"/>
          <w:color w:val="auto"/>
          <w:sz w:val="28"/>
          <w:szCs w:val="28"/>
        </w:rPr>
        <w:t>95#</w:t>
      </w:r>
      <w:r>
        <w:rPr>
          <w:rFonts w:hint="eastAsia" w:ascii="Times New Roman" w:hAnsi="Times New Roman" w:cs="宋体"/>
          <w:color w:val="auto"/>
          <w:sz w:val="28"/>
          <w:szCs w:val="28"/>
        </w:rPr>
        <w:t>汽油卧式</w:t>
      </w:r>
      <w:r>
        <w:rPr>
          <w:rFonts w:ascii="Times New Roman" w:hAnsi="Times New Roman" w:cs="Times New Roman"/>
          <w:color w:val="auto"/>
          <w:sz w:val="28"/>
          <w:szCs w:val="28"/>
        </w:rPr>
        <w:t>SF</w:t>
      </w:r>
      <w:r>
        <w:rPr>
          <w:rFonts w:hint="eastAsia" w:ascii="Times New Roman" w:hAnsi="Times New Roman" w:cs="宋体"/>
          <w:color w:val="auto"/>
          <w:sz w:val="28"/>
          <w:szCs w:val="28"/>
        </w:rPr>
        <w:t>双层储罐、</w:t>
      </w:r>
      <w:r>
        <w:rPr>
          <w:rFonts w:hint="eastAsia" w:ascii="Times New Roman" w:hAnsi="Times New Roman" w:cs="Times New Roman"/>
          <w:color w:val="auto"/>
          <w:sz w:val="28"/>
          <w:szCs w:val="28"/>
          <w:lang w:val="en-US" w:eastAsia="zh-CN"/>
        </w:rPr>
        <w:t>1</w:t>
      </w:r>
      <w:r>
        <w:rPr>
          <w:rFonts w:hint="eastAsia" w:ascii="Times New Roman" w:hAnsi="Times New Roman" w:cs="宋体"/>
          <w:color w:val="auto"/>
          <w:sz w:val="28"/>
          <w:szCs w:val="28"/>
        </w:rPr>
        <w:t>个</w:t>
      </w:r>
      <w:r>
        <w:rPr>
          <w:rFonts w:hint="eastAsia" w:ascii="Times New Roman" w:hAnsi="Times New Roman" w:cs="Times New Roman"/>
          <w:color w:val="auto"/>
          <w:sz w:val="28"/>
          <w:szCs w:val="28"/>
          <w:lang w:val="en-US" w:eastAsia="zh-CN"/>
        </w:rPr>
        <w:t>50</w:t>
      </w:r>
      <w:r>
        <w:rPr>
          <w:rFonts w:ascii="Times New Roman" w:hAnsi="Times New Roman" w:cs="Times New Roman"/>
          <w:color w:val="auto"/>
          <w:sz w:val="28"/>
          <w:szCs w:val="28"/>
        </w:rPr>
        <w:t>m³</w:t>
      </w:r>
      <w:r>
        <w:rPr>
          <w:rFonts w:hint="eastAsia" w:ascii="Times New Roman" w:hAnsi="Times New Roman" w:cs="宋体"/>
          <w:color w:val="auto"/>
          <w:sz w:val="28"/>
          <w:szCs w:val="28"/>
        </w:rPr>
        <w:t>的</w:t>
      </w:r>
      <w:r>
        <w:rPr>
          <w:rFonts w:ascii="Times New Roman" w:hAnsi="Times New Roman" w:cs="Times New Roman"/>
          <w:color w:val="auto"/>
          <w:sz w:val="28"/>
          <w:szCs w:val="28"/>
        </w:rPr>
        <w:t>92#</w:t>
      </w:r>
      <w:r>
        <w:rPr>
          <w:rFonts w:hint="eastAsia" w:ascii="Times New Roman" w:hAnsi="Times New Roman" w:cs="宋体"/>
          <w:color w:val="auto"/>
          <w:sz w:val="28"/>
          <w:szCs w:val="28"/>
        </w:rPr>
        <w:t>汽油卧式</w:t>
      </w:r>
      <w:r>
        <w:rPr>
          <w:rFonts w:ascii="Times New Roman" w:hAnsi="Times New Roman" w:cs="Times New Roman"/>
          <w:color w:val="auto"/>
          <w:sz w:val="28"/>
          <w:szCs w:val="28"/>
        </w:rPr>
        <w:t>SF</w:t>
      </w:r>
      <w:r>
        <w:rPr>
          <w:rFonts w:hint="eastAsia" w:ascii="Times New Roman" w:hAnsi="Times New Roman" w:cs="宋体"/>
          <w:color w:val="auto"/>
          <w:sz w:val="28"/>
          <w:szCs w:val="28"/>
        </w:rPr>
        <w:t>双层储罐。</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）加油区共</w:t>
      </w:r>
      <w:r>
        <w:rPr>
          <w:rFonts w:ascii="Times New Roman" w:hAnsi="Times New Roman" w:cs="Times New Roman"/>
          <w:color w:val="auto"/>
          <w:sz w:val="28"/>
          <w:szCs w:val="28"/>
        </w:rPr>
        <w:t>4</w:t>
      </w:r>
      <w:r>
        <w:rPr>
          <w:rFonts w:hint="eastAsia" w:ascii="Times New Roman" w:hAnsi="Times New Roman" w:cs="宋体"/>
          <w:color w:val="auto"/>
          <w:sz w:val="28"/>
          <w:szCs w:val="28"/>
        </w:rPr>
        <w:t>个加油岛，</w:t>
      </w:r>
      <w:r>
        <w:rPr>
          <w:rFonts w:ascii="Times New Roman" w:hAnsi="Times New Roman" w:cs="Times New Roman"/>
          <w:color w:val="auto"/>
          <w:sz w:val="28"/>
          <w:szCs w:val="28"/>
        </w:rPr>
        <w:t>4</w:t>
      </w:r>
      <w:r>
        <w:rPr>
          <w:rFonts w:hint="eastAsia" w:ascii="Times New Roman" w:hAnsi="Times New Roman" w:cs="宋体"/>
          <w:color w:val="auto"/>
          <w:sz w:val="28"/>
          <w:szCs w:val="28"/>
        </w:rPr>
        <w:t>台加油机，均为托肯恒山科技（广州）有限公司生产税控燃油加油机，流量为</w:t>
      </w:r>
      <w:r>
        <w:rPr>
          <w:rFonts w:hint="eastAsia" w:ascii="Times New Roman" w:hAnsi="Times New Roman" w:cs="Times New Roman"/>
          <w:color w:val="auto"/>
          <w:sz w:val="28"/>
          <w:szCs w:val="28"/>
          <w:lang w:val="en-US" w:eastAsia="zh-CN"/>
        </w:rPr>
        <w:t>4.5</w:t>
      </w:r>
      <w:r>
        <w:rPr>
          <w:rFonts w:ascii="Times New Roman" w:hAnsi="Times New Roman" w:cs="Times New Roman"/>
          <w:color w:val="auto"/>
          <w:sz w:val="28"/>
          <w:szCs w:val="28"/>
        </w:rPr>
        <w:t>~</w:t>
      </w:r>
      <w:r>
        <w:rPr>
          <w:rFonts w:hint="eastAsia" w:ascii="Times New Roman" w:hAnsi="Times New Roman" w:cs="Times New Roman"/>
          <w:color w:val="auto"/>
          <w:sz w:val="28"/>
          <w:szCs w:val="28"/>
          <w:lang w:val="en-US" w:eastAsia="zh-CN"/>
        </w:rPr>
        <w:t>45</w:t>
      </w:r>
      <w:r>
        <w:rPr>
          <w:rFonts w:ascii="Times New Roman" w:hAnsi="Times New Roman" w:cs="Times New Roman"/>
          <w:color w:val="auto"/>
          <w:sz w:val="28"/>
          <w:szCs w:val="28"/>
        </w:rPr>
        <w:t>L/min</w:t>
      </w:r>
      <w:r>
        <w:rPr>
          <w:rFonts w:hint="eastAsia" w:ascii="Times New Roman" w:hAnsi="Times New Roman" w:cs="宋体"/>
          <w:color w:val="auto"/>
          <w:sz w:val="28"/>
          <w:szCs w:val="28"/>
        </w:rPr>
        <w:t>，电压等级</w:t>
      </w:r>
      <w:r>
        <w:rPr>
          <w:rFonts w:hint="eastAsia" w:ascii="Times New Roman" w:hAnsi="Times New Roman" w:cs="Times New Roman"/>
          <w:color w:val="auto"/>
          <w:sz w:val="28"/>
          <w:szCs w:val="28"/>
          <w:lang w:val="en-US" w:eastAsia="zh-CN"/>
        </w:rPr>
        <w:t>220</w:t>
      </w:r>
      <w:r>
        <w:rPr>
          <w:rFonts w:ascii="Times New Roman" w:hAnsi="Times New Roman" w:cs="Times New Roman"/>
          <w:color w:val="auto"/>
          <w:sz w:val="28"/>
          <w:szCs w:val="28"/>
        </w:rPr>
        <w:t>V</w:t>
      </w:r>
      <w:r>
        <w:rPr>
          <w:rFonts w:hint="eastAsia" w:ascii="Times New Roman" w:hAnsi="Times New Roman" w:cs="宋体"/>
          <w:color w:val="auto"/>
          <w:sz w:val="28"/>
          <w:szCs w:val="28"/>
        </w:rPr>
        <w:t>，防爆标志为</w:t>
      </w:r>
      <w:r>
        <w:rPr>
          <w:rFonts w:ascii="Times New Roman" w:hAnsi="Times New Roman" w:cs="Times New Roman"/>
          <w:color w:val="auto"/>
          <w:sz w:val="28"/>
          <w:szCs w:val="28"/>
        </w:rPr>
        <w:t>Exdmb</w:t>
      </w:r>
      <w:r>
        <w:rPr>
          <w:rFonts w:hint="eastAsia" w:ascii="宋体" w:hAnsi="宋体" w:cs="宋体"/>
          <w:color w:val="auto"/>
          <w:sz w:val="28"/>
          <w:szCs w:val="28"/>
        </w:rPr>
        <w:t>Ⅱ</w:t>
      </w:r>
      <w:r>
        <w:rPr>
          <w:rFonts w:ascii="Times New Roman" w:hAnsi="Times New Roman" w:cs="Times New Roman"/>
          <w:color w:val="auto"/>
          <w:sz w:val="28"/>
          <w:szCs w:val="28"/>
        </w:rPr>
        <w:t>AT3Gb</w:t>
      </w:r>
      <w:r>
        <w:rPr>
          <w:rFonts w:hint="eastAsia" w:ascii="Times New Roman" w:hAnsi="Times New Roman" w:cs="宋体"/>
          <w:color w:val="auto"/>
          <w:sz w:val="28"/>
          <w:szCs w:val="28"/>
        </w:rPr>
        <w:t>。</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加油区罩棚高</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m</w:t>
      </w:r>
      <w:r>
        <w:rPr>
          <w:rFonts w:hint="eastAsia" w:ascii="Times New Roman" w:hAnsi="Times New Roman" w:cs="宋体"/>
          <w:color w:val="auto"/>
          <w:sz w:val="28"/>
          <w:szCs w:val="28"/>
        </w:rPr>
        <w:t>，罩棚柱为钢立柱，</w:t>
      </w:r>
      <w:r>
        <w:rPr>
          <w:rFonts w:hint="eastAsia" w:ascii="Times New Roman" w:hAnsi="Times New Roman" w:cs="宋体"/>
          <w:color w:val="auto"/>
          <w:sz w:val="28"/>
          <w:szCs w:val="28"/>
          <w:lang w:val="en-US" w:eastAsia="zh-CN"/>
        </w:rPr>
        <w:t>罩棚顶棚采用型钢结构</w:t>
      </w:r>
      <w:r>
        <w:rPr>
          <w:rFonts w:hint="eastAsia" w:ascii="Times New Roman" w:hAnsi="Times New Roman" w:cs="宋体"/>
          <w:color w:val="auto"/>
          <w:sz w:val="28"/>
          <w:szCs w:val="28"/>
          <w:lang w:eastAsia="zh-CN"/>
        </w:rPr>
        <w:t>，外刷防火涂料</w:t>
      </w:r>
      <w:r>
        <w:rPr>
          <w:rFonts w:hint="eastAsia" w:ascii="Times New Roman" w:hAnsi="Times New Roman" w:cs="宋体"/>
          <w:color w:val="auto"/>
          <w:sz w:val="28"/>
          <w:szCs w:val="28"/>
        </w:rPr>
        <w:t>。</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）站房一座，</w:t>
      </w:r>
      <w:r>
        <w:rPr>
          <w:rFonts w:hint="eastAsia" w:ascii="Times New Roman" w:hAnsi="Times New Roman" w:cs="宋体"/>
          <w:color w:val="auto"/>
          <w:sz w:val="28"/>
          <w:szCs w:val="28"/>
          <w:lang w:val="en-US" w:eastAsia="zh-CN"/>
        </w:rPr>
        <w:t>单</w:t>
      </w:r>
      <w:r>
        <w:rPr>
          <w:rFonts w:hint="eastAsia" w:ascii="Times New Roman" w:hAnsi="Times New Roman" w:cs="宋体"/>
          <w:color w:val="auto"/>
          <w:sz w:val="28"/>
          <w:szCs w:val="28"/>
        </w:rPr>
        <w:t>层建筑，</w:t>
      </w:r>
      <w:r>
        <w:rPr>
          <w:rFonts w:hint="eastAsia" w:ascii="Times New Roman" w:hAnsi="Times New Roman" w:cs="宋体"/>
          <w:color w:val="auto"/>
          <w:sz w:val="28"/>
          <w:szCs w:val="28"/>
          <w:lang w:val="en-US" w:eastAsia="zh-CN"/>
        </w:rPr>
        <w:t xml:space="preserve"> </w:t>
      </w:r>
      <w:r>
        <w:rPr>
          <w:rFonts w:hint="eastAsia" w:ascii="Times New Roman" w:hAnsi="Times New Roman" w:cs="宋体"/>
          <w:color w:val="auto"/>
          <w:sz w:val="28"/>
          <w:szCs w:val="28"/>
        </w:rPr>
        <w:t>位于站区的东南部，东西长</w:t>
      </w:r>
      <w:r>
        <w:rPr>
          <w:rFonts w:hint="eastAsia" w:ascii="Times New Roman" w:hAnsi="Times New Roman" w:cs="Times New Roman"/>
          <w:color w:val="auto"/>
          <w:sz w:val="28"/>
          <w:szCs w:val="28"/>
          <w:lang w:val="en-US" w:eastAsia="zh-CN"/>
        </w:rPr>
        <w:t>23.9</w:t>
      </w:r>
      <w:r>
        <w:rPr>
          <w:rFonts w:ascii="Times New Roman" w:hAnsi="Times New Roman" w:cs="Times New Roman"/>
          <w:color w:val="auto"/>
          <w:sz w:val="28"/>
          <w:szCs w:val="28"/>
        </w:rPr>
        <w:t>m</w:t>
      </w:r>
      <w:r>
        <w:rPr>
          <w:rFonts w:hint="eastAsia" w:ascii="Times New Roman" w:hAnsi="Times New Roman" w:cs="宋体"/>
          <w:color w:val="auto"/>
          <w:sz w:val="28"/>
          <w:szCs w:val="28"/>
        </w:rPr>
        <w:t>，南北宽</w:t>
      </w:r>
      <w:r>
        <w:rPr>
          <w:rFonts w:hint="eastAsia" w:ascii="Times New Roman" w:hAnsi="Times New Roman" w:cs="Times New Roman"/>
          <w:color w:val="auto"/>
          <w:sz w:val="28"/>
          <w:szCs w:val="28"/>
          <w:lang w:val="en-US" w:eastAsia="zh-CN"/>
        </w:rPr>
        <w:t>7.1</w:t>
      </w:r>
      <w:r>
        <w:rPr>
          <w:rFonts w:ascii="Times New Roman" w:hAnsi="Times New Roman" w:cs="Times New Roman"/>
          <w:color w:val="auto"/>
          <w:sz w:val="28"/>
          <w:szCs w:val="28"/>
        </w:rPr>
        <w:t>m</w:t>
      </w:r>
      <w:r>
        <w:rPr>
          <w:rFonts w:hint="eastAsia" w:ascii="Times New Roman" w:hAnsi="Times New Roman" w:cs="宋体"/>
          <w:color w:val="auto"/>
          <w:sz w:val="28"/>
          <w:szCs w:val="28"/>
        </w:rPr>
        <w:t>，设有便利店、活动室、淋浴间、前室、男卫、女卫、站长室、值班室、储藏间、走廊、配电间等功能开间。配电间设置在站房的西侧。</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加油站的北侧、西侧和东侧均设置</w:t>
      </w:r>
      <w:r>
        <w:rPr>
          <w:rFonts w:ascii="Times New Roman" w:hAnsi="Times New Roman" w:cs="Times New Roman"/>
          <w:color w:val="auto"/>
          <w:sz w:val="28"/>
          <w:szCs w:val="28"/>
        </w:rPr>
        <w:t>2.2m</w:t>
      </w:r>
      <w:r>
        <w:rPr>
          <w:rFonts w:hint="eastAsia" w:ascii="Times New Roman" w:hAnsi="Times New Roman" w:cs="宋体"/>
          <w:color w:val="auto"/>
          <w:sz w:val="28"/>
          <w:szCs w:val="28"/>
        </w:rPr>
        <w:t>高的围墙。</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具体见表</w:t>
      </w:r>
      <w:r>
        <w:rPr>
          <w:rFonts w:ascii="Times New Roman" w:hAnsi="Times New Roman" w:cs="Times New Roman"/>
          <w:color w:val="auto"/>
          <w:sz w:val="28"/>
          <w:szCs w:val="28"/>
        </w:rPr>
        <w:t>2-4</w:t>
      </w:r>
      <w:r>
        <w:rPr>
          <w:rFonts w:hint="eastAsia" w:ascii="Times New Roman" w:hAnsi="Times New Roman" w:cs="宋体"/>
          <w:color w:val="auto"/>
          <w:sz w:val="28"/>
          <w:szCs w:val="28"/>
        </w:rPr>
        <w:t>和表</w:t>
      </w:r>
      <w:r>
        <w:rPr>
          <w:rFonts w:ascii="Times New Roman" w:hAnsi="Times New Roman" w:cs="Times New Roman"/>
          <w:color w:val="auto"/>
          <w:sz w:val="28"/>
          <w:szCs w:val="28"/>
        </w:rPr>
        <w:t>2-5</w:t>
      </w:r>
    </w:p>
    <w:p>
      <w:pPr>
        <w:pStyle w:val="2"/>
        <w:rPr>
          <w:rFonts w:ascii="Times New Roman" w:hAnsi="Times New Roman" w:cs="Times New Roman"/>
          <w:color w:val="auto"/>
          <w:sz w:val="28"/>
          <w:szCs w:val="28"/>
        </w:rPr>
      </w:pPr>
    </w:p>
    <w:p>
      <w:pPr>
        <w:pStyle w:val="2"/>
        <w:rPr>
          <w:rFonts w:ascii="Times New Roman" w:hAnsi="Times New Roman" w:cs="Times New Roman"/>
          <w:color w:val="auto"/>
          <w:sz w:val="28"/>
          <w:szCs w:val="28"/>
        </w:rPr>
      </w:pPr>
    </w:p>
    <w:p>
      <w:pPr>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 xml:space="preserve">2-4  </w:t>
      </w:r>
      <w:r>
        <w:rPr>
          <w:rFonts w:hint="eastAsia" w:ascii="Times New Roman" w:hAnsi="Times New Roman" w:cs="宋体"/>
          <w:b/>
          <w:bCs/>
          <w:color w:val="auto"/>
          <w:sz w:val="24"/>
          <w:szCs w:val="24"/>
        </w:rPr>
        <w:t>主要设备一览表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997"/>
        <w:gridCol w:w="1688"/>
        <w:gridCol w:w="799"/>
        <w:gridCol w:w="894"/>
        <w:gridCol w:w="2197"/>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序号</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设备名称</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规格型号</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数量</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单位</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生产厂家</w:t>
            </w: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备</w:t>
            </w:r>
            <w:r>
              <w:rPr>
                <w:rFonts w:ascii="Times New Roman" w:hAnsi="Times New Roman" w:cs="Times New Roman"/>
                <w:color w:val="auto"/>
              </w:rPr>
              <w:t xml:space="preserve">  </w:t>
            </w:r>
            <w:r>
              <w:rPr>
                <w:rFonts w:hint="eastAsia" w:ascii="Times New Roman" w:hAnsi="Times New Roman" w:cs="宋体"/>
                <w:color w:val="auto"/>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1</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加油机</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TH224BH</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4</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台</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托肯恒山科技（广州）有限公司</w:t>
            </w: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Merge w:val="restar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双层埋地储油罐</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color w:val="auto"/>
                <w:lang w:val="en-US" w:eastAsia="zh-CN"/>
              </w:rPr>
            </w:pPr>
            <w:r>
              <w:rPr>
                <w:rFonts w:ascii="Times New Roman" w:hAnsi="Times New Roman" w:cs="Times New Roman"/>
                <w:color w:val="auto"/>
              </w:rPr>
              <w:t>SF</w:t>
            </w:r>
            <w:r>
              <w:rPr>
                <w:rFonts w:hint="eastAsia" w:ascii="Times New Roman" w:hAnsi="Times New Roman" w:cs="宋体"/>
                <w:color w:val="auto"/>
              </w:rPr>
              <w:t>型</w:t>
            </w:r>
            <w:r>
              <w:rPr>
                <w:rFonts w:hint="eastAsia" w:ascii="Times New Roman" w:hAnsi="Times New Roman" w:cs="宋体"/>
                <w:color w:val="auto"/>
                <w:lang w:val="en-US" w:eastAsia="zh-CN"/>
              </w:rPr>
              <w:t>50</w:t>
            </w:r>
            <w:r>
              <w:rPr>
                <w:rFonts w:ascii="Times New Roman" w:hAnsi="Times New Roman" w:cs="Times New Roman"/>
                <w:color w:val="auto"/>
              </w:rPr>
              <w:t>m</w:t>
            </w:r>
            <w:r>
              <w:rPr>
                <w:rFonts w:ascii="Times New Roman" w:hAnsi="Times New Roman" w:cs="Times New Roman"/>
                <w:color w:val="auto"/>
                <w:vertAlign w:val="superscript"/>
              </w:rPr>
              <w:t>3</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Times New Roman"/>
                <w:color w:val="auto"/>
                <w:lang w:val="en-US" w:eastAsia="zh-CN"/>
              </w:rPr>
              <w:t>1</w:t>
            </w:r>
            <w:r>
              <w:rPr>
                <w:rFonts w:ascii="Times New Roman" w:hAnsi="Times New Roman" w:cs="Times New Roman"/>
                <w:color w:val="auto"/>
              </w:rPr>
              <w:t xml:space="preserve">     </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个</w:t>
            </w:r>
          </w:p>
        </w:tc>
        <w:tc>
          <w:tcPr>
            <w:tcW w:w="1182" w:type="pct"/>
            <w:vMerge w:val="restar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lang w:eastAsia="zh-CN"/>
              </w:rPr>
            </w:pPr>
            <w:r>
              <w:rPr>
                <w:rFonts w:hint="eastAsia" w:ascii="Times New Roman" w:hAnsi="Times New Roman" w:cs="宋体"/>
                <w:color w:val="auto"/>
                <w:lang w:eastAsia="zh-CN"/>
              </w:rPr>
              <w:t>江西省万隆实业有限公司</w:t>
            </w: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Times New Roman"/>
                <w:color w:val="auto"/>
              </w:rPr>
              <w:t>0</w:t>
            </w:r>
            <w:r>
              <w:rPr>
                <w:rFonts w:ascii="Times New Roman" w:hAnsi="Times New Roman" w:cs="Times New Roman"/>
                <w:color w:val="auto"/>
              </w:rPr>
              <w:t>#</w:t>
            </w:r>
            <w:r>
              <w:rPr>
                <w:rFonts w:hint="eastAsia" w:ascii="Times New Roman" w:hAnsi="Times New Roman" w:cs="Times New Roman"/>
                <w:color w:val="auto"/>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Merge w:val="continue"/>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双层埋地储油罐</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SF</w:t>
            </w:r>
            <w:r>
              <w:rPr>
                <w:rFonts w:hint="eastAsia" w:ascii="Times New Roman" w:hAnsi="Times New Roman" w:cs="宋体"/>
                <w:color w:val="auto"/>
              </w:rPr>
              <w:t>型</w:t>
            </w:r>
            <w:r>
              <w:rPr>
                <w:rFonts w:hint="eastAsia" w:ascii="Times New Roman" w:hAnsi="Times New Roman" w:cs="宋体"/>
                <w:color w:val="auto"/>
                <w:lang w:val="en-US" w:eastAsia="zh-CN"/>
              </w:rPr>
              <w:t>50</w:t>
            </w:r>
            <w:r>
              <w:rPr>
                <w:rFonts w:ascii="Times New Roman" w:hAnsi="Times New Roman" w:cs="Times New Roman"/>
                <w:color w:val="auto"/>
              </w:rPr>
              <w:t>m</w:t>
            </w:r>
            <w:r>
              <w:rPr>
                <w:rFonts w:ascii="Times New Roman" w:hAnsi="Times New Roman" w:cs="Times New Roman"/>
                <w:color w:val="auto"/>
                <w:vertAlign w:val="superscript"/>
              </w:rPr>
              <w:t>3</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宋体"/>
                <w:color w:val="auto"/>
              </w:rPr>
            </w:pPr>
            <w:r>
              <w:rPr>
                <w:rFonts w:hint="eastAsia" w:ascii="Times New Roman" w:hAnsi="Times New Roman" w:cs="宋体"/>
                <w:color w:val="auto"/>
              </w:rPr>
              <w:t>个</w:t>
            </w:r>
          </w:p>
        </w:tc>
        <w:tc>
          <w:tcPr>
            <w:tcW w:w="1182" w:type="pct"/>
            <w:vMerge w:val="continue"/>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宋体"/>
                <w:color w:val="auto"/>
              </w:rPr>
            </w:pP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Times New Roman"/>
                <w:color w:val="auto"/>
              </w:rPr>
              <w:t>9</w:t>
            </w:r>
            <w:r>
              <w:rPr>
                <w:rFonts w:ascii="Times New Roman" w:hAnsi="Times New Roman" w:cs="Times New Roman"/>
                <w:color w:val="auto"/>
              </w:rPr>
              <w:t>2#</w:t>
            </w:r>
            <w:r>
              <w:rPr>
                <w:rFonts w:hint="eastAsia" w:ascii="Times New Roman" w:hAnsi="Times New Roman" w:cs="Times New Roman"/>
                <w:color w:val="auto"/>
              </w:rPr>
              <w:t>汽油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Merge w:val="continue"/>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双层埋地储油罐</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SF</w:t>
            </w:r>
            <w:r>
              <w:rPr>
                <w:rFonts w:hint="eastAsia" w:ascii="Times New Roman" w:hAnsi="Times New Roman" w:cs="宋体"/>
                <w:color w:val="auto"/>
              </w:rPr>
              <w:t>型</w:t>
            </w:r>
            <w:r>
              <w:rPr>
                <w:rFonts w:hint="eastAsia" w:ascii="Times New Roman" w:hAnsi="Times New Roman" w:cs="宋体"/>
                <w:color w:val="auto"/>
                <w:lang w:val="en-US" w:eastAsia="zh-CN"/>
              </w:rPr>
              <w:t>30</w:t>
            </w:r>
            <w:r>
              <w:rPr>
                <w:rFonts w:ascii="Times New Roman" w:hAnsi="Times New Roman" w:cs="Times New Roman"/>
                <w:color w:val="auto"/>
              </w:rPr>
              <w:t>m</w:t>
            </w:r>
            <w:r>
              <w:rPr>
                <w:rFonts w:ascii="Times New Roman" w:hAnsi="Times New Roman" w:cs="Times New Roman"/>
                <w:color w:val="auto"/>
                <w:vertAlign w:val="superscript"/>
              </w:rPr>
              <w:t>3</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个</w:t>
            </w:r>
          </w:p>
        </w:tc>
        <w:tc>
          <w:tcPr>
            <w:tcW w:w="1182" w:type="pct"/>
            <w:vMerge w:val="continue"/>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宋体"/>
                <w:color w:val="auto"/>
              </w:rPr>
            </w:pP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Times New Roman"/>
                <w:color w:val="auto"/>
              </w:rPr>
            </w:pPr>
            <w:r>
              <w:rPr>
                <w:rFonts w:hint="eastAsia" w:ascii="Times New Roman" w:hAnsi="Times New Roman" w:cs="Times New Roman"/>
                <w:color w:val="auto"/>
              </w:rPr>
              <w:t>9</w:t>
            </w:r>
            <w:r>
              <w:rPr>
                <w:rFonts w:hint="eastAsia" w:ascii="Times New Roman" w:hAnsi="Times New Roman" w:cs="Times New Roman"/>
                <w:color w:val="auto"/>
                <w:lang w:val="en-US" w:eastAsia="zh-CN"/>
              </w:rPr>
              <w:t>5</w:t>
            </w:r>
            <w:r>
              <w:rPr>
                <w:rFonts w:ascii="Times New Roman" w:hAnsi="Times New Roman" w:cs="Times New Roman"/>
                <w:color w:val="auto"/>
              </w:rPr>
              <w:t>#</w:t>
            </w:r>
            <w:r>
              <w:rPr>
                <w:rFonts w:hint="eastAsia" w:ascii="Times New Roman" w:hAnsi="Times New Roman" w:cs="Times New Roman"/>
                <w:color w:val="auto"/>
              </w:rPr>
              <w:t>汽油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3</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液位监控仪</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PD-SP1；TLS-4液位仪及防爆磁致伸缩探棒3根</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台</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lang w:eastAsia="zh-CN"/>
              </w:rPr>
            </w:pPr>
            <w:r>
              <w:rPr>
                <w:rFonts w:hint="eastAsia" w:ascii="Times New Roman" w:hAnsi="Times New Roman" w:cs="宋体"/>
                <w:color w:val="auto"/>
                <w:lang w:eastAsia="zh-CN"/>
              </w:rPr>
              <w:t>澳科仪器</w:t>
            </w: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4</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宋体" w:hAnsi="宋体" w:cs="宋体"/>
                <w:color w:val="auto"/>
                <w:szCs w:val="21"/>
                <w:highlight w:val="none"/>
              </w:rPr>
              <w:t>渗漏检测系统</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控制器及渗漏探测器</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套</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5</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防静电报警仪</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color w:val="auto"/>
                <w:lang w:val="en-US" w:eastAsia="zh-CN"/>
              </w:rPr>
            </w:pPr>
            <w:r>
              <w:rPr>
                <w:rFonts w:hint="eastAsia" w:ascii="宋体" w:hAnsi="宋体" w:cs="宋体"/>
                <w:color w:val="auto"/>
                <w:szCs w:val="21"/>
                <w:highlight w:val="none"/>
              </w:rPr>
              <w:t>SA-MF</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台</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6</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视频监控系统</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宋体" w:hAnsi="宋体" w:eastAsia="宋体" w:cs="宋体"/>
                <w:color w:val="auto"/>
                <w:szCs w:val="21"/>
                <w:highlight w:val="none"/>
              </w:rPr>
              <w:t>多路视频服务器硬盘录像机及室内、外一体化摄像机视频监控系统图像许储存90天</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套</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7</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潜油泵</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最大流量</w:t>
            </w:r>
            <w:r>
              <w:rPr>
                <w:rFonts w:ascii="Times New Roman" w:hAnsi="Times New Roman" w:cs="Times New Roman"/>
                <w:color w:val="auto"/>
              </w:rPr>
              <w:t>200L/min</w:t>
            </w:r>
            <w:r>
              <w:rPr>
                <w:rFonts w:hint="eastAsia" w:ascii="Times New Roman" w:hAnsi="Times New Roman" w:cs="宋体"/>
                <w:color w:val="auto"/>
              </w:rPr>
              <w:t>，最大扬程</w:t>
            </w:r>
            <w:r>
              <w:rPr>
                <w:rFonts w:ascii="Times New Roman" w:hAnsi="Times New Roman" w:cs="Times New Roman"/>
                <w:color w:val="auto"/>
              </w:rPr>
              <w:t xml:space="preserve"> 20m</w:t>
            </w:r>
            <w:r>
              <w:rPr>
                <w:rFonts w:hint="eastAsia" w:ascii="Times New Roman" w:hAnsi="Times New Roman" w:cs="宋体"/>
                <w:color w:val="auto"/>
              </w:rPr>
              <w:t>，防爆电机</w:t>
            </w:r>
            <w:r>
              <w:rPr>
                <w:rFonts w:ascii="Times New Roman" w:hAnsi="Times New Roman" w:cs="Times New Roman"/>
                <w:color w:val="auto"/>
              </w:rPr>
              <w:t>N=0.75KW</w:t>
            </w:r>
            <w:r>
              <w:rPr>
                <w:rFonts w:hint="eastAsia" w:ascii="Times New Roman" w:hAnsi="Times New Roman" w:cs="宋体"/>
                <w:color w:val="auto"/>
              </w:rPr>
              <w:t>。</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5</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台</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ascii="Times New Roman" w:hAnsi="Times New Roman" w:cs="Times New Roman"/>
                <w:color w:val="auto"/>
              </w:rPr>
              <w:t>8</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lang w:val="en-US" w:eastAsia="zh-CN"/>
              </w:rPr>
              <w:t>尿素加注一体机</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color w:val="auto"/>
                <w:lang w:val="en-US" w:eastAsia="zh-CN"/>
              </w:rPr>
              <w:t>SKADZ11K，最大容积</w:t>
            </w:r>
            <w:r>
              <w:rPr>
                <w:rFonts w:hint="eastAsia"/>
                <w:color w:val="auto"/>
              </w:rPr>
              <w:t>1</w:t>
            </w:r>
            <w:r>
              <w:rPr>
                <w:rFonts w:hint="eastAsia"/>
                <w:color w:val="auto"/>
                <w:lang w:val="en-US" w:eastAsia="zh-CN"/>
              </w:rPr>
              <w:t>.2</w:t>
            </w:r>
            <w:r>
              <w:rPr>
                <w:rFonts w:hint="eastAsia"/>
                <w:color w:val="auto"/>
              </w:rPr>
              <w:t>m</w:t>
            </w:r>
            <w:r>
              <w:rPr>
                <w:color w:val="auto"/>
                <w:vertAlign w:val="superscript"/>
              </w:rPr>
              <w:t>3</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Times New Roman"/>
                <w:color w:val="auto"/>
                <w:lang w:val="en-US" w:eastAsia="zh-CN"/>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hAnsi="Times New Roman" w:cs="宋体"/>
                <w:color w:val="auto"/>
              </w:rPr>
              <w:t>台</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r>
              <w:rPr>
                <w:rFonts w:hint="eastAsia" w:ascii="Times New Roman" w:eastAsia="宋体"/>
                <w:color w:val="auto"/>
                <w:lang w:val="en-US" w:eastAsia="zh-CN"/>
              </w:rPr>
              <w:t>北京三盈联合石油技术有限公司</w:t>
            </w: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宋体"/>
                <w:color w:val="auto"/>
                <w:lang w:val="en-US" w:eastAsia="zh-CN"/>
              </w:rPr>
            </w:pPr>
            <w:r>
              <w:rPr>
                <w:rFonts w:hint="eastAsia" w:ascii="宋体" w:hAnsi="宋体" w:cs="宋体"/>
                <w:color w:val="auto"/>
                <w:szCs w:val="21"/>
                <w:highlight w:val="none"/>
              </w:rPr>
              <w:t>人体静电释放装置</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宋体"/>
                <w:color w:val="auto"/>
              </w:rPr>
            </w:pPr>
            <w:r>
              <w:rPr>
                <w:rFonts w:hint="eastAsia" w:ascii="宋体" w:hAnsi="宋体" w:cs="宋体"/>
                <w:color w:val="auto"/>
                <w:szCs w:val="21"/>
                <w:highlight w:val="none"/>
              </w:rPr>
              <w:t>PS-A</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宋体"/>
                <w:color w:val="auto"/>
              </w:rPr>
            </w:pPr>
            <w:r>
              <w:rPr>
                <w:rFonts w:hint="eastAsia" w:ascii="Times New Roman" w:hAnsi="Times New Roman" w:cs="宋体"/>
                <w:color w:val="auto"/>
                <w:lang w:val="en-US" w:eastAsia="zh-CN"/>
              </w:rPr>
              <w:t>套</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10</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宋体"/>
                <w:color w:val="auto"/>
                <w:lang w:val="en-US" w:eastAsia="zh-CN"/>
              </w:rPr>
            </w:pPr>
            <w:r>
              <w:rPr>
                <w:rFonts w:hint="eastAsia" w:ascii="宋体" w:hAnsi="宋体" w:cs="宋体"/>
                <w:color w:val="auto"/>
                <w:szCs w:val="21"/>
                <w:highlight w:val="none"/>
              </w:rPr>
              <w:t>防溢阀</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color w:val="auto"/>
                <w:lang w:val="en-US" w:eastAsia="zh-CN"/>
              </w:rPr>
            </w:pPr>
            <w:r>
              <w:rPr>
                <w:rFonts w:hint="eastAsia" w:ascii="宋体" w:hAnsi="宋体" w:cs="宋体"/>
                <w:color w:val="auto"/>
                <w:szCs w:val="21"/>
                <w:highlight w:val="none"/>
              </w:rPr>
              <w:t>DN100</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个</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eastAsia="宋体"/>
                <w:color w:val="auto"/>
                <w:lang w:val="en-US" w:eastAsia="zh-CN"/>
              </w:rPr>
            </w:pP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Merge w:val="restar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w:t>
            </w:r>
          </w:p>
        </w:tc>
        <w:tc>
          <w:tcPr>
            <w:tcW w:w="1074" w:type="pct"/>
            <w:vMerge w:val="restar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油气回收系统</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卸油油气回收系统</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宋体"/>
                <w:color w:val="auto"/>
                <w:lang w:val="en-US" w:eastAsia="zh-CN"/>
              </w:rPr>
            </w:pPr>
            <w:r>
              <w:rPr>
                <w:rFonts w:hint="eastAsia" w:ascii="Times New Roman" w:hAnsi="Times New Roman" w:cs="宋体"/>
                <w:color w:val="auto"/>
                <w:lang w:val="en-US" w:eastAsia="zh-CN"/>
              </w:rPr>
              <w:t>套</w:t>
            </w:r>
          </w:p>
        </w:tc>
        <w:tc>
          <w:tcPr>
            <w:tcW w:w="1182" w:type="pct"/>
            <w:vMerge w:val="restar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eastAsia="宋体"/>
                <w:color w:val="auto"/>
                <w:lang w:val="en-US" w:eastAsia="zh-CN"/>
              </w:rPr>
            </w:pPr>
          </w:p>
        </w:tc>
        <w:tc>
          <w:tcPr>
            <w:tcW w:w="514" w:type="pct"/>
            <w:vMerge w:val="restar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Merge w:val="continue"/>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rPr>
            </w:pPr>
          </w:p>
        </w:tc>
        <w:tc>
          <w:tcPr>
            <w:tcW w:w="1074" w:type="pct"/>
            <w:vMerge w:val="continue"/>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rPr>
            </w:pP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加油油气回收系统</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Times New Roman" w:hAnsi="Times New Roman" w:cs="Times New Roman"/>
                <w:color w:val="auto"/>
                <w:lang w:val="en-US" w:eastAsia="zh-CN"/>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Times New Roman" w:hAnsi="Times New Roman" w:cs="宋体"/>
                <w:color w:val="auto"/>
                <w:lang w:val="en-US" w:eastAsia="zh-CN"/>
              </w:rPr>
              <w:t>套</w:t>
            </w:r>
          </w:p>
        </w:tc>
        <w:tc>
          <w:tcPr>
            <w:tcW w:w="1182" w:type="pct"/>
            <w:vMerge w:val="continue"/>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c>
          <w:tcPr>
            <w:tcW w:w="514" w:type="pct"/>
            <w:vMerge w:val="continue"/>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eastAsia="宋体"/>
                <w:color w:val="auto"/>
                <w:lang w:val="en-US" w:eastAsia="zh-CN"/>
              </w:rPr>
            </w:pPr>
            <w:r>
              <w:rPr>
                <w:rFonts w:hint="eastAsia"/>
                <w:color w:val="auto"/>
                <w:lang w:val="en-US" w:eastAsia="zh-CN"/>
              </w:rPr>
              <w:t>12</w:t>
            </w:r>
          </w:p>
        </w:tc>
        <w:tc>
          <w:tcPr>
            <w:tcW w:w="107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宋体"/>
                <w:color w:val="auto"/>
                <w:lang w:eastAsia="zh-CN"/>
              </w:rPr>
            </w:pPr>
            <w:r>
              <w:rPr>
                <w:rFonts w:hint="eastAsia"/>
                <w:color w:val="auto"/>
                <w:lang w:eastAsia="zh-CN"/>
              </w:rPr>
              <w:t>通过式洗车机</w:t>
            </w:r>
          </w:p>
        </w:tc>
        <w:tc>
          <w:tcPr>
            <w:tcW w:w="908"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430"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w:t>
            </w:r>
          </w:p>
        </w:tc>
        <w:tc>
          <w:tcPr>
            <w:tcW w:w="481"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宋体"/>
                <w:color w:val="auto"/>
                <w:lang w:val="en-US" w:eastAsia="zh-CN"/>
              </w:rPr>
            </w:pPr>
            <w:r>
              <w:rPr>
                <w:rFonts w:hint="eastAsia" w:ascii="Times New Roman" w:hAnsi="Times New Roman" w:cs="宋体"/>
                <w:color w:val="auto"/>
                <w:lang w:val="en-US" w:eastAsia="zh-CN"/>
              </w:rPr>
              <w:t>台</w:t>
            </w:r>
          </w:p>
        </w:tc>
        <w:tc>
          <w:tcPr>
            <w:tcW w:w="1182"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c>
          <w:tcPr>
            <w:tcW w:w="514" w:type="pc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r>
    </w:tbl>
    <w:p>
      <w:pPr>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 xml:space="preserve">2-5  </w:t>
      </w:r>
      <w:r>
        <w:rPr>
          <w:rFonts w:hint="eastAsia" w:ascii="Times New Roman" w:hAnsi="Times New Roman" w:cs="宋体"/>
          <w:b/>
          <w:bCs/>
          <w:color w:val="auto"/>
          <w:sz w:val="24"/>
          <w:szCs w:val="24"/>
        </w:rPr>
        <w:t>主要建（构）筑物一览表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603"/>
        <w:gridCol w:w="2036"/>
        <w:gridCol w:w="1434"/>
        <w:gridCol w:w="3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375"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序号</w:t>
            </w:r>
          </w:p>
        </w:tc>
        <w:tc>
          <w:tcPr>
            <w:tcW w:w="863"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项目名称</w:t>
            </w:r>
          </w:p>
        </w:tc>
        <w:tc>
          <w:tcPr>
            <w:tcW w:w="1096"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类型</w:t>
            </w:r>
          </w:p>
        </w:tc>
        <w:tc>
          <w:tcPr>
            <w:tcW w:w="772"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数量</w:t>
            </w:r>
            <w:r>
              <w:rPr>
                <w:rFonts w:ascii="Times New Roman" w:hAnsi="Times New Roman" w:cs="Times New Roman"/>
                <w:color w:val="auto"/>
              </w:rPr>
              <w:t>/</w:t>
            </w:r>
            <w:r>
              <w:rPr>
                <w:rFonts w:hint="eastAsia" w:ascii="Times New Roman" w:hAnsi="Times New Roman" w:cs="宋体"/>
                <w:color w:val="auto"/>
              </w:rPr>
              <w:t>占地</w:t>
            </w:r>
          </w:p>
        </w:tc>
        <w:tc>
          <w:tcPr>
            <w:tcW w:w="1892"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375" w:type="pc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863"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油罐区</w:t>
            </w:r>
          </w:p>
        </w:tc>
        <w:tc>
          <w:tcPr>
            <w:tcW w:w="1096" w:type="pct"/>
            <w:vAlign w:val="center"/>
          </w:tcPr>
          <w:p>
            <w:pPr>
              <w:spacing w:line="240" w:lineRule="exact"/>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1个500</w:t>
            </w:r>
            <w:r>
              <w:rPr>
                <w:rFonts w:ascii="Times New Roman" w:hAnsi="Times New Roman" w:cs="Times New Roman"/>
                <w:color w:val="auto"/>
              </w:rPr>
              <w:t>m</w:t>
            </w:r>
            <w:r>
              <w:rPr>
                <w:rFonts w:ascii="Times New Roman" w:hAnsi="Times New Roman" w:cs="Times New Roman"/>
                <w:color w:val="auto"/>
                <w:vertAlign w:val="superscript"/>
              </w:rPr>
              <w:t>3</w:t>
            </w:r>
            <w:r>
              <w:rPr>
                <w:rFonts w:hint="eastAsia" w:ascii="Times New Roman" w:hAnsi="Times New Roman" w:cs="宋体"/>
                <w:color w:val="auto"/>
                <w:lang w:val="en-US" w:eastAsia="zh-CN"/>
              </w:rPr>
              <w:t>#柴油罐、1个50</w:t>
            </w:r>
            <w:r>
              <w:rPr>
                <w:rFonts w:ascii="Times New Roman" w:hAnsi="Times New Roman" w:cs="Times New Roman"/>
                <w:color w:val="auto"/>
              </w:rPr>
              <w:t>m</w:t>
            </w:r>
            <w:r>
              <w:rPr>
                <w:rFonts w:ascii="Times New Roman" w:hAnsi="Times New Roman" w:cs="Times New Roman"/>
                <w:color w:val="auto"/>
                <w:vertAlign w:val="superscript"/>
              </w:rPr>
              <w:t>3</w:t>
            </w:r>
            <w:r>
              <w:rPr>
                <w:rFonts w:hint="eastAsia" w:ascii="Times New Roman" w:hAnsi="Times New Roman" w:cs="宋体"/>
                <w:color w:val="auto"/>
                <w:lang w:val="en-US" w:eastAsia="zh-CN"/>
              </w:rPr>
              <w:t>92#汽油罐</w:t>
            </w:r>
            <w:r>
              <w:rPr>
                <w:rFonts w:hint="eastAsia" w:ascii="Times New Roman" w:hAnsi="Times New Roman" w:cs="宋体"/>
                <w:color w:val="auto"/>
                <w:lang w:eastAsia="zh-CN"/>
              </w:rPr>
              <w:t>、</w:t>
            </w:r>
            <w:r>
              <w:rPr>
                <w:rFonts w:hint="eastAsia" w:ascii="Times New Roman" w:hAnsi="Times New Roman" w:cs="宋体"/>
                <w:color w:val="auto"/>
                <w:lang w:val="en-US" w:eastAsia="zh-CN"/>
              </w:rPr>
              <w:t>1个30</w:t>
            </w:r>
            <w:r>
              <w:rPr>
                <w:rFonts w:ascii="Times New Roman" w:hAnsi="Times New Roman" w:cs="Times New Roman"/>
                <w:color w:val="auto"/>
              </w:rPr>
              <w:t>m</w:t>
            </w:r>
            <w:r>
              <w:rPr>
                <w:rFonts w:ascii="Times New Roman" w:hAnsi="Times New Roman" w:cs="Times New Roman"/>
                <w:color w:val="auto"/>
                <w:vertAlign w:val="superscript"/>
              </w:rPr>
              <w:t>3</w:t>
            </w:r>
            <w:r>
              <w:rPr>
                <w:rFonts w:hint="eastAsia" w:ascii="Times New Roman" w:hAnsi="Times New Roman" w:cs="宋体"/>
                <w:color w:val="auto"/>
                <w:lang w:val="en-US" w:eastAsia="zh-CN"/>
              </w:rPr>
              <w:t>95#汽油罐</w:t>
            </w:r>
          </w:p>
        </w:tc>
        <w:tc>
          <w:tcPr>
            <w:tcW w:w="772" w:type="pc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892"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位于加油区行车道下，承重罐区</w:t>
            </w:r>
            <w:r>
              <w:rPr>
                <w:rFonts w:ascii="Times New Roman" w:hAnsi="Times New Roman" w:cs="Times New Roman"/>
                <w:color w:val="auto"/>
              </w:rPr>
              <w:t>S</w:t>
            </w:r>
            <w:r>
              <w:rPr>
                <w:rFonts w:hint="eastAsia" w:ascii="Times New Roman" w:hAnsi="Times New Roman" w:cs="Times New Roman"/>
                <w:color w:val="auto"/>
                <w:lang w:val="en-US" w:eastAsia="zh-CN"/>
              </w:rPr>
              <w:t>/</w:t>
            </w:r>
            <w:r>
              <w:rPr>
                <w:rFonts w:ascii="Times New Roman" w:hAnsi="Times New Roman" w:cs="Times New Roman"/>
                <w:color w:val="auto"/>
              </w:rPr>
              <w:t>F</w:t>
            </w:r>
            <w:r>
              <w:rPr>
                <w:rFonts w:hint="eastAsia" w:ascii="Times New Roman" w:hAnsi="Times New Roman" w:cs="宋体"/>
                <w:color w:val="auto"/>
              </w:rPr>
              <w:t>双层油罐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375" w:type="pc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2</w:t>
            </w:r>
          </w:p>
        </w:tc>
        <w:tc>
          <w:tcPr>
            <w:tcW w:w="863"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站房</w:t>
            </w:r>
          </w:p>
        </w:tc>
        <w:tc>
          <w:tcPr>
            <w:tcW w:w="1096"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lang w:val="en-US" w:eastAsia="zh-CN"/>
              </w:rPr>
              <w:t>一</w:t>
            </w:r>
            <w:r>
              <w:rPr>
                <w:rFonts w:hint="eastAsia" w:ascii="Times New Roman" w:hAnsi="Times New Roman" w:cs="宋体"/>
                <w:color w:val="auto"/>
              </w:rPr>
              <w:t>层</w:t>
            </w:r>
          </w:p>
        </w:tc>
        <w:tc>
          <w:tcPr>
            <w:tcW w:w="772" w:type="pct"/>
            <w:vAlign w:val="center"/>
          </w:tcPr>
          <w:p>
            <w:pPr>
              <w:spacing w:line="240" w:lineRule="exact"/>
              <w:jc w:val="center"/>
              <w:rPr>
                <w:rFonts w:ascii="Times New Roman" w:hAnsi="Times New Roman" w:cs="Times New Roman"/>
                <w:color w:val="auto"/>
              </w:rPr>
            </w:pPr>
            <w:r>
              <w:rPr>
                <w:rFonts w:hint="eastAsia" w:ascii="Times New Roman" w:hAnsi="Times New Roman" w:cs="Times New Roman"/>
                <w:color w:val="auto"/>
                <w:lang w:eastAsia="zh-CN"/>
              </w:rPr>
              <w:t>169.69m</w:t>
            </w:r>
            <w:r>
              <w:rPr>
                <w:rFonts w:ascii="Times New Roman" w:hAnsi="Times New Roman" w:cs="Times New Roman"/>
                <w:color w:val="auto"/>
              </w:rPr>
              <w:t>²</w:t>
            </w:r>
          </w:p>
        </w:tc>
        <w:tc>
          <w:tcPr>
            <w:tcW w:w="1892"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二层，砖混结构，内设配电间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375" w:type="pc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863"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加油岛</w:t>
            </w:r>
          </w:p>
        </w:tc>
        <w:tc>
          <w:tcPr>
            <w:tcW w:w="1096"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单柱岛</w:t>
            </w:r>
          </w:p>
        </w:tc>
        <w:tc>
          <w:tcPr>
            <w:tcW w:w="772" w:type="pc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4</w:t>
            </w:r>
            <w:r>
              <w:rPr>
                <w:rFonts w:hint="eastAsia" w:ascii="Times New Roman" w:hAnsi="Times New Roman" w:cs="宋体"/>
                <w:color w:val="auto"/>
              </w:rPr>
              <w:t>个</w:t>
            </w:r>
          </w:p>
        </w:tc>
        <w:tc>
          <w:tcPr>
            <w:tcW w:w="1892" w:type="pct"/>
            <w:vAlign w:val="center"/>
          </w:tcPr>
          <w:p>
            <w:pPr>
              <w:spacing w:line="240" w:lineRule="exact"/>
              <w:jc w:val="center"/>
              <w:rPr>
                <w:rFonts w:hint="default" w:ascii="Times New Roman" w:hAnsi="Times New Roman" w:eastAsia="宋体" w:cs="Times New Roman"/>
                <w:color w:val="auto"/>
                <w:lang w:val="en-US" w:eastAsia="zh-CN"/>
              </w:rPr>
            </w:pPr>
            <w:r>
              <w:rPr>
                <w:rFonts w:ascii="Times New Roman" w:hAnsi="Times New Roman" w:cs="Times New Roman"/>
                <w:color w:val="auto"/>
              </w:rPr>
              <w:t>4</w:t>
            </w:r>
            <w:r>
              <w:rPr>
                <w:rFonts w:hint="eastAsia" w:ascii="Times New Roman" w:hAnsi="Times New Roman" w:cs="宋体"/>
                <w:color w:val="auto"/>
              </w:rPr>
              <w:t>台</w:t>
            </w:r>
            <w:r>
              <w:rPr>
                <w:rFonts w:hint="eastAsia" w:ascii="Times New Roman" w:hAnsi="Times New Roman" w:cs="宋体"/>
                <w:color w:val="auto"/>
                <w:lang w:val="en-US" w:eastAsia="zh-CN"/>
              </w:rPr>
              <w:t>四</w:t>
            </w:r>
            <w:r>
              <w:rPr>
                <w:rFonts w:hint="eastAsia" w:ascii="Times New Roman" w:hAnsi="Times New Roman" w:cs="宋体"/>
                <w:color w:val="auto"/>
              </w:rPr>
              <w:t>枪潜油泵加油机</w:t>
            </w:r>
            <w:r>
              <w:rPr>
                <w:rFonts w:hint="eastAsia" w:ascii="Times New Roman" w:hAnsi="Times New Roman" w:cs="宋体"/>
                <w:color w:val="auto"/>
                <w:lang w:eastAsia="zh-CN"/>
              </w:rPr>
              <w:t>；</w:t>
            </w:r>
            <w:r>
              <w:rPr>
                <w:rFonts w:hint="eastAsia" w:ascii="Times New Roman" w:hAnsi="Times New Roman" w:cs="宋体"/>
                <w:color w:val="auto"/>
                <w:lang w:val="en-US" w:eastAsia="zh-CN"/>
              </w:rPr>
              <w:t>其中1台设有1个容积1.2</w:t>
            </w:r>
            <w:r>
              <w:rPr>
                <w:rFonts w:ascii="Times New Roman" w:hAnsi="Times New Roman" w:cs="Times New Roman"/>
                <w:color w:val="auto"/>
              </w:rPr>
              <w:t>m</w:t>
            </w:r>
            <w:r>
              <w:rPr>
                <w:rFonts w:ascii="Times New Roman" w:hAnsi="Times New Roman" w:cs="Times New Roman"/>
                <w:color w:val="auto"/>
                <w:vertAlign w:val="superscript"/>
              </w:rPr>
              <w:t>3</w:t>
            </w:r>
            <w:r>
              <w:rPr>
                <w:rFonts w:hint="eastAsia" w:ascii="Times New Roman" w:hAnsi="Times New Roman" w:cs="宋体"/>
                <w:color w:val="auto"/>
                <w:lang w:val="en-US" w:eastAsia="zh-CN"/>
              </w:rPr>
              <w:t>的尿素加注一体机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75" w:type="pc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4</w:t>
            </w:r>
          </w:p>
        </w:tc>
        <w:tc>
          <w:tcPr>
            <w:tcW w:w="863"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罩棚</w:t>
            </w:r>
          </w:p>
        </w:tc>
        <w:tc>
          <w:tcPr>
            <w:tcW w:w="1096"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钢架结构</w:t>
            </w:r>
          </w:p>
        </w:tc>
        <w:tc>
          <w:tcPr>
            <w:tcW w:w="772" w:type="pct"/>
            <w:vAlign w:val="center"/>
          </w:tcPr>
          <w:p>
            <w:pPr>
              <w:spacing w:line="240" w:lineRule="exact"/>
              <w:jc w:val="center"/>
              <w:rPr>
                <w:rFonts w:ascii="Times New Roman" w:hAnsi="Times New Roman" w:cs="Times New Roman"/>
                <w:color w:val="auto"/>
              </w:rPr>
            </w:pPr>
            <w:r>
              <w:rPr>
                <w:rFonts w:hint="eastAsia" w:ascii="Times New Roman" w:hAnsi="Times New Roman" w:cs="Times New Roman"/>
                <w:color w:val="auto"/>
                <w:lang w:val="en-US" w:eastAsia="zh-CN"/>
              </w:rPr>
              <w:t>702</w:t>
            </w:r>
            <w:r>
              <w:rPr>
                <w:rFonts w:ascii="Times New Roman" w:hAnsi="Times New Roman" w:cs="Times New Roman"/>
                <w:color w:val="auto"/>
              </w:rPr>
              <w:t>m²</w:t>
            </w:r>
          </w:p>
        </w:tc>
        <w:tc>
          <w:tcPr>
            <w:tcW w:w="1892"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混凝土立柱，顶棚耐火极限</w:t>
            </w:r>
            <w:r>
              <w:rPr>
                <w:rFonts w:ascii="Times New Roman" w:hAnsi="Times New Roman" w:cs="Times New Roman"/>
                <w:color w:val="auto"/>
              </w:rPr>
              <w:t>0.25h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375" w:type="pc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5</w:t>
            </w:r>
          </w:p>
        </w:tc>
        <w:tc>
          <w:tcPr>
            <w:tcW w:w="863"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隔油池</w:t>
            </w:r>
          </w:p>
        </w:tc>
        <w:tc>
          <w:tcPr>
            <w:tcW w:w="1096" w:type="pc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混凝土</w:t>
            </w:r>
          </w:p>
        </w:tc>
        <w:tc>
          <w:tcPr>
            <w:tcW w:w="772" w:type="pc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座</w:t>
            </w:r>
          </w:p>
        </w:tc>
        <w:tc>
          <w:tcPr>
            <w:tcW w:w="1892" w:type="pc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3m</w:t>
            </w:r>
            <w:r>
              <w:rPr>
                <w:rFonts w:ascii="Times New Roman" w:hAnsi="Times New Roman" w:cs="Times New Roman"/>
                <w:color w:val="auto"/>
                <w:vertAlign w:val="superscript"/>
              </w:rPr>
              <w:t>3</w:t>
            </w:r>
          </w:p>
        </w:tc>
      </w:tr>
    </w:tbl>
    <w:p>
      <w:pPr>
        <w:keepNext/>
        <w:keepLines/>
        <w:spacing w:line="580" w:lineRule="exact"/>
        <w:outlineLvl w:val="2"/>
        <w:rPr>
          <w:rFonts w:ascii="Times New Roman" w:hAnsi="Times New Roman" w:cs="Times New Roman"/>
          <w:b/>
          <w:bCs/>
          <w:color w:val="auto"/>
          <w:sz w:val="28"/>
          <w:szCs w:val="28"/>
        </w:rPr>
      </w:pPr>
      <w:bookmarkStart w:id="36"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6"/>
    </w:p>
    <w:p>
      <w:pPr>
        <w:spacing w:line="600" w:lineRule="exact"/>
        <w:ind w:firstLine="560" w:firstLineChars="200"/>
        <w:jc w:val="left"/>
        <w:rPr>
          <w:rFonts w:ascii="Times New Roman" w:hAnsi="Times New Roman" w:eastAsia="宋体" w:cs="Times New Roman"/>
          <w:color w:val="auto"/>
          <w:sz w:val="28"/>
          <w:szCs w:val="28"/>
        </w:rPr>
      </w:pPr>
      <w:bookmarkStart w:id="37" w:name="_Toc1188"/>
      <w:r>
        <w:rPr>
          <w:rFonts w:hint="eastAsia" w:ascii="Times New Roman" w:hAnsi="Times New Roman" w:eastAsia="宋体" w:cs="宋体"/>
          <w:color w:val="auto"/>
          <w:sz w:val="28"/>
          <w:szCs w:val="28"/>
        </w:rPr>
        <w:t>该站采用油罐车经连通软管与油罐卸油孔连通卸油的方式卸油。装满汽油、柴油的油槽车到达加油站后，在卸油口附近停稳熄火，用加油站的静电接地导线与油罐车卸油设施连接一起，静置</w:t>
      </w:r>
      <w:r>
        <w:rPr>
          <w:rFonts w:ascii="Times New Roman" w:hAnsi="Times New Roman" w:eastAsia="宋体" w:cs="Times New Roman"/>
          <w:color w:val="auto"/>
          <w:sz w:val="28"/>
          <w:szCs w:val="28"/>
        </w:rPr>
        <w:t>15</w:t>
      </w:r>
      <w:r>
        <w:rPr>
          <w:rFonts w:hint="eastAsia" w:ascii="Times New Roman" w:hAnsi="Times New Roman" w:eastAsia="宋体" w:cs="宋体"/>
          <w:color w:val="auto"/>
          <w:sz w:val="28"/>
          <w:szCs w:val="28"/>
        </w:rPr>
        <w:t>分钟清除静电。然后用快速接头将油罐车的卸油管与埋地储油罐的快速密闭卸油口连接在一起，再开始卸油，通过量油孔计量需要卸油量。油品卸完后，检查没有溢油、漏油后，人工封闭好油罐进油口和罐车卸油口，拆除连通软管及静电接地装置。静置</w:t>
      </w:r>
      <w:r>
        <w:rPr>
          <w:rFonts w:ascii="Times New Roman" w:hAnsi="Times New Roman" w:eastAsia="宋体" w:cs="Times New Roman"/>
          <w:color w:val="auto"/>
          <w:sz w:val="28"/>
          <w:szCs w:val="28"/>
        </w:rPr>
        <w:t>5</w:t>
      </w:r>
      <w:r>
        <w:rPr>
          <w:rFonts w:hint="eastAsia" w:ascii="Times New Roman" w:hAnsi="Times New Roman" w:eastAsia="宋体" w:cs="宋体"/>
          <w:color w:val="auto"/>
          <w:sz w:val="28"/>
          <w:szCs w:val="28"/>
        </w:rPr>
        <w:t>分钟以后发动油品罐车缓慢离开罐区。</w:t>
      </w:r>
    </w:p>
    <w:p>
      <w:pPr>
        <w:spacing w:line="600" w:lineRule="exact"/>
        <w:ind w:firstLine="560" w:firstLineChars="200"/>
        <w:jc w:val="left"/>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汽油卸油工艺：本站设计汽油油气回收的卸油工艺。在油罐车卸油过程中，将原来储油罐内散溢的油气，通过油气回收地下工艺管线及卸车软管重新收集至油罐车内，实现卸油与油气等体积置换。带油气回收的汽油卸油工艺。工艺流程图如下：</w:t>
      </w:r>
    </w:p>
    <w:p>
      <w:pPr>
        <w:widowControl w:val="0"/>
        <w:autoSpaceDE w:val="0"/>
        <w:autoSpaceDN w:val="0"/>
        <w:adjustRightInd w:val="0"/>
        <w:rPr>
          <w:rFonts w:ascii="宋体" w:hAnsi="Times New Roman" w:eastAsia="宋体" w:cs="Times New Roman"/>
          <w:color w:val="auto"/>
          <w:sz w:val="24"/>
          <w:szCs w:val="24"/>
          <w:lang w:val="en-US" w:eastAsia="zh-CN" w:bidi="ar-SA"/>
        </w:rPr>
      </w:pPr>
      <w:r>
        <w:rPr>
          <w:rFonts w:ascii="宋体" w:hAnsi="Times New Roman" w:eastAsia="宋体" w:cs="Times New Roman"/>
          <w:color w:val="auto"/>
          <w:sz w:val="24"/>
          <w:szCs w:val="24"/>
          <w:lang w:val="en-US" w:eastAsia="zh-CN" w:bidi="ar-SA"/>
        </w:rPr>
        <w:drawing>
          <wp:inline distT="0" distB="0" distL="114300" distR="114300">
            <wp:extent cx="5859780" cy="1620520"/>
            <wp:effectExtent l="0" t="0" r="7620" b="508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0"/>
                    <a:stretch>
                      <a:fillRect/>
                    </a:stretch>
                  </pic:blipFill>
                  <pic:spPr>
                    <a:xfrm>
                      <a:off x="0" y="0"/>
                      <a:ext cx="5859780" cy="1620520"/>
                    </a:xfrm>
                    <a:prstGeom prst="rect">
                      <a:avLst/>
                    </a:prstGeom>
                    <a:noFill/>
                    <a:ln>
                      <a:noFill/>
                    </a:ln>
                  </pic:spPr>
                </pic:pic>
              </a:graphicData>
            </a:graphic>
          </wp:inline>
        </w:drawing>
      </w:r>
    </w:p>
    <w:p>
      <w:pPr>
        <w:widowControl w:val="0"/>
        <w:autoSpaceDE w:val="0"/>
        <w:autoSpaceDN w:val="0"/>
        <w:adjustRightInd w:val="0"/>
        <w:ind w:firstLine="560" w:firstLineChars="200"/>
        <w:rPr>
          <w:rFonts w:hint="eastAsia" w:ascii="Times New Roman" w:hAnsi="Times New Roman" w:eastAsia="宋体" w:cs="宋体"/>
          <w:color w:val="auto"/>
          <w:kern w:val="2"/>
          <w:sz w:val="28"/>
          <w:szCs w:val="28"/>
          <w:lang w:val="en-US" w:eastAsia="zh-CN" w:bidi="ar-SA"/>
        </w:rPr>
      </w:pPr>
    </w:p>
    <w:p>
      <w:pPr>
        <w:widowControl w:val="0"/>
        <w:autoSpaceDE w:val="0"/>
        <w:autoSpaceDN w:val="0"/>
        <w:adjustRightInd w:val="0"/>
        <w:ind w:firstLine="560" w:firstLineChars="200"/>
        <w:rPr>
          <w:rFonts w:ascii="Times New Roman" w:hAnsi="Times New Roman" w:eastAsia="宋体" w:cs="Times New Roman"/>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柴油卸油工艺，流程图如下：</w:t>
      </w:r>
    </w:p>
    <w:p>
      <w:pPr>
        <w:widowControl w:val="0"/>
        <w:autoSpaceDE w:val="0"/>
        <w:autoSpaceDN w:val="0"/>
        <w:adjustRightInd w:val="0"/>
        <w:rPr>
          <w:rFonts w:ascii="宋体" w:hAnsi="Times New Roman" w:eastAsia="宋体" w:cs="Times New Roman"/>
          <w:color w:val="auto"/>
          <w:sz w:val="24"/>
          <w:szCs w:val="24"/>
          <w:lang w:val="en-US" w:eastAsia="zh-CN" w:bidi="ar-SA"/>
        </w:rPr>
      </w:pPr>
      <w:r>
        <w:rPr>
          <w:rFonts w:ascii="宋体" w:hAnsi="Times New Roman" w:eastAsia="宋体" w:cs="Times New Roman"/>
          <w:color w:val="auto"/>
          <w:sz w:val="24"/>
          <w:szCs w:val="24"/>
          <w:lang w:val="en-US" w:eastAsia="zh-CN" w:bidi="ar-SA"/>
        </w:rPr>
        <w:drawing>
          <wp:inline distT="0" distB="0" distL="114300" distR="114300">
            <wp:extent cx="5257800" cy="337185"/>
            <wp:effectExtent l="0" t="0" r="0" b="571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5257800" cy="337185"/>
                    </a:xfrm>
                    <a:prstGeom prst="rect">
                      <a:avLst/>
                    </a:prstGeom>
                    <a:noFill/>
                    <a:ln>
                      <a:noFill/>
                    </a:ln>
                  </pic:spPr>
                </pic:pic>
              </a:graphicData>
            </a:graphic>
          </wp:inline>
        </w:drawing>
      </w:r>
    </w:p>
    <w:p>
      <w:pPr>
        <w:widowControl w:val="0"/>
        <w:autoSpaceDE w:val="0"/>
        <w:autoSpaceDN w:val="0"/>
        <w:adjustRightInd w:val="0"/>
        <w:ind w:firstLine="560" w:firstLineChars="200"/>
        <w:rPr>
          <w:rFonts w:ascii="Times New Roman" w:hAnsi="Times New Roman" w:eastAsia="宋体" w:cs="Times New Roman"/>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加油通过油罐内的</w:t>
      </w:r>
      <w:r>
        <w:rPr>
          <w:rFonts w:hint="eastAsia" w:ascii="Times New Roman" w:hAnsi="Times New Roman" w:cs="宋体"/>
          <w:color w:val="auto"/>
          <w:kern w:val="2"/>
          <w:sz w:val="28"/>
          <w:szCs w:val="28"/>
          <w:lang w:val="en-US" w:eastAsia="zh-CN" w:bidi="ar-SA"/>
        </w:rPr>
        <w:t>潜油泵</w:t>
      </w:r>
      <w:r>
        <w:rPr>
          <w:rFonts w:hint="eastAsia" w:ascii="Times New Roman" w:hAnsi="Times New Roman" w:eastAsia="宋体" w:cs="宋体"/>
          <w:color w:val="auto"/>
          <w:kern w:val="2"/>
          <w:sz w:val="28"/>
          <w:szCs w:val="28"/>
          <w:lang w:val="en-US" w:eastAsia="zh-CN" w:bidi="ar-SA"/>
        </w:rPr>
        <w:t>将油品从储油罐抽出，经过加油机的油气分离器、计量器（加入油品的量可以从加油机的计数器上观察到），然后用加油枪加到车油箱中。带油气回收的加油工艺流程图如下：</w:t>
      </w:r>
    </w:p>
    <w:p>
      <w:pPr>
        <w:widowControl w:val="0"/>
        <w:autoSpaceDE w:val="0"/>
        <w:autoSpaceDN w:val="0"/>
        <w:adjustRightInd w:val="0"/>
        <w:ind w:firstLine="560" w:firstLineChars="200"/>
        <w:rPr>
          <w:rFonts w:ascii="Times New Roman" w:hAnsi="Times New Roman" w:eastAsia="宋体" w:cs="Times New Roman"/>
          <w:color w:val="auto"/>
          <w:kern w:val="2"/>
          <w:sz w:val="28"/>
          <w:szCs w:val="28"/>
          <w:lang w:val="en-US" w:eastAsia="zh-CN" w:bidi="ar-SA"/>
        </w:rPr>
      </w:pPr>
      <w:r>
        <w:rPr>
          <w:rFonts w:ascii="Times New Roman" w:hAnsi="Times New Roman" w:eastAsia="宋体" w:cs="Times New Roman"/>
          <w:color w:val="auto"/>
          <w:kern w:val="2"/>
          <w:sz w:val="28"/>
          <w:szCs w:val="28"/>
          <w:lang w:val="en-US" w:eastAsia="zh-CN" w:bidi="ar-SA"/>
        </w:rPr>
        <w:t>1</w:t>
      </w:r>
      <w:r>
        <w:rPr>
          <w:rFonts w:hint="eastAsia" w:ascii="Times New Roman" w:hAnsi="Times New Roman" w:eastAsia="宋体" w:cs="宋体"/>
          <w:color w:val="auto"/>
          <w:kern w:val="2"/>
          <w:sz w:val="28"/>
          <w:szCs w:val="28"/>
          <w:lang w:val="en-US" w:eastAsia="zh-CN" w:bidi="ar-SA"/>
        </w:rPr>
        <w:t>）汽油加油机加油工艺：本站设置带汽油油气回收的加油工艺。</w:t>
      </w:r>
    </w:p>
    <w:p>
      <w:pPr>
        <w:widowControl w:val="0"/>
        <w:autoSpaceDE w:val="0"/>
        <w:autoSpaceDN w:val="0"/>
        <w:adjustRightInd w:val="0"/>
        <w:ind w:firstLine="560" w:firstLineChars="200"/>
        <w:rPr>
          <w:rFonts w:ascii="Times New Roman" w:hAnsi="Times New Roman" w:eastAsia="宋体" w:cs="Times New Roman"/>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由汽油加油机收集的油气回到汽油储油罐内，其中汽油罐通气管阻火器</w:t>
      </w:r>
      <w:r>
        <w:rPr>
          <w:rFonts w:hint="eastAsia" w:ascii="Times New Roman" w:hAnsi="Times New Roman" w:cs="宋体"/>
          <w:color w:val="auto"/>
          <w:kern w:val="2"/>
          <w:sz w:val="28"/>
          <w:szCs w:val="28"/>
          <w:lang w:val="en-US" w:eastAsia="zh-CN" w:bidi="ar-SA"/>
        </w:rPr>
        <w:t>设计</w:t>
      </w:r>
      <w:r>
        <w:rPr>
          <w:rFonts w:hint="eastAsia" w:ascii="Times New Roman" w:hAnsi="Times New Roman" w:eastAsia="宋体" w:cs="宋体"/>
          <w:color w:val="auto"/>
          <w:kern w:val="2"/>
          <w:sz w:val="28"/>
          <w:szCs w:val="28"/>
          <w:lang w:val="en-US" w:eastAsia="zh-CN" w:bidi="ar-SA"/>
        </w:rPr>
        <w:t>为阻火型真空压力阀。</w:t>
      </w:r>
    </w:p>
    <w:p>
      <w:pPr>
        <w:widowControl w:val="0"/>
        <w:autoSpaceDE w:val="0"/>
        <w:autoSpaceDN w:val="0"/>
        <w:adjustRightInd w:val="0"/>
        <w:rPr>
          <w:rFonts w:ascii="Times New Roman" w:hAnsi="Times New Roman" w:eastAsia="宋体" w:cs="Times New Roman"/>
          <w:color w:val="auto"/>
          <w:kern w:val="2"/>
          <w:sz w:val="28"/>
          <w:szCs w:val="28"/>
          <w:lang w:val="en-US" w:eastAsia="zh-CN" w:bidi="ar-SA"/>
        </w:rPr>
      </w:pPr>
      <w:r>
        <w:rPr>
          <w:rFonts w:ascii="宋体" w:hAnsi="Times New Roman" w:eastAsia="宋体" w:cs="Times New Roman"/>
          <w:color w:val="auto"/>
          <w:sz w:val="24"/>
          <w:szCs w:val="24"/>
          <w:lang w:val="en-US" w:eastAsia="zh-CN" w:bidi="ar-SA"/>
        </w:rPr>
        <w:drawing>
          <wp:inline distT="0" distB="0" distL="114300" distR="114300">
            <wp:extent cx="5279390" cy="2177415"/>
            <wp:effectExtent l="0" t="0" r="16510" b="1333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5279390" cy="2177415"/>
                    </a:xfrm>
                    <a:prstGeom prst="rect">
                      <a:avLst/>
                    </a:prstGeom>
                    <a:noFill/>
                    <a:ln>
                      <a:noFill/>
                    </a:ln>
                  </pic:spPr>
                </pic:pic>
              </a:graphicData>
            </a:graphic>
          </wp:inline>
        </w:drawing>
      </w:r>
    </w:p>
    <w:p>
      <w:pPr>
        <w:widowControl w:val="0"/>
        <w:autoSpaceDE w:val="0"/>
        <w:autoSpaceDN w:val="0"/>
        <w:adjustRightInd w:val="0"/>
        <w:rPr>
          <w:rFonts w:ascii="Times New Roman" w:hAnsi="Times New Roman" w:eastAsia="宋体" w:cs="Times New Roman"/>
          <w:color w:val="auto"/>
          <w:kern w:val="2"/>
          <w:sz w:val="28"/>
          <w:szCs w:val="28"/>
          <w:lang w:val="en-US" w:eastAsia="zh-CN" w:bidi="ar-SA"/>
        </w:rPr>
      </w:pPr>
      <w:r>
        <w:rPr>
          <w:rFonts w:ascii="Times New Roman" w:hAnsi="Times New Roman" w:eastAsia="宋体" w:cs="Times New Roman"/>
          <w:color w:val="auto"/>
          <w:kern w:val="2"/>
          <w:sz w:val="28"/>
          <w:szCs w:val="28"/>
          <w:lang w:val="en-US" w:eastAsia="zh-CN" w:bidi="ar-SA"/>
        </w:rPr>
        <w:t>2</w:t>
      </w:r>
      <w:r>
        <w:rPr>
          <w:rFonts w:hint="eastAsia" w:ascii="Times New Roman" w:hAnsi="Times New Roman" w:eastAsia="宋体" w:cs="宋体"/>
          <w:color w:val="auto"/>
          <w:kern w:val="2"/>
          <w:sz w:val="28"/>
          <w:szCs w:val="28"/>
          <w:lang w:val="en-US" w:eastAsia="zh-CN" w:bidi="ar-SA"/>
        </w:rPr>
        <w:t>）柴油加油机加油工艺，流程图如下：</w:t>
      </w:r>
    </w:p>
    <w:p>
      <w:pPr>
        <w:widowControl w:val="0"/>
        <w:autoSpaceDE w:val="0"/>
        <w:autoSpaceDN w:val="0"/>
        <w:adjustRightInd w:val="0"/>
        <w:rPr>
          <w:rFonts w:ascii="Times New Roman" w:hAnsi="Times New Roman" w:eastAsia="宋体" w:cs="Times New Roman"/>
          <w:color w:val="auto"/>
          <w:kern w:val="2"/>
          <w:sz w:val="28"/>
          <w:szCs w:val="28"/>
          <w:lang w:val="en-US" w:eastAsia="zh-CN" w:bidi="ar-SA"/>
        </w:rPr>
      </w:pPr>
      <w:r>
        <w:rPr>
          <w:rFonts w:ascii="宋体" w:hAnsi="Times New Roman" w:eastAsia="宋体" w:cs="Times New Roman"/>
          <w:color w:val="auto"/>
          <w:sz w:val="24"/>
          <w:szCs w:val="24"/>
          <w:lang w:val="en-US" w:eastAsia="zh-CN" w:bidi="ar-SA"/>
        </w:rPr>
        <w:drawing>
          <wp:inline distT="0" distB="0" distL="114300" distR="114300">
            <wp:extent cx="5492750" cy="1370330"/>
            <wp:effectExtent l="0" t="0" r="6350" b="127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3"/>
                    <a:stretch>
                      <a:fillRect/>
                    </a:stretch>
                  </pic:blipFill>
                  <pic:spPr>
                    <a:xfrm>
                      <a:off x="0" y="0"/>
                      <a:ext cx="5492750" cy="1370330"/>
                    </a:xfrm>
                    <a:prstGeom prst="rect">
                      <a:avLst/>
                    </a:prstGeom>
                    <a:noFill/>
                    <a:ln>
                      <a:noFill/>
                    </a:ln>
                  </pic:spPr>
                </pic:pic>
              </a:graphicData>
            </a:graphic>
          </wp:inline>
        </w:drawing>
      </w:r>
    </w:p>
    <w:p>
      <w:pPr>
        <w:bidi w:val="0"/>
        <w:rPr>
          <w:rFonts w:hint="eastAsia" w:eastAsia="宋体"/>
          <w:color w:val="auto"/>
          <w:lang w:eastAsia="zh-CN"/>
        </w:rPr>
      </w:pPr>
    </w:p>
    <w:p>
      <w:pPr>
        <w:keepNext/>
        <w:keepLines/>
        <w:spacing w:line="600" w:lineRule="exact"/>
        <w:outlineLvl w:val="1"/>
        <w:rPr>
          <w:rFonts w:ascii="Times New Roman" w:hAnsi="Times New Roman" w:cs="Times New Roman"/>
          <w:b/>
          <w:bCs/>
          <w:color w:val="auto"/>
          <w:sz w:val="28"/>
          <w:szCs w:val="28"/>
        </w:rPr>
      </w:pPr>
      <w:bookmarkStart w:id="38" w:name="_Toc6883"/>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38"/>
    </w:p>
    <w:p>
      <w:p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pPr>
        <w:tabs>
          <w:tab w:val="left" w:pos="3465"/>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val="en-US" w:eastAsia="zh-CN"/>
        </w:rPr>
        <w:t>该站供电</w:t>
      </w:r>
      <w:r>
        <w:rPr>
          <w:rFonts w:hint="eastAsia" w:ascii="Times New Roman" w:hAnsi="Times New Roman" w:cs="宋体"/>
          <w:color w:val="auto"/>
          <w:sz w:val="28"/>
          <w:szCs w:val="28"/>
        </w:rPr>
        <w:t>电源</w:t>
      </w:r>
      <w:r>
        <w:rPr>
          <w:rFonts w:hint="eastAsia" w:ascii="宋体" w:hAnsi="宋体" w:eastAsia="宋体" w:cs="宋体"/>
          <w:color w:val="auto"/>
          <w:kern w:val="0"/>
          <w:sz w:val="28"/>
          <w:highlight w:val="none"/>
          <w:lang w:eastAsia="zh-CN"/>
        </w:rPr>
        <w:t>引自就近的变电所，</w:t>
      </w:r>
      <w:r>
        <w:rPr>
          <w:rFonts w:hint="eastAsia" w:ascii="宋体" w:hAnsi="宋体" w:eastAsia="宋体" w:cs="宋体"/>
          <w:color w:val="auto"/>
          <w:kern w:val="0"/>
          <w:sz w:val="28"/>
          <w:highlight w:val="none"/>
          <w:lang w:val="en-US" w:eastAsia="zh-CN"/>
        </w:rPr>
        <w:t>10KV架空线至站附近沿杆引线埋地敷设至站房北侧的型号为YBW-100kVA箱式变压器内。</w:t>
      </w:r>
      <w:r>
        <w:rPr>
          <w:rFonts w:hint="eastAsia" w:ascii="Times New Roman" w:hAnsi="Times New Roman" w:cs="宋体"/>
          <w:color w:val="auto"/>
          <w:sz w:val="28"/>
          <w:szCs w:val="28"/>
        </w:rPr>
        <w:t>从</w:t>
      </w:r>
      <w:r>
        <w:rPr>
          <w:rFonts w:hint="eastAsia" w:ascii="宋体" w:hAnsi="宋体" w:eastAsia="宋体" w:cs="宋体"/>
          <w:color w:val="auto"/>
          <w:kern w:val="0"/>
          <w:sz w:val="28"/>
          <w:highlight w:val="none"/>
          <w:lang w:val="en-US" w:eastAsia="zh-CN"/>
        </w:rPr>
        <w:t>箱式变压器</w:t>
      </w:r>
      <w:r>
        <w:rPr>
          <w:rFonts w:hint="eastAsia" w:ascii="Times New Roman" w:hAnsi="Times New Roman" w:eastAsia="宋体" w:cs="宋体"/>
          <w:color w:val="auto"/>
          <w:sz w:val="28"/>
          <w:szCs w:val="28"/>
          <w:lang w:val="en-US" w:eastAsia="zh-CN"/>
        </w:rPr>
        <w:t>直埋敷设引</w:t>
      </w:r>
      <w:r>
        <w:rPr>
          <w:rFonts w:hint="eastAsia" w:ascii="Times New Roman" w:hAnsi="Times New Roman" w:cs="宋体"/>
          <w:color w:val="auto"/>
          <w:sz w:val="28"/>
          <w:szCs w:val="28"/>
        </w:rPr>
        <w:t>至位于站房的配电间，通过埋地填沙电缆沟敷设到加油机，照明使用</w:t>
      </w:r>
      <w:r>
        <w:rPr>
          <w:rFonts w:ascii="Times New Roman" w:hAnsi="Times New Roman" w:cs="Times New Roman"/>
          <w:color w:val="auto"/>
          <w:sz w:val="28"/>
          <w:szCs w:val="28"/>
        </w:rPr>
        <w:t>220V</w:t>
      </w:r>
      <w:r>
        <w:rPr>
          <w:rFonts w:hint="eastAsia" w:ascii="Times New Roman" w:hAnsi="Times New Roman" w:cs="宋体"/>
          <w:color w:val="auto"/>
          <w:sz w:val="28"/>
          <w:szCs w:val="28"/>
        </w:rPr>
        <w:t>交流电压。</w:t>
      </w:r>
    </w:p>
    <w:p>
      <w:pPr>
        <w:tabs>
          <w:tab w:val="left" w:pos="3465"/>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液位仪、渗漏检测仪用电负荷以及应急照明系统用电负荷为二级，应急照明配备</w:t>
      </w:r>
      <w:r>
        <w:rPr>
          <w:rFonts w:hint="eastAsia" w:ascii="Times New Roman" w:hAnsi="Times New Roman" w:cs="宋体"/>
          <w:color w:val="auto"/>
          <w:sz w:val="28"/>
          <w:szCs w:val="28"/>
          <w:lang w:val="en-US" w:eastAsia="zh-CN"/>
        </w:rPr>
        <w:t>蓄</w:t>
      </w:r>
      <w:r>
        <w:rPr>
          <w:rFonts w:hint="eastAsia" w:ascii="Times New Roman" w:hAnsi="Times New Roman" w:cs="宋体"/>
          <w:color w:val="auto"/>
          <w:sz w:val="28"/>
          <w:szCs w:val="28"/>
        </w:rPr>
        <w:t>电池，供应时间不少于</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rPr>
        <w:t>0</w:t>
      </w:r>
      <w:r>
        <w:rPr>
          <w:rFonts w:hint="eastAsia" w:ascii="Times New Roman" w:hAnsi="Times New Roman" w:cs="宋体"/>
          <w:color w:val="auto"/>
          <w:sz w:val="28"/>
          <w:szCs w:val="28"/>
        </w:rPr>
        <w:t>min，</w:t>
      </w:r>
      <w:r>
        <w:rPr>
          <w:rFonts w:hint="eastAsia" w:ascii="Times New Roman" w:hAnsi="Times New Roman" w:cs="宋体"/>
          <w:color w:val="auto"/>
          <w:sz w:val="28"/>
          <w:szCs w:val="28"/>
          <w:lang w:val="en-US" w:eastAsia="zh-CN"/>
        </w:rPr>
        <w:t>设置1台型号为5kva</w:t>
      </w:r>
      <w:r>
        <w:rPr>
          <w:rFonts w:hint="eastAsia" w:ascii="Times New Roman" w:hAnsi="Times New Roman" w:cs="宋体"/>
          <w:color w:val="auto"/>
          <w:sz w:val="28"/>
          <w:szCs w:val="28"/>
        </w:rPr>
        <w:t>UPS电源，其他用电负荷等级为三级。</w:t>
      </w:r>
    </w:p>
    <w:p>
      <w:pPr>
        <w:tabs>
          <w:tab w:val="left" w:pos="3465"/>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pPr>
        <w:tabs>
          <w:tab w:val="left" w:pos="3465"/>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pPr>
        <w:tabs>
          <w:tab w:val="left" w:pos="3465"/>
        </w:tabs>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站区内地面雨水及加油岛地面冲洗水汇集至排水沟经隔油处理后排入自然体系。</w:t>
      </w:r>
      <w:r>
        <w:rPr>
          <w:rFonts w:ascii="Times New Roman" w:hAnsi="Times New Roman" w:cs="Times New Roman"/>
          <w:color w:val="auto"/>
          <w:sz w:val="28"/>
          <w:szCs w:val="28"/>
        </w:rPr>
        <w:t xml:space="preserve"> </w:t>
      </w:r>
    </w:p>
    <w:p>
      <w:pPr>
        <w:tabs>
          <w:tab w:val="left" w:pos="3465"/>
        </w:tabs>
        <w:spacing w:line="360" w:lineRule="auto"/>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p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p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加油站安装视频监控系统，摄像头分布于加油区、站房内外，显示屏设在站房内，可以观察整个站区情况，如有意外情况能够及时发现。摄像头均处于爆炸危险区域之外。</w:t>
      </w:r>
    </w:p>
    <w:p>
      <w:pPr>
        <w:pStyle w:val="38"/>
        <w:spacing w:line="360" w:lineRule="auto"/>
        <w:ind w:firstLine="560" w:firstLineChars="200"/>
        <w:rPr>
          <w:rFonts w:hint="eastAsia"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hAnsi="Times New Roman" w:cs="宋体"/>
          <w:color w:val="auto"/>
          <w:sz w:val="28"/>
          <w:szCs w:val="28"/>
        </w:rPr>
        <w:t>应急照明</w:t>
      </w:r>
    </w:p>
    <w:p>
      <w:pPr>
        <w:widowControl w:val="0"/>
        <w:autoSpaceDE w:val="0"/>
        <w:autoSpaceDN w:val="0"/>
        <w:adjustRightInd w:val="0"/>
        <w:spacing w:line="360" w:lineRule="auto"/>
        <w:ind w:firstLine="560" w:firstLineChars="200"/>
        <w:rPr>
          <w:rFonts w:ascii="Times New Roman" w:hAnsi="Times New Roman" w:eastAsia="宋体" w:cs="Times New Roman"/>
          <w:color w:val="auto"/>
          <w:kern w:val="2"/>
          <w:sz w:val="28"/>
          <w:szCs w:val="28"/>
          <w:lang w:val="en-US" w:eastAsia="zh-CN" w:bidi="ar-SA"/>
        </w:rPr>
      </w:pPr>
      <w:r>
        <w:rPr>
          <w:rFonts w:hint="eastAsia" w:ascii="Times New Roman" w:hAnsi="Times New Roman" w:cs="宋体"/>
          <w:color w:val="auto"/>
          <w:kern w:val="2"/>
          <w:sz w:val="28"/>
          <w:szCs w:val="28"/>
          <w:lang w:val="en-US" w:eastAsia="zh-CN" w:bidi="ar-SA"/>
        </w:rPr>
        <w:t>该</w:t>
      </w:r>
      <w:r>
        <w:rPr>
          <w:rFonts w:hint="eastAsia" w:ascii="Times New Roman" w:hAnsi="Times New Roman" w:eastAsia="宋体" w:cs="宋体"/>
          <w:color w:val="auto"/>
          <w:kern w:val="2"/>
          <w:sz w:val="28"/>
          <w:szCs w:val="28"/>
          <w:lang w:val="en-US" w:eastAsia="zh-CN" w:bidi="ar-SA"/>
        </w:rPr>
        <w:t>项目在加油区、站房内设置有应急疏散照明灯具；在站房出入口设置了应急疏散指示灯具。用于疏散照明的灯具持续工作的时间大于</w:t>
      </w:r>
      <w:r>
        <w:rPr>
          <w:rFonts w:ascii="Times New Roman" w:hAnsi="Times New Roman" w:eastAsia="宋体" w:cs="Times New Roman"/>
          <w:color w:val="auto"/>
          <w:kern w:val="2"/>
          <w:sz w:val="28"/>
          <w:szCs w:val="28"/>
          <w:lang w:val="en-US" w:eastAsia="zh-CN" w:bidi="ar-SA"/>
        </w:rPr>
        <w:t>60</w:t>
      </w:r>
      <w:r>
        <w:rPr>
          <w:rFonts w:hint="eastAsia" w:ascii="Times New Roman" w:hAnsi="Times New Roman" w:eastAsia="宋体" w:cs="宋体"/>
          <w:color w:val="auto"/>
          <w:kern w:val="2"/>
          <w:sz w:val="28"/>
          <w:szCs w:val="28"/>
          <w:lang w:val="en-US" w:eastAsia="zh-CN" w:bidi="ar-SA"/>
        </w:rPr>
        <w:t>分钟，且出入口处疏散照明照度值不低于</w:t>
      </w:r>
      <w:r>
        <w:rPr>
          <w:rFonts w:ascii="Times New Roman" w:hAnsi="Times New Roman" w:eastAsia="宋体" w:cs="Times New Roman"/>
          <w:color w:val="auto"/>
          <w:kern w:val="2"/>
          <w:sz w:val="28"/>
          <w:szCs w:val="28"/>
          <w:lang w:val="en-US" w:eastAsia="zh-CN" w:bidi="ar-SA"/>
        </w:rPr>
        <w:t>1Lx</w:t>
      </w:r>
      <w:r>
        <w:rPr>
          <w:rFonts w:hint="eastAsia" w:ascii="Times New Roman" w:hAnsi="Times New Roman" w:eastAsia="宋体" w:cs="宋体"/>
          <w:color w:val="auto"/>
          <w:kern w:val="2"/>
          <w:sz w:val="28"/>
          <w:szCs w:val="28"/>
          <w:lang w:val="en-US" w:eastAsia="zh-CN" w:bidi="ar-SA"/>
        </w:rPr>
        <w:t>，楼梯间照明照度值不低于</w:t>
      </w:r>
      <w:r>
        <w:rPr>
          <w:rFonts w:ascii="Times New Roman" w:hAnsi="Times New Roman" w:eastAsia="宋体" w:cs="Times New Roman"/>
          <w:color w:val="auto"/>
          <w:kern w:val="2"/>
          <w:sz w:val="28"/>
          <w:szCs w:val="28"/>
          <w:lang w:val="en-US" w:eastAsia="zh-CN" w:bidi="ar-SA"/>
        </w:rPr>
        <w:t>5Lx</w:t>
      </w:r>
      <w:r>
        <w:rPr>
          <w:rFonts w:hint="eastAsia" w:ascii="Times New Roman" w:hAnsi="Times New Roman" w:eastAsia="宋体" w:cs="宋体"/>
          <w:color w:val="auto"/>
          <w:kern w:val="2"/>
          <w:sz w:val="28"/>
          <w:szCs w:val="28"/>
          <w:lang w:val="en-US" w:eastAsia="zh-CN" w:bidi="ar-SA"/>
        </w:rPr>
        <w:t>。</w:t>
      </w:r>
    </w:p>
    <w:p>
      <w:pPr>
        <w:pStyle w:val="38"/>
        <w:spacing w:line="360" w:lineRule="auto"/>
        <w:ind w:firstLine="560" w:firstLineChars="200"/>
        <w:rPr>
          <w:rFonts w:ascii="Times New Roman" w:cs="Times New Roman"/>
          <w:color w:val="auto"/>
          <w:kern w:val="2"/>
          <w:sz w:val="28"/>
          <w:szCs w:val="28"/>
        </w:rPr>
      </w:pPr>
      <w:r>
        <w:rPr>
          <w:rFonts w:hint="eastAsia" w:ascii="Times New Roman"/>
          <w:color w:val="auto"/>
          <w:kern w:val="2"/>
          <w:sz w:val="28"/>
          <w:szCs w:val="28"/>
          <w:lang w:val="en-US" w:eastAsia="zh-CN"/>
        </w:rPr>
        <w:t>6、</w:t>
      </w:r>
      <w:r>
        <w:rPr>
          <w:rFonts w:hint="eastAsia" w:ascii="Times New Roman"/>
          <w:color w:val="auto"/>
          <w:kern w:val="2"/>
          <w:sz w:val="28"/>
          <w:szCs w:val="28"/>
        </w:rPr>
        <w:t>防雷防静电接地</w:t>
      </w:r>
    </w:p>
    <w:p>
      <w:pPr>
        <w:pStyle w:val="38"/>
        <w:spacing w:line="360" w:lineRule="auto"/>
        <w:ind w:firstLine="560" w:firstLineChars="200"/>
        <w:rPr>
          <w:rFonts w:ascii="Times New Roman" w:cs="Times New Roman"/>
          <w:color w:val="auto"/>
          <w:kern w:val="2"/>
          <w:sz w:val="28"/>
          <w:szCs w:val="28"/>
        </w:rPr>
      </w:pPr>
      <w:r>
        <w:rPr>
          <w:rFonts w:hint="eastAsia" w:ascii="Times New Roman"/>
          <w:color w:val="auto"/>
          <w:kern w:val="2"/>
          <w:sz w:val="28"/>
          <w:szCs w:val="28"/>
        </w:rPr>
        <w:t>依据雷电防护装置检测报告，加油站划分为第二类防雷建筑物，站房利用屋面接闪带防直击雷，加油区利用罩棚金属屋面（作接闪器防直击雷。站房接闪带与加油区金属屋面可靠跨接。</w:t>
      </w:r>
    </w:p>
    <w:p>
      <w:pPr>
        <w:pStyle w:val="38"/>
        <w:spacing w:line="360" w:lineRule="auto"/>
        <w:ind w:firstLine="560" w:firstLineChars="200"/>
        <w:rPr>
          <w:rFonts w:hint="eastAsia" w:ascii="Times New Roman"/>
          <w:color w:val="auto"/>
          <w:kern w:val="2"/>
          <w:sz w:val="28"/>
          <w:szCs w:val="28"/>
        </w:rPr>
      </w:pPr>
      <w:r>
        <w:rPr>
          <w:rFonts w:hint="eastAsia" w:ascii="Times New Roman"/>
          <w:color w:val="auto"/>
          <w:kern w:val="2"/>
          <w:sz w:val="28"/>
          <w:szCs w:val="28"/>
        </w:rPr>
        <w:t>本项目低压配电系统接地型式为TN-S型，PE线与中性线完全分开。防雷接地、防静电接地、保护接地及信息系统的接地等，采用共用接地装置。站内通气管在接入全站共用接地装置，不单独做防雷接地。垂直金属管道及进户电缆金属外皮在地下与防雷接地装置作可靠连通。所有防雷及接地构件均热镀锌,焊接处作防腐处理。在距地面-1.0m处暗敷设-40×4热镀锌扁钢作为接地分支线，接地分支线与环形接地体、建、构筑物基础中主钢筋作可靠焊接。承重油罐为钢质封闭贮罐并埋地敷设，其壁厚均不小于4mm。埋地油罐与露出地面工艺管道相互做电气连接并接地。加油的汽油罐车卸车场地，设罐车卸车时用的防静电接地装置，并设置能检测跨接线及监视接地装置状态的静电接地仪。人体释放静电装置和静电接地报警仪距卸油口距离不小于1.5m（爆炸危险区之外）。</w:t>
      </w:r>
    </w:p>
    <w:p>
      <w:pPr>
        <w:pStyle w:val="38"/>
        <w:spacing w:line="360" w:lineRule="auto"/>
        <w:ind w:firstLine="560" w:firstLineChars="200"/>
        <w:rPr>
          <w:rFonts w:hint="eastAsia" w:ascii="Times New Roman"/>
          <w:color w:val="auto"/>
          <w:kern w:val="2"/>
          <w:sz w:val="28"/>
          <w:szCs w:val="28"/>
        </w:rPr>
      </w:pPr>
      <w:r>
        <w:rPr>
          <w:rFonts w:hint="eastAsia" w:ascii="Times New Roman"/>
          <w:color w:val="auto"/>
          <w:kern w:val="2"/>
          <w:sz w:val="28"/>
          <w:szCs w:val="28"/>
        </w:rPr>
        <w:t>每个油罐罐体的防雷、防静电接地点不少于二处。输油管道的法兰连接处跨接。平行敷设于地上或管沟的金属管道与接地装置连接成电气通路，交叉点净距小于100mm时，其交叉点应用金属线（BVR6）跨接。</w:t>
      </w:r>
    </w:p>
    <w:p>
      <w:pPr>
        <w:pStyle w:val="38"/>
        <w:spacing w:line="360" w:lineRule="auto"/>
        <w:ind w:firstLine="560" w:firstLineChars="200"/>
        <w:rPr>
          <w:rFonts w:ascii="Times New Roman" w:cs="Times New Roman"/>
          <w:color w:val="auto"/>
          <w:kern w:val="2"/>
          <w:sz w:val="28"/>
          <w:szCs w:val="28"/>
        </w:rPr>
      </w:pPr>
      <w:r>
        <w:rPr>
          <w:rFonts w:hint="eastAsia" w:ascii="Times New Roman"/>
          <w:color w:val="auto"/>
          <w:kern w:val="2"/>
          <w:sz w:val="28"/>
          <w:szCs w:val="28"/>
        </w:rPr>
        <w:t>在动力配电柜进线处设置I级电涌保护器，在信息系统进线处设置信号电涌保护器，可以有效防止雷电波侵入。</w:t>
      </w:r>
    </w:p>
    <w:p>
      <w:pPr>
        <w:pStyle w:val="38"/>
        <w:spacing w:line="360" w:lineRule="auto"/>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pPr>
        <w:pStyle w:val="38"/>
        <w:spacing w:line="360" w:lineRule="auto"/>
        <w:ind w:firstLine="560" w:firstLineChars="200"/>
        <w:rPr>
          <w:rFonts w:hint="eastAsia" w:ascii="Times New Roman" w:hAnsi="Times New Roman"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本项目工艺系统均为常温常压，在油罐上设置了带高位报警的自动液位仪、渗漏检测传感器、防爆阻火通气罩、压力真空阻火呼吸阀等安全监控防护措施。</w:t>
      </w:r>
    </w:p>
    <w:p>
      <w:pPr>
        <w:pStyle w:val="38"/>
        <w:spacing w:line="360" w:lineRule="auto"/>
        <w:ind w:firstLine="560" w:firstLineChars="200"/>
        <w:rPr>
          <w:rFonts w:hint="eastAsia" w:ascii="Times New Roman" w:hAnsi="Times New Roman" w:eastAsia="宋体" w:cs="宋体"/>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油罐采取卸油时的防满溢措施。当油料达到油罐容量90%时，能触动高液位报警装置；油料达到油罐容量95%时，油罐内的卸油防溢阀能自动切断油料进罐。液位监测仪及渗漏检测仪设置在站长室内。</w:t>
      </w:r>
    </w:p>
    <w:p>
      <w:pPr>
        <w:pStyle w:val="38"/>
        <w:spacing w:line="360" w:lineRule="auto"/>
        <w:ind w:firstLine="560" w:firstLineChars="200"/>
        <w:rPr>
          <w:rFonts w:ascii="Times New Roman" w:cs="Times New Roman"/>
          <w:color w:val="auto"/>
          <w:kern w:val="2"/>
          <w:sz w:val="28"/>
          <w:szCs w:val="28"/>
        </w:rPr>
      </w:pPr>
      <w:r>
        <w:rPr>
          <w:rFonts w:hint="eastAsia" w:ascii="Times New Roman" w:hAnsi="Times New Roman" w:eastAsia="宋体" w:cs="宋体"/>
          <w:color w:val="auto"/>
          <w:kern w:val="2"/>
          <w:sz w:val="28"/>
          <w:szCs w:val="28"/>
          <w:lang w:val="en-US" w:eastAsia="zh-CN" w:bidi="ar-SA"/>
        </w:rPr>
        <w:t>本项目设置了事故紧急切断系统，事故状态下能手动切断加油机控制箱电源，停加油机。加油机设置了紧急拉断阀，事故紧急切断系统按钮共设置2个，一个在站房外墙，另一个装于便利店收银台附近，事故紧急切断系统带失效保护功能，只能手动复位。</w:t>
      </w:r>
    </w:p>
    <w:p>
      <w:pPr>
        <w:keepNext/>
        <w:keepLines/>
        <w:spacing w:line="600" w:lineRule="exact"/>
        <w:outlineLvl w:val="1"/>
        <w:rPr>
          <w:rFonts w:ascii="Times New Roman" w:hAnsi="Times New Roman" w:cs="Times New Roman"/>
          <w:b/>
          <w:bCs/>
          <w:color w:val="auto"/>
          <w:sz w:val="28"/>
          <w:szCs w:val="28"/>
        </w:rPr>
      </w:pPr>
      <w:bookmarkStart w:id="39" w:name="_Toc18501"/>
      <w:bookmarkStart w:id="40" w:name="_Toc343692248"/>
      <w:bookmarkStart w:id="41" w:name="_Toc30410"/>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39"/>
      <w:bookmarkEnd w:id="40"/>
      <w:bookmarkEnd w:id="41"/>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kg</w:t>
      </w:r>
      <w:r>
        <w:rPr>
          <w:rFonts w:hint="eastAsia" w:ascii="Times New Roman" w:hAnsi="Times New Roman" w:cs="宋体"/>
          <w:color w:val="auto"/>
          <w:sz w:val="28"/>
          <w:szCs w:val="28"/>
        </w:rPr>
        <w:t>手提式干粉灭火器</w:t>
      </w:r>
      <w:r>
        <w:rPr>
          <w:rFonts w:hint="eastAsia" w:ascii="Times New Roman" w:hAnsi="Times New Roman" w:cs="Times New Roman"/>
          <w:color w:val="auto"/>
          <w:sz w:val="28"/>
          <w:szCs w:val="28"/>
          <w:lang w:val="en-US" w:eastAsia="zh-CN"/>
        </w:rPr>
        <w:t>8</w:t>
      </w:r>
      <w:r>
        <w:rPr>
          <w:rFonts w:hint="eastAsia" w:ascii="Times New Roman" w:hAnsi="Times New Roman" w:cs="宋体"/>
          <w:color w:val="auto"/>
          <w:sz w:val="28"/>
          <w:szCs w:val="28"/>
        </w:rPr>
        <w:t>具；灭火毯</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块，消防锹</w:t>
      </w:r>
      <w:r>
        <w:rPr>
          <w:rFonts w:ascii="Times New Roman" w:hAnsi="Times New Roman" w:cs="Times New Roman"/>
          <w:color w:val="auto"/>
          <w:sz w:val="28"/>
          <w:szCs w:val="28"/>
        </w:rPr>
        <w:t>2</w:t>
      </w:r>
      <w:r>
        <w:rPr>
          <w:rFonts w:hint="eastAsia" w:ascii="Times New Roman" w:hAnsi="Times New Roman" w:cs="宋体"/>
          <w:color w:val="auto"/>
          <w:sz w:val="28"/>
          <w:szCs w:val="28"/>
        </w:rPr>
        <w:t>把，</w:t>
      </w:r>
      <w:r>
        <w:rPr>
          <w:rFonts w:ascii="Times New Roman" w:hAnsi="Times New Roman" w:cs="Times New Roman"/>
          <w:color w:val="auto"/>
          <w:sz w:val="28"/>
          <w:szCs w:val="28"/>
        </w:rPr>
        <w:t>2m³</w:t>
      </w:r>
      <w:r>
        <w:rPr>
          <w:rFonts w:hint="eastAsia" w:ascii="Times New Roman" w:hAnsi="Times New Roman" w:cs="宋体"/>
          <w:color w:val="auto"/>
          <w:sz w:val="28"/>
          <w:szCs w:val="28"/>
        </w:rPr>
        <w:t>沙池一座。</w:t>
      </w:r>
    </w:p>
    <w:p>
      <w:pPr>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 xml:space="preserve">2-6 </w:t>
      </w:r>
      <w:r>
        <w:rPr>
          <w:rFonts w:hint="eastAsia" w:ascii="Times New Roman" w:hAnsi="Times New Roman" w:cs="宋体"/>
          <w:b/>
          <w:bCs/>
          <w:color w:val="auto"/>
          <w:sz w:val="24"/>
          <w:szCs w:val="24"/>
        </w:rPr>
        <w:t>消防设施一览表</w:t>
      </w:r>
    </w:p>
    <w:tbl>
      <w:tblPr>
        <w:tblStyle w:val="20"/>
        <w:tblW w:w="899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891"/>
        <w:gridCol w:w="1424"/>
        <w:gridCol w:w="1198"/>
        <w:gridCol w:w="1180"/>
        <w:gridCol w:w="2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blHeader/>
        </w:trPr>
        <w:tc>
          <w:tcPr>
            <w:tcW w:w="583"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序号</w:t>
            </w:r>
          </w:p>
        </w:tc>
        <w:tc>
          <w:tcPr>
            <w:tcW w:w="1891"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物资及设备名称</w:t>
            </w:r>
          </w:p>
        </w:tc>
        <w:tc>
          <w:tcPr>
            <w:tcW w:w="1424"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型号</w:t>
            </w:r>
          </w:p>
        </w:tc>
        <w:tc>
          <w:tcPr>
            <w:tcW w:w="1198"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单位</w:t>
            </w:r>
          </w:p>
        </w:tc>
        <w:tc>
          <w:tcPr>
            <w:tcW w:w="1180"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数量</w:t>
            </w:r>
          </w:p>
        </w:tc>
        <w:tc>
          <w:tcPr>
            <w:tcW w:w="2722"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存放位置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583"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1</w:t>
            </w:r>
          </w:p>
        </w:tc>
        <w:tc>
          <w:tcPr>
            <w:tcW w:w="1891" w:type="dxa"/>
            <w:vAlign w:val="center"/>
          </w:tcPr>
          <w:p>
            <w:pPr>
              <w:jc w:val="center"/>
              <w:rPr>
                <w:rFonts w:ascii="Times New Roman" w:hAnsi="Times New Roman" w:cs="Times New Roman"/>
                <w:color w:val="auto"/>
                <w:kern w:val="0"/>
              </w:rPr>
            </w:pPr>
            <w:r>
              <w:rPr>
                <w:rFonts w:hint="eastAsia" w:ascii="Times New Roman" w:hAnsi="Times New Roman" w:cs="Times New Roman"/>
                <w:color w:val="auto"/>
                <w:kern w:val="0"/>
                <w:lang w:val="en-US" w:eastAsia="zh-CN"/>
              </w:rPr>
              <w:t>5</w:t>
            </w:r>
            <w:r>
              <w:rPr>
                <w:rFonts w:ascii="Times New Roman" w:hAnsi="Times New Roman" w:cs="Times New Roman"/>
                <w:color w:val="auto"/>
                <w:kern w:val="0"/>
              </w:rPr>
              <w:t>kg</w:t>
            </w:r>
            <w:r>
              <w:rPr>
                <w:rFonts w:hint="eastAsia" w:ascii="Times New Roman" w:hAnsi="Times New Roman" w:cs="宋体"/>
                <w:color w:val="auto"/>
                <w:kern w:val="0"/>
              </w:rPr>
              <w:t>干粉灭火器</w:t>
            </w:r>
          </w:p>
        </w:tc>
        <w:tc>
          <w:tcPr>
            <w:tcW w:w="1424"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MF/ABC</w:t>
            </w:r>
            <w:r>
              <w:rPr>
                <w:rFonts w:hint="eastAsia" w:ascii="Times New Roman" w:hAnsi="Times New Roman" w:cs="Times New Roman"/>
                <w:color w:val="auto"/>
                <w:kern w:val="0"/>
                <w:lang w:val="en-US" w:eastAsia="zh-CN"/>
              </w:rPr>
              <w:t>5</w:t>
            </w:r>
          </w:p>
        </w:tc>
        <w:tc>
          <w:tcPr>
            <w:tcW w:w="1198"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具</w:t>
            </w:r>
          </w:p>
        </w:tc>
        <w:tc>
          <w:tcPr>
            <w:tcW w:w="1180" w:type="dxa"/>
            <w:vAlign w:val="center"/>
          </w:tcPr>
          <w:p>
            <w:pPr>
              <w:jc w:val="center"/>
              <w:rPr>
                <w:rFonts w:hint="eastAsia"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w:t>
            </w:r>
          </w:p>
        </w:tc>
        <w:tc>
          <w:tcPr>
            <w:tcW w:w="2722" w:type="dxa"/>
            <w:vAlign w:val="center"/>
          </w:tcPr>
          <w:p>
            <w:pPr>
              <w:jc w:val="center"/>
              <w:rPr>
                <w:rFonts w:hint="eastAsia" w:ascii="Times New Roman" w:hAnsi="Times New Roman" w:eastAsia="宋体" w:cs="Times New Roman"/>
                <w:color w:val="auto"/>
                <w:kern w:val="0"/>
                <w:lang w:eastAsia="zh-CN"/>
              </w:rPr>
            </w:pPr>
            <w:r>
              <w:rPr>
                <w:rFonts w:hint="eastAsia" w:ascii="Times New Roman" w:hAnsi="Times New Roman" w:cs="宋体"/>
                <w:color w:val="auto"/>
                <w:kern w:val="0"/>
              </w:rPr>
              <w:t>每个加油岛</w:t>
            </w:r>
            <w:r>
              <w:rPr>
                <w:rFonts w:ascii="Times New Roman" w:hAnsi="Times New Roman" w:cs="Times New Roman"/>
                <w:color w:val="auto"/>
                <w:kern w:val="0"/>
              </w:rPr>
              <w:t>2</w:t>
            </w:r>
            <w:r>
              <w:rPr>
                <w:rFonts w:hint="eastAsia" w:ascii="Times New Roman" w:hAnsi="Times New Roman" w:cs="宋体"/>
                <w:color w:val="auto"/>
                <w:kern w:val="0"/>
              </w:rPr>
              <w:t>个</w:t>
            </w:r>
            <w:r>
              <w:rPr>
                <w:rFonts w:ascii="Times New Roman" w:hAnsi="Times New Roman" w:cs="Times New Roman"/>
                <w:color w:val="auto"/>
                <w:kern w:val="0"/>
              </w:rPr>
              <w:t>(</w:t>
            </w:r>
            <w:r>
              <w:rPr>
                <w:rFonts w:hint="eastAsia" w:ascii="Times New Roman" w:hAnsi="Times New Roman" w:cs="宋体"/>
                <w:color w:val="auto"/>
                <w:kern w:val="0"/>
              </w:rPr>
              <w:t>共</w:t>
            </w:r>
            <w:r>
              <w:rPr>
                <w:rFonts w:ascii="Times New Roman" w:hAnsi="Times New Roman" w:cs="Times New Roman"/>
                <w:color w:val="auto"/>
                <w:kern w:val="0"/>
              </w:rPr>
              <w:t>8</w:t>
            </w:r>
            <w:r>
              <w:rPr>
                <w:rFonts w:hint="eastAsia" w:ascii="Times New Roman" w:hAnsi="Times New Roman" w:cs="宋体"/>
                <w:color w:val="auto"/>
                <w:kern w:val="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583"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2</w:t>
            </w:r>
          </w:p>
        </w:tc>
        <w:tc>
          <w:tcPr>
            <w:tcW w:w="1891" w:type="dxa"/>
            <w:vAlign w:val="center"/>
          </w:tcPr>
          <w:p>
            <w:pPr>
              <w:jc w:val="center"/>
              <w:rPr>
                <w:rFonts w:ascii="Times New Roman" w:hAnsi="Times New Roman" w:cs="Times New Roman"/>
                <w:color w:val="auto"/>
                <w:kern w:val="0"/>
              </w:rPr>
            </w:pPr>
            <w:r>
              <w:rPr>
                <w:rFonts w:hint="eastAsia" w:ascii="Times New Roman" w:hAnsi="Times New Roman" w:cs="Times New Roman"/>
                <w:color w:val="auto"/>
                <w:kern w:val="0"/>
              </w:rPr>
              <w:t>CO</w:t>
            </w:r>
            <w:r>
              <w:rPr>
                <w:rFonts w:ascii="Times New Roman" w:hAnsi="Times New Roman" w:cs="Times New Roman"/>
                <w:color w:val="auto"/>
                <w:kern w:val="0"/>
              </w:rPr>
              <w:t>2</w:t>
            </w:r>
            <w:r>
              <w:rPr>
                <w:rFonts w:hint="eastAsia" w:ascii="Times New Roman" w:hAnsi="Times New Roman" w:cs="Times New Roman"/>
                <w:color w:val="auto"/>
                <w:kern w:val="0"/>
              </w:rPr>
              <w:t>灭火器</w:t>
            </w:r>
          </w:p>
        </w:tc>
        <w:tc>
          <w:tcPr>
            <w:tcW w:w="1424" w:type="dxa"/>
            <w:vAlign w:val="center"/>
          </w:tcPr>
          <w:p>
            <w:pPr>
              <w:jc w:val="center"/>
              <w:rPr>
                <w:rFonts w:hint="eastAsia" w:ascii="Times New Roman" w:hAnsi="Times New Roman" w:eastAsia="宋体" w:cs="Times New Roman"/>
                <w:color w:val="auto"/>
                <w:kern w:val="0"/>
                <w:lang w:eastAsia="zh-CN"/>
              </w:rPr>
            </w:pPr>
          </w:p>
        </w:tc>
        <w:tc>
          <w:tcPr>
            <w:tcW w:w="1198"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具</w:t>
            </w:r>
          </w:p>
        </w:tc>
        <w:tc>
          <w:tcPr>
            <w:tcW w:w="1180" w:type="dxa"/>
            <w:vAlign w:val="center"/>
          </w:tcPr>
          <w:p>
            <w:pPr>
              <w:jc w:val="center"/>
              <w:rPr>
                <w:rFonts w:hint="eastAsia" w:ascii="Times New Roman" w:hAnsi="Times New Roman" w:eastAsia="宋体" w:cs="Times New Roman"/>
                <w:color w:val="auto"/>
                <w:kern w:val="0"/>
                <w:lang w:eastAsia="zh-CN"/>
              </w:rPr>
            </w:pPr>
            <w:r>
              <w:rPr>
                <w:rFonts w:hint="eastAsia" w:ascii="Times New Roman" w:hAnsi="Times New Roman" w:cs="Times New Roman"/>
                <w:color w:val="auto"/>
                <w:kern w:val="0"/>
                <w:lang w:val="en-US" w:eastAsia="zh-CN"/>
              </w:rPr>
              <w:t>4</w:t>
            </w:r>
          </w:p>
        </w:tc>
        <w:tc>
          <w:tcPr>
            <w:tcW w:w="2722"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配电间、站房各2</w:t>
            </w:r>
            <w:r>
              <w:rPr>
                <w:rFonts w:hint="eastAsia" w:ascii="Times New Roman" w:hAnsi="Times New Roman" w:cs="宋体"/>
                <w:color w:val="auto"/>
                <w:kern w:val="0"/>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83"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3</w:t>
            </w:r>
          </w:p>
        </w:tc>
        <w:tc>
          <w:tcPr>
            <w:tcW w:w="1891"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灭火毯</w:t>
            </w:r>
          </w:p>
        </w:tc>
        <w:tc>
          <w:tcPr>
            <w:tcW w:w="1424"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w:t>
            </w:r>
          </w:p>
        </w:tc>
        <w:tc>
          <w:tcPr>
            <w:tcW w:w="1198"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块</w:t>
            </w:r>
          </w:p>
        </w:tc>
        <w:tc>
          <w:tcPr>
            <w:tcW w:w="1180" w:type="dxa"/>
            <w:vAlign w:val="center"/>
          </w:tcPr>
          <w:p>
            <w:pPr>
              <w:jc w:val="center"/>
              <w:rPr>
                <w:rFonts w:hint="eastAsia" w:ascii="Times New Roman" w:hAnsi="Times New Roman" w:eastAsia="宋体" w:cs="Times New Roman"/>
                <w:color w:val="auto"/>
                <w:kern w:val="0"/>
                <w:lang w:eastAsia="zh-CN"/>
              </w:rPr>
            </w:pPr>
            <w:r>
              <w:rPr>
                <w:rFonts w:hint="eastAsia" w:ascii="Times New Roman" w:hAnsi="Times New Roman" w:cs="Times New Roman"/>
                <w:color w:val="auto"/>
                <w:kern w:val="0"/>
                <w:lang w:val="en-US" w:eastAsia="zh-CN"/>
              </w:rPr>
              <w:t>5</w:t>
            </w:r>
          </w:p>
        </w:tc>
        <w:tc>
          <w:tcPr>
            <w:tcW w:w="2722" w:type="dxa"/>
            <w:vAlign w:val="center"/>
          </w:tcPr>
          <w:p>
            <w:pPr>
              <w:jc w:val="center"/>
              <w:rPr>
                <w:rFonts w:hint="eastAsia" w:ascii="Times New Roman" w:hAnsi="Times New Roman" w:eastAsia="宋体" w:cs="Times New Roman"/>
                <w:color w:val="auto"/>
                <w:kern w:val="0"/>
                <w:lang w:eastAsia="zh-CN"/>
              </w:rPr>
            </w:pPr>
            <w:r>
              <w:rPr>
                <w:rFonts w:hint="eastAsia" w:ascii="Times New Roman" w:hAnsi="Times New Roman" w:cs="宋体"/>
                <w:color w:val="auto"/>
                <w:kern w:val="0"/>
              </w:rPr>
              <w:t>加油岛各</w:t>
            </w:r>
            <w:r>
              <w:rPr>
                <w:rFonts w:ascii="Times New Roman" w:hAnsi="Times New Roman" w:cs="Times New Roman"/>
                <w:color w:val="auto"/>
                <w:kern w:val="0"/>
              </w:rPr>
              <w:t>1</w:t>
            </w:r>
            <w:r>
              <w:rPr>
                <w:rFonts w:hint="eastAsia" w:ascii="Times New Roman" w:hAnsi="Times New Roman" w:cs="宋体"/>
                <w:color w:val="auto"/>
                <w:kern w:val="0"/>
              </w:rPr>
              <w:t>块（共</w:t>
            </w:r>
            <w:r>
              <w:rPr>
                <w:rFonts w:ascii="Times New Roman" w:hAnsi="Times New Roman" w:cs="Times New Roman"/>
                <w:color w:val="auto"/>
                <w:kern w:val="0"/>
              </w:rPr>
              <w:t>4</w:t>
            </w:r>
            <w:r>
              <w:rPr>
                <w:rFonts w:hint="eastAsia" w:ascii="Times New Roman" w:hAnsi="Times New Roman" w:cs="宋体"/>
                <w:color w:val="auto"/>
                <w:kern w:val="0"/>
              </w:rPr>
              <w:t>块），卸油点</w:t>
            </w:r>
            <w:r>
              <w:rPr>
                <w:rFonts w:ascii="Times New Roman" w:hAnsi="Times New Roman" w:cs="Times New Roman"/>
                <w:color w:val="auto"/>
                <w:kern w:val="0"/>
              </w:rPr>
              <w:t>1</w:t>
            </w:r>
            <w:r>
              <w:rPr>
                <w:rFonts w:hint="eastAsia" w:ascii="Times New Roman" w:hAnsi="Times New Roman" w:cs="宋体"/>
                <w:color w:val="auto"/>
                <w:kern w:val="0"/>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583"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4</w:t>
            </w:r>
          </w:p>
        </w:tc>
        <w:tc>
          <w:tcPr>
            <w:tcW w:w="1891"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消防沙池</w:t>
            </w:r>
          </w:p>
        </w:tc>
        <w:tc>
          <w:tcPr>
            <w:tcW w:w="1424"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w:t>
            </w:r>
          </w:p>
        </w:tc>
        <w:tc>
          <w:tcPr>
            <w:tcW w:w="1198"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m³</w:t>
            </w:r>
          </w:p>
        </w:tc>
        <w:tc>
          <w:tcPr>
            <w:tcW w:w="1180" w:type="dxa"/>
            <w:vAlign w:val="center"/>
          </w:tcPr>
          <w:p>
            <w:pPr>
              <w:jc w:val="center"/>
              <w:rPr>
                <w:rFonts w:hint="eastAsia" w:ascii="Times New Roman" w:hAnsi="Times New Roman" w:eastAsia="宋体" w:cs="Times New Roman"/>
                <w:color w:val="auto"/>
                <w:kern w:val="0"/>
                <w:lang w:eastAsia="zh-CN"/>
              </w:rPr>
            </w:pPr>
            <w:r>
              <w:rPr>
                <w:rFonts w:ascii="Times New Roman" w:hAnsi="Times New Roman" w:cs="Times New Roman"/>
                <w:color w:val="auto"/>
                <w:kern w:val="0"/>
              </w:rPr>
              <w:t>2</w:t>
            </w:r>
          </w:p>
        </w:tc>
        <w:tc>
          <w:tcPr>
            <w:tcW w:w="2722"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密闭卸油点旁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83"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5</w:t>
            </w:r>
          </w:p>
        </w:tc>
        <w:tc>
          <w:tcPr>
            <w:tcW w:w="1891"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消防锹</w:t>
            </w:r>
          </w:p>
        </w:tc>
        <w:tc>
          <w:tcPr>
            <w:tcW w:w="1424" w:type="dxa"/>
            <w:vAlign w:val="center"/>
          </w:tcPr>
          <w:p>
            <w:pPr>
              <w:jc w:val="center"/>
              <w:rPr>
                <w:rFonts w:ascii="Times New Roman" w:hAnsi="Times New Roman" w:cs="Times New Roman"/>
                <w:color w:val="auto"/>
                <w:kern w:val="0"/>
              </w:rPr>
            </w:pPr>
            <w:r>
              <w:rPr>
                <w:rFonts w:ascii="Times New Roman" w:hAnsi="Times New Roman" w:cs="Times New Roman"/>
                <w:color w:val="auto"/>
                <w:kern w:val="0"/>
              </w:rPr>
              <w:t>--</w:t>
            </w:r>
          </w:p>
        </w:tc>
        <w:tc>
          <w:tcPr>
            <w:tcW w:w="1198"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把</w:t>
            </w:r>
          </w:p>
        </w:tc>
        <w:tc>
          <w:tcPr>
            <w:tcW w:w="1180" w:type="dxa"/>
            <w:vAlign w:val="center"/>
          </w:tcPr>
          <w:p>
            <w:pPr>
              <w:jc w:val="center"/>
              <w:rPr>
                <w:rFonts w:hint="eastAsia" w:ascii="Times New Roman" w:hAnsi="Times New Roman" w:eastAsia="宋体" w:cs="Times New Roman"/>
                <w:color w:val="auto"/>
                <w:kern w:val="0"/>
                <w:lang w:eastAsia="zh-CN"/>
              </w:rPr>
            </w:pPr>
            <w:r>
              <w:rPr>
                <w:rFonts w:hint="eastAsia" w:ascii="Times New Roman" w:hAnsi="Times New Roman" w:cs="Times New Roman"/>
                <w:color w:val="auto"/>
                <w:kern w:val="0"/>
                <w:lang w:val="en-US" w:eastAsia="zh-CN"/>
              </w:rPr>
              <w:t>5</w:t>
            </w:r>
          </w:p>
        </w:tc>
        <w:tc>
          <w:tcPr>
            <w:tcW w:w="2722" w:type="dxa"/>
            <w:vAlign w:val="center"/>
          </w:tcPr>
          <w:p>
            <w:pPr>
              <w:jc w:val="center"/>
              <w:rPr>
                <w:rFonts w:ascii="Times New Roman" w:hAnsi="Times New Roman" w:cs="Times New Roman"/>
                <w:color w:val="auto"/>
                <w:kern w:val="0"/>
              </w:rPr>
            </w:pPr>
            <w:r>
              <w:rPr>
                <w:rFonts w:hint="eastAsia" w:ascii="Times New Roman" w:hAnsi="Times New Roman" w:cs="宋体"/>
                <w:color w:val="auto"/>
                <w:kern w:val="0"/>
              </w:rPr>
              <w:t>密闭卸油点旁</w:t>
            </w:r>
          </w:p>
        </w:tc>
      </w:tr>
    </w:tbl>
    <w:p>
      <w:p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、安全设施：</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加油机自带紧急切断按钮。</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cs="宋体"/>
          <w:color w:val="auto"/>
          <w:sz w:val="28"/>
          <w:szCs w:val="28"/>
        </w:rPr>
        <w:t>油罐设有通气管，共</w:t>
      </w:r>
      <w:r>
        <w:rPr>
          <w:rFonts w:hint="eastAsia" w:ascii="Times New Roman" w:hAnsi="Times New Roman" w:cs="Times New Roman"/>
          <w:color w:val="auto"/>
          <w:sz w:val="28"/>
          <w:szCs w:val="28"/>
          <w:lang w:val="en-US" w:eastAsia="zh-CN"/>
        </w:rPr>
        <w:t>2</w:t>
      </w:r>
      <w:r>
        <w:rPr>
          <w:rFonts w:hint="eastAsia" w:ascii="Times New Roman" w:hAnsi="Times New Roman" w:cs="宋体"/>
          <w:color w:val="auto"/>
          <w:sz w:val="28"/>
          <w:szCs w:val="28"/>
        </w:rPr>
        <w:t>根通气管和</w:t>
      </w:r>
      <w:r>
        <w:rPr>
          <w:rFonts w:ascii="Times New Roman" w:hAnsi="Times New Roman" w:cs="Times New Roman"/>
          <w:color w:val="auto"/>
          <w:sz w:val="28"/>
          <w:szCs w:val="28"/>
        </w:rPr>
        <w:t>1</w:t>
      </w:r>
      <w:r>
        <w:rPr>
          <w:rFonts w:hint="eastAsia" w:ascii="Times New Roman" w:hAnsi="Times New Roman" w:cs="宋体"/>
          <w:color w:val="auto"/>
          <w:sz w:val="28"/>
          <w:szCs w:val="28"/>
        </w:rPr>
        <w:t>根油气回收管，通气管高出地面</w:t>
      </w:r>
      <w:r>
        <w:rPr>
          <w:rFonts w:ascii="Times New Roman" w:hAnsi="Times New Roman" w:cs="Times New Roman"/>
          <w:color w:val="auto"/>
          <w:sz w:val="28"/>
          <w:szCs w:val="28"/>
        </w:rPr>
        <w:t>4m</w:t>
      </w:r>
      <w:r>
        <w:rPr>
          <w:rFonts w:hint="eastAsia" w:ascii="Times New Roman" w:hAnsi="Times New Roman" w:cs="宋体"/>
          <w:color w:val="auto"/>
          <w:kern w:val="0"/>
          <w:sz w:val="28"/>
          <w:szCs w:val="28"/>
        </w:rPr>
        <w:t>。</w:t>
      </w:r>
      <w:r>
        <w:rPr>
          <w:rFonts w:hint="eastAsia" w:ascii="Times New Roman" w:hAnsi="Times New Roman" w:eastAsia="宋体" w:cs="宋体"/>
          <w:color w:val="auto"/>
          <w:sz w:val="28"/>
          <w:szCs w:val="28"/>
        </w:rPr>
        <w:t>通气管管口设有防雨型阻火器，汽油罐通气管装有压力真空阻火呼吸阀，油气回收管上安装压力调节阀。卸油管上安装了卸油防溢阀，卸油时油料达到油罐容量</w:t>
      </w:r>
      <w:r>
        <w:rPr>
          <w:rFonts w:ascii="Times New Roman" w:hAnsi="Times New Roman" w:eastAsia="宋体" w:cs="Times New Roman"/>
          <w:color w:val="auto"/>
          <w:sz w:val="28"/>
          <w:szCs w:val="28"/>
        </w:rPr>
        <w:t>90</w:t>
      </w:r>
      <w:r>
        <w:rPr>
          <w:rFonts w:hint="eastAsia" w:ascii="Times New Roman" w:hAnsi="Times New Roman" w:eastAsia="宋体" w:cs="宋体"/>
          <w:color w:val="auto"/>
          <w:sz w:val="28"/>
          <w:szCs w:val="28"/>
        </w:rPr>
        <w:t>％时，能触动高液位报警装置，</w:t>
      </w:r>
      <w:r>
        <w:rPr>
          <w:rFonts w:hint="eastAsia" w:ascii="Times New Roman" w:hAnsi="Times New Roman" w:eastAsia="宋体" w:cs="宋体"/>
          <w:color w:val="auto"/>
          <w:kern w:val="0"/>
          <w:sz w:val="28"/>
          <w:szCs w:val="28"/>
        </w:rPr>
        <w:t>油料达到油罐容量</w:t>
      </w:r>
      <w:r>
        <w:rPr>
          <w:rFonts w:ascii="Times New Roman" w:hAnsi="Times New Roman" w:eastAsia="宋体" w:cs="Times New Roman"/>
          <w:color w:val="auto"/>
          <w:kern w:val="0"/>
          <w:sz w:val="28"/>
          <w:szCs w:val="28"/>
        </w:rPr>
        <w:t>95</w:t>
      </w:r>
      <w:r>
        <w:rPr>
          <w:rFonts w:hint="eastAsia" w:ascii="Times New Roman" w:hAnsi="Times New Roman" w:eastAsia="宋体" w:cs="宋体"/>
          <w:color w:val="auto"/>
          <w:kern w:val="0"/>
          <w:sz w:val="28"/>
          <w:szCs w:val="28"/>
        </w:rPr>
        <w:t>％时，能自动停止油料继续进罐。</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油储罐进油口、出油管、量油孔、通气管直接单独通往油罐，人孔设有操作井，人孔井采用钢制人孔盖。油罐顶部纵向中心线上均装设渗漏检测立管，在办公室设置</w:t>
      </w:r>
      <w:r>
        <w:rPr>
          <w:rFonts w:hint="eastAsia" w:ascii="Times New Roman" w:hAnsi="Times New Roman" w:eastAsia="宋体" w:cs="宋体"/>
          <w:color w:val="auto"/>
          <w:spacing w:val="-2"/>
          <w:sz w:val="28"/>
          <w:szCs w:val="28"/>
        </w:rPr>
        <w:t>防渗漏检测仪。</w:t>
      </w:r>
    </w:p>
    <w:p>
      <w:pPr>
        <w:spacing w:line="600" w:lineRule="exact"/>
        <w:ind w:firstLine="552" w:firstLineChars="200"/>
        <w:rPr>
          <w:rFonts w:ascii="Times New Roman" w:hAnsi="Times New Roman" w:eastAsia="宋体" w:cs="Times New Roman"/>
          <w:color w:val="auto"/>
          <w:spacing w:val="-2"/>
          <w:sz w:val="28"/>
          <w:szCs w:val="28"/>
        </w:rPr>
      </w:pPr>
      <w:r>
        <w:rPr>
          <w:rFonts w:hint="eastAsia" w:ascii="Times New Roman" w:hAnsi="Times New Roman" w:eastAsia="宋体" w:cs="宋体"/>
          <w:color w:val="auto"/>
          <w:spacing w:val="-2"/>
          <w:sz w:val="28"/>
          <w:szCs w:val="28"/>
        </w:rPr>
        <w:t>罐区卸油口设置有用于连接车辆的静电报警仪。储罐及管道进行了静电接地，法兰连接处用铜片进行了跨接。卸油管采用内设金属丝的软管，可以和车辆的油罐和储油罐进行可靠的静电连接。油罐设有双层管线渗漏装置，防溢油阀、高液位报警仪。</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加油机罩棚顶灯为隔爆型荧光灯。</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输油管线采用地沟预埋式，地沟用细沙填实。</w:t>
      </w:r>
    </w:p>
    <w:p>
      <w:pPr>
        <w:widowControl w:val="0"/>
        <w:autoSpaceDE w:val="0"/>
        <w:autoSpaceDN w:val="0"/>
        <w:adjustRightInd w:val="0"/>
        <w:ind w:firstLine="560" w:firstLineChars="200"/>
        <w:rPr>
          <w:rFonts w:ascii="Times New Roman" w:hAnsi="Times New Roman" w:eastAsia="宋体" w:cs="Times New Roman"/>
          <w:color w:val="auto"/>
          <w:kern w:val="2"/>
          <w:sz w:val="28"/>
          <w:szCs w:val="28"/>
          <w:lang w:val="en-US" w:eastAsia="zh-CN" w:bidi="ar-SA"/>
        </w:rPr>
      </w:pPr>
      <w:r>
        <w:rPr>
          <w:rFonts w:hint="eastAsia" w:ascii="Times New Roman" w:hAnsi="Times New Roman" w:eastAsia="宋体" w:cs="宋体"/>
          <w:color w:val="auto"/>
          <w:kern w:val="2"/>
          <w:sz w:val="28"/>
          <w:szCs w:val="28"/>
          <w:lang w:val="en-US" w:eastAsia="zh-CN" w:bidi="ar-SA"/>
        </w:rPr>
        <w:t>加油机采用防爆型自动计量加油机。加油机设置安全拉断阀</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加油站罩棚（含承重油罐区）为二类防雷，站房为三类防雷，采用接闪带防直击雷。防雷、防静电单独设置接地装置，罩棚顶设有避雷装置，周围建筑物、所有设施均在防雷有效保护范围内。防雷、防静电装置经检测符合要求。</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站内采用穿钢管埋地电缆敷设到用电设备。</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加油站劳动保护用品主要包括防静电工作服，手套等。</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现场站房内和站房外墙上设有紧急切断装置按钮。</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加油站出入口及周边、作业防火区内，选用</w:t>
      </w:r>
      <w:r>
        <w:rPr>
          <w:rFonts w:ascii="Times New Roman" w:hAnsi="Times New Roman" w:eastAsia="宋体" w:cs="Times New Roman"/>
          <w:color w:val="auto"/>
          <w:sz w:val="28"/>
          <w:szCs w:val="28"/>
        </w:rPr>
        <w:t>“</w:t>
      </w:r>
      <w:r>
        <w:rPr>
          <w:rFonts w:hint="eastAsia" w:ascii="Times New Roman" w:hAnsi="Times New Roman" w:eastAsia="宋体" w:cs="宋体"/>
          <w:color w:val="auto"/>
          <w:sz w:val="28"/>
          <w:szCs w:val="28"/>
        </w:rPr>
        <w:t>禁止烟火</w:t>
      </w:r>
      <w:r>
        <w:rPr>
          <w:rFonts w:ascii="Times New Roman" w:hAnsi="Times New Roman" w:eastAsia="宋体" w:cs="Times New Roman"/>
          <w:color w:val="auto"/>
          <w:sz w:val="28"/>
          <w:szCs w:val="28"/>
        </w:rPr>
        <w:t>”</w:t>
      </w:r>
      <w:r>
        <w:rPr>
          <w:rFonts w:hint="eastAsia" w:ascii="Times New Roman" w:hAnsi="Times New Roman" w:eastAsia="宋体" w:cs="宋体"/>
          <w:color w:val="auto"/>
          <w:sz w:val="28"/>
          <w:szCs w:val="28"/>
        </w:rPr>
        <w:t>、</w:t>
      </w:r>
      <w:r>
        <w:rPr>
          <w:rFonts w:ascii="Times New Roman" w:hAnsi="Times New Roman" w:eastAsia="宋体" w:cs="Times New Roman"/>
          <w:color w:val="auto"/>
          <w:sz w:val="28"/>
          <w:szCs w:val="28"/>
        </w:rPr>
        <w:t>“</w:t>
      </w:r>
      <w:r>
        <w:rPr>
          <w:rFonts w:hint="eastAsia" w:ascii="Times New Roman" w:hAnsi="Times New Roman" w:eastAsia="宋体" w:cs="宋体"/>
          <w:color w:val="auto"/>
          <w:sz w:val="28"/>
          <w:szCs w:val="28"/>
        </w:rPr>
        <w:t>禁止使用手机</w:t>
      </w:r>
      <w:r>
        <w:rPr>
          <w:rFonts w:ascii="Times New Roman" w:hAnsi="Times New Roman" w:eastAsia="宋体" w:cs="Times New Roman"/>
          <w:color w:val="auto"/>
          <w:sz w:val="28"/>
          <w:szCs w:val="28"/>
        </w:rPr>
        <w:t>”</w:t>
      </w:r>
      <w:r>
        <w:rPr>
          <w:rFonts w:hint="eastAsia" w:ascii="Times New Roman" w:hAnsi="Times New Roman" w:eastAsia="宋体" w:cs="宋体"/>
          <w:color w:val="auto"/>
          <w:sz w:val="28"/>
          <w:szCs w:val="28"/>
        </w:rPr>
        <w:t>标志；在卸油区域设置“卸油作业规程”操作牌，在加油站设置“安全风险管控告知牌”。</w:t>
      </w:r>
    </w:p>
    <w:p>
      <w:pPr>
        <w:pStyle w:val="38"/>
        <w:numPr>
          <w:ilvl w:val="0"/>
          <w:numId w:val="0"/>
        </w:numPr>
        <w:spacing w:line="360" w:lineRule="auto"/>
        <w:ind w:firstLine="560" w:firstLineChars="200"/>
        <w:rPr>
          <w:rFonts w:hint="eastAsia" w:ascii="Times New Roman" w:eastAsia="宋体" w:cs="Times New Roman"/>
          <w:color w:val="auto"/>
          <w:sz w:val="28"/>
          <w:szCs w:val="28"/>
          <w:lang w:eastAsia="zh-CN"/>
        </w:rPr>
      </w:pPr>
      <w:r>
        <w:rPr>
          <w:rFonts w:hint="eastAsia" w:ascii="Times New Roman"/>
          <w:color w:val="auto"/>
          <w:sz w:val="28"/>
          <w:szCs w:val="28"/>
          <w:lang w:val="en-US" w:eastAsia="zh-CN"/>
        </w:rPr>
        <w:t>3、</w:t>
      </w:r>
      <w:r>
        <w:rPr>
          <w:rFonts w:hint="eastAsia" w:ascii="Times New Roman"/>
          <w:color w:val="auto"/>
          <w:sz w:val="28"/>
          <w:szCs w:val="28"/>
          <w:lang w:eastAsia="zh-CN"/>
        </w:rPr>
        <w:t>防雷</w:t>
      </w:r>
    </w:p>
    <w:p>
      <w:pPr>
        <w:spacing w:line="360" w:lineRule="auto"/>
        <w:ind w:firstLine="560" w:firstLineChars="200"/>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江西赣象防雷检测中心有限公司景德镇分公司于202</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lang w:eastAsia="zh-CN"/>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lang w:eastAsia="zh-CN"/>
        </w:rPr>
        <w:t>月</w:t>
      </w:r>
      <w:r>
        <w:rPr>
          <w:rFonts w:hint="eastAsia" w:ascii="Times New Roman" w:hAnsi="Times New Roman" w:cs="宋体"/>
          <w:color w:val="auto"/>
          <w:sz w:val="28"/>
          <w:szCs w:val="28"/>
          <w:lang w:val="en-US" w:eastAsia="zh-CN"/>
        </w:rPr>
        <w:t>11</w:t>
      </w:r>
      <w:r>
        <w:rPr>
          <w:rFonts w:hint="eastAsia" w:ascii="Times New Roman" w:hAnsi="Times New Roman" w:cs="宋体"/>
          <w:color w:val="auto"/>
          <w:sz w:val="28"/>
          <w:szCs w:val="28"/>
          <w:lang w:eastAsia="zh-CN"/>
        </w:rPr>
        <w:t>日对江西景德镇石油分公司鱼丽加油站防雷装置进行检测，检测结论为合格，报告有效期至2023年</w:t>
      </w:r>
      <w:r>
        <w:rPr>
          <w:rFonts w:hint="eastAsia" w:ascii="Times New Roman" w:hAnsi="Times New Roman" w:cs="宋体"/>
          <w:color w:val="auto"/>
          <w:sz w:val="28"/>
          <w:szCs w:val="28"/>
          <w:lang w:val="en-US" w:eastAsia="zh-CN"/>
        </w:rPr>
        <w:t>10</w:t>
      </w:r>
      <w:r>
        <w:rPr>
          <w:rFonts w:hint="eastAsia" w:ascii="Times New Roman" w:hAnsi="Times New Roman" w:cs="宋体"/>
          <w:color w:val="auto"/>
          <w:sz w:val="28"/>
          <w:szCs w:val="28"/>
          <w:lang w:eastAsia="zh-CN"/>
        </w:rPr>
        <w:t>月1</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eastAsia="zh-CN"/>
        </w:rPr>
        <w:t>日。</w:t>
      </w:r>
    </w:p>
    <w:p>
      <w:pPr>
        <w:spacing w:line="360" w:lineRule="auto"/>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4、安全管理</w:t>
      </w:r>
    </w:p>
    <w:p>
      <w:pPr>
        <w:spacing w:line="360" w:lineRule="auto"/>
        <w:ind w:firstLine="560" w:firstLineChars="200"/>
        <w:rPr>
          <w:rFonts w:hint="default" w:ascii="Times New Roman" w:hAnsi="Times New Roman" w:cs="宋体"/>
          <w:b/>
          <w:bCs/>
          <w:color w:val="auto"/>
          <w:sz w:val="24"/>
          <w:szCs w:val="24"/>
          <w:lang w:val="en-US" w:eastAsia="zh-CN"/>
        </w:rPr>
      </w:pPr>
      <w:r>
        <w:rPr>
          <w:rFonts w:hint="eastAsia" w:ascii="Times New Roman" w:hAnsi="Times New Roman" w:cs="宋体"/>
          <w:color w:val="auto"/>
          <w:sz w:val="28"/>
          <w:szCs w:val="28"/>
          <w:lang w:val="en-US" w:eastAsia="zh-CN"/>
        </w:rPr>
        <w:t>该加油站制定了安全经营职责，明确规定了岗位人员的安全生产职责和要求。主要负责人、安全管理人员已取得相应的资格证书，证书在有效期内。</w:t>
      </w:r>
    </w:p>
    <w:p>
      <w:pPr>
        <w:jc w:val="center"/>
        <w:rPr>
          <w:rFonts w:ascii="Times New Roman" w:hAnsi="Times New Roman" w:eastAsia="宋体" w:cs="Times New Roman"/>
          <w:b/>
          <w:bCs/>
          <w:color w:val="auto"/>
          <w:sz w:val="24"/>
          <w:szCs w:val="24"/>
        </w:rPr>
      </w:pPr>
      <w:r>
        <w:rPr>
          <w:rFonts w:hint="eastAsia" w:ascii="Times New Roman" w:hAnsi="Times New Roman" w:eastAsia="宋体" w:cs="宋体"/>
          <w:b/>
          <w:bCs/>
          <w:color w:val="auto"/>
          <w:sz w:val="24"/>
          <w:szCs w:val="24"/>
        </w:rPr>
        <w:t>表</w:t>
      </w:r>
      <w:r>
        <w:rPr>
          <w:rFonts w:ascii="Times New Roman" w:hAnsi="Times New Roman" w:eastAsia="宋体" w:cs="Times New Roman"/>
          <w:b/>
          <w:bCs/>
          <w:color w:val="auto"/>
          <w:sz w:val="24"/>
          <w:szCs w:val="24"/>
        </w:rPr>
        <w:t xml:space="preserve">2-7  </w:t>
      </w:r>
      <w:r>
        <w:rPr>
          <w:rFonts w:hint="eastAsia" w:ascii="Times New Roman" w:hAnsi="Times New Roman" w:eastAsia="宋体" w:cs="宋体"/>
          <w:b/>
          <w:bCs/>
          <w:color w:val="auto"/>
          <w:sz w:val="24"/>
          <w:szCs w:val="24"/>
        </w:rPr>
        <w:t>主要负责人、安全管理人员名录</w:t>
      </w:r>
    </w:p>
    <w:tbl>
      <w:tblPr>
        <w:tblStyle w:val="20"/>
        <w:tblW w:w="899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76"/>
        <w:gridCol w:w="1853"/>
        <w:gridCol w:w="2055"/>
        <w:gridCol w:w="2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70"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序号</w:t>
            </w:r>
          </w:p>
        </w:tc>
        <w:tc>
          <w:tcPr>
            <w:tcW w:w="1476"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姓名</w:t>
            </w:r>
          </w:p>
        </w:tc>
        <w:tc>
          <w:tcPr>
            <w:tcW w:w="1853"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人员类型</w:t>
            </w:r>
          </w:p>
        </w:tc>
        <w:tc>
          <w:tcPr>
            <w:tcW w:w="2055"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发证机关</w:t>
            </w:r>
          </w:p>
        </w:tc>
        <w:tc>
          <w:tcPr>
            <w:tcW w:w="2944"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有效期限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70" w:type="dxa"/>
            <w:vAlign w:val="center"/>
          </w:tcPr>
          <w:p>
            <w:pPr>
              <w:jc w:val="center"/>
              <w:rPr>
                <w:rFonts w:ascii="Times New Roman" w:hAnsi="Times New Roman" w:eastAsia="宋体" w:cs="Times New Roman"/>
                <w:color w:val="auto"/>
                <w:kern w:val="0"/>
                <w:sz w:val="18"/>
                <w:szCs w:val="18"/>
              </w:rPr>
            </w:pPr>
            <w:r>
              <w:rPr>
                <w:rFonts w:ascii="Times New Roman" w:hAnsi="Times New Roman" w:eastAsia="宋体" w:cs="Times New Roman"/>
                <w:color w:val="auto"/>
                <w:kern w:val="0"/>
                <w:sz w:val="18"/>
                <w:szCs w:val="18"/>
              </w:rPr>
              <w:t>1</w:t>
            </w:r>
          </w:p>
        </w:tc>
        <w:tc>
          <w:tcPr>
            <w:tcW w:w="1476" w:type="dxa"/>
            <w:vAlign w:val="center"/>
          </w:tcPr>
          <w:p>
            <w:pPr>
              <w:jc w:val="center"/>
              <w:rPr>
                <w:rFonts w:hint="eastAsia" w:ascii="Times New Roman" w:hAnsi="Times New Roman" w:eastAsia="宋体" w:cs="Times New Roman"/>
                <w:color w:val="auto"/>
                <w:kern w:val="0"/>
                <w:sz w:val="18"/>
                <w:szCs w:val="18"/>
                <w:lang w:eastAsia="zh-CN"/>
              </w:rPr>
            </w:pPr>
            <w:r>
              <w:rPr>
                <w:rFonts w:hint="eastAsia" w:ascii="Times New Roman" w:hAnsi="Times New Roman" w:eastAsia="宋体" w:cs="宋体"/>
                <w:color w:val="auto"/>
                <w:kern w:val="0"/>
                <w:sz w:val="18"/>
                <w:szCs w:val="18"/>
                <w:lang w:eastAsia="zh-CN"/>
              </w:rPr>
              <w:t>朱正阳</w:t>
            </w:r>
          </w:p>
        </w:tc>
        <w:tc>
          <w:tcPr>
            <w:tcW w:w="1853"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主要负责人</w:t>
            </w:r>
          </w:p>
        </w:tc>
        <w:tc>
          <w:tcPr>
            <w:tcW w:w="2055"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lang w:eastAsia="zh-CN"/>
              </w:rPr>
              <w:t>景德镇</w:t>
            </w:r>
            <w:r>
              <w:rPr>
                <w:rFonts w:hint="eastAsia" w:ascii="Times New Roman" w:hAnsi="Times New Roman" w:eastAsia="宋体" w:cs="宋体"/>
                <w:color w:val="auto"/>
                <w:kern w:val="0"/>
                <w:sz w:val="18"/>
                <w:szCs w:val="18"/>
              </w:rPr>
              <w:t>市应急管理局</w:t>
            </w:r>
          </w:p>
        </w:tc>
        <w:tc>
          <w:tcPr>
            <w:tcW w:w="2944" w:type="dxa"/>
            <w:vAlign w:val="center"/>
          </w:tcPr>
          <w:p>
            <w:pPr>
              <w:jc w:val="center"/>
              <w:rPr>
                <w:rFonts w:ascii="Times New Roman" w:hAnsi="Times New Roman" w:eastAsia="宋体" w:cs="Times New Roman"/>
                <w:color w:val="auto"/>
                <w:kern w:val="0"/>
                <w:sz w:val="18"/>
                <w:szCs w:val="18"/>
              </w:rPr>
            </w:pPr>
            <w:r>
              <w:rPr>
                <w:rFonts w:ascii="Times New Roman" w:hAnsi="Times New Roman" w:eastAsia="宋体" w:cs="Times New Roman"/>
                <w:color w:val="auto"/>
                <w:kern w:val="0"/>
                <w:sz w:val="18"/>
                <w:szCs w:val="18"/>
              </w:rPr>
              <w:t>202</w:t>
            </w:r>
            <w:r>
              <w:rPr>
                <w:rFonts w:hint="eastAsia" w:ascii="Times New Roman" w:hAnsi="Times New Roman" w:eastAsia="宋体" w:cs="Times New Roman"/>
                <w:color w:val="auto"/>
                <w:kern w:val="0"/>
                <w:sz w:val="18"/>
                <w:szCs w:val="18"/>
                <w:lang w:val="en-US" w:eastAsia="zh-CN"/>
              </w:rPr>
              <w:t>3</w:t>
            </w:r>
            <w:r>
              <w:rPr>
                <w:rFonts w:ascii="Times New Roman" w:hAnsi="Times New Roman" w:eastAsia="宋体" w:cs="Times New Roman"/>
                <w:color w:val="auto"/>
                <w:kern w:val="0"/>
                <w:sz w:val="18"/>
                <w:szCs w:val="18"/>
              </w:rPr>
              <w:t>-</w:t>
            </w:r>
            <w:r>
              <w:rPr>
                <w:rFonts w:hint="eastAsia" w:ascii="Times New Roman" w:hAnsi="Times New Roman" w:eastAsia="宋体" w:cs="Times New Roman"/>
                <w:color w:val="auto"/>
                <w:kern w:val="0"/>
                <w:sz w:val="18"/>
                <w:szCs w:val="18"/>
                <w:lang w:val="en-US" w:eastAsia="zh-CN"/>
              </w:rPr>
              <w:t>01</w:t>
            </w:r>
            <w:r>
              <w:rPr>
                <w:rFonts w:ascii="Times New Roman" w:hAnsi="Times New Roman" w:eastAsia="宋体" w:cs="Times New Roman"/>
                <w:color w:val="auto"/>
                <w:kern w:val="0"/>
                <w:sz w:val="18"/>
                <w:szCs w:val="18"/>
              </w:rPr>
              <w:t>-</w:t>
            </w:r>
            <w:r>
              <w:rPr>
                <w:rFonts w:hint="eastAsia" w:ascii="Times New Roman" w:hAnsi="Times New Roman" w:eastAsia="宋体" w:cs="Times New Roman"/>
                <w:color w:val="auto"/>
                <w:kern w:val="0"/>
                <w:sz w:val="18"/>
                <w:szCs w:val="18"/>
                <w:lang w:val="en-US" w:eastAsia="zh-CN"/>
              </w:rPr>
              <w:t>12</w:t>
            </w:r>
            <w:r>
              <w:rPr>
                <w:rFonts w:hint="eastAsia" w:ascii="Times New Roman" w:hAnsi="Times New Roman" w:eastAsia="宋体" w:cs="宋体"/>
                <w:color w:val="auto"/>
                <w:kern w:val="0"/>
                <w:sz w:val="18"/>
                <w:szCs w:val="18"/>
              </w:rPr>
              <w:t>至</w:t>
            </w:r>
            <w:r>
              <w:rPr>
                <w:rFonts w:ascii="Times New Roman" w:hAnsi="Times New Roman" w:eastAsia="宋体" w:cs="Times New Roman"/>
                <w:color w:val="auto"/>
                <w:kern w:val="0"/>
                <w:sz w:val="18"/>
                <w:szCs w:val="18"/>
              </w:rPr>
              <w:t>202</w:t>
            </w:r>
            <w:r>
              <w:rPr>
                <w:rFonts w:hint="eastAsia" w:ascii="Times New Roman" w:hAnsi="Times New Roman" w:eastAsia="宋体" w:cs="Times New Roman"/>
                <w:color w:val="auto"/>
                <w:kern w:val="0"/>
                <w:sz w:val="18"/>
                <w:szCs w:val="18"/>
                <w:lang w:val="en-US" w:eastAsia="zh-CN"/>
              </w:rPr>
              <w:t>6</w:t>
            </w:r>
            <w:r>
              <w:rPr>
                <w:rFonts w:ascii="Times New Roman" w:hAnsi="Times New Roman" w:eastAsia="宋体" w:cs="Times New Roman"/>
                <w:color w:val="auto"/>
                <w:kern w:val="0"/>
                <w:sz w:val="18"/>
                <w:szCs w:val="18"/>
              </w:rPr>
              <w:t>-</w:t>
            </w:r>
            <w:r>
              <w:rPr>
                <w:rFonts w:hint="eastAsia" w:ascii="Times New Roman" w:hAnsi="Times New Roman" w:eastAsia="宋体" w:cs="Times New Roman"/>
                <w:color w:val="auto"/>
                <w:kern w:val="0"/>
                <w:sz w:val="18"/>
                <w:szCs w:val="18"/>
                <w:lang w:val="en-US" w:eastAsia="zh-CN"/>
              </w:rPr>
              <w:t>01</w:t>
            </w:r>
            <w:r>
              <w:rPr>
                <w:rFonts w:ascii="Times New Roman" w:hAnsi="Times New Roman" w:eastAsia="宋体" w:cs="Times New Roman"/>
                <w:color w:val="auto"/>
                <w:kern w:val="0"/>
                <w:sz w:val="18"/>
                <w:szCs w:val="18"/>
              </w:rPr>
              <w:t>-</w:t>
            </w:r>
            <w:r>
              <w:rPr>
                <w:rFonts w:hint="eastAsia" w:ascii="Times New Roman" w:hAnsi="Times New Roman" w:eastAsia="宋体" w:cs="Times New Roman"/>
                <w:color w:val="auto"/>
                <w:kern w:val="0"/>
                <w:sz w:val="18"/>
                <w:szCs w:val="18"/>
                <w:lang w:val="en-US" w:eastAsia="zh-CN"/>
              </w:rPr>
              <w:t>1</w:t>
            </w:r>
            <w:r>
              <w:rPr>
                <w:rFonts w:hint="eastAsia" w:ascii="Times New Roman" w:hAnsi="Times New Roman" w:cs="Times New Roman"/>
                <w:color w:val="auto"/>
                <w:kern w:val="0"/>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70" w:type="dxa"/>
            <w:vAlign w:val="center"/>
          </w:tcPr>
          <w:p>
            <w:pPr>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2</w:t>
            </w:r>
          </w:p>
        </w:tc>
        <w:tc>
          <w:tcPr>
            <w:tcW w:w="1476" w:type="dxa"/>
            <w:vAlign w:val="center"/>
          </w:tcPr>
          <w:p>
            <w:pPr>
              <w:jc w:val="center"/>
              <w:rPr>
                <w:rFonts w:hint="eastAsia" w:ascii="Times New Roman" w:hAnsi="Times New Roman" w:eastAsia="宋体" w:cs="宋体"/>
                <w:color w:val="auto"/>
                <w:kern w:val="0"/>
                <w:sz w:val="18"/>
                <w:szCs w:val="18"/>
                <w:lang w:eastAsia="zh-CN"/>
              </w:rPr>
            </w:pPr>
            <w:r>
              <w:rPr>
                <w:rFonts w:hint="eastAsia" w:ascii="Times New Roman" w:hAnsi="Times New Roman" w:eastAsia="宋体" w:cs="宋体"/>
                <w:color w:val="auto"/>
                <w:kern w:val="0"/>
                <w:sz w:val="18"/>
                <w:szCs w:val="18"/>
                <w:lang w:eastAsia="zh-CN"/>
              </w:rPr>
              <w:t>宛仕钰</w:t>
            </w:r>
          </w:p>
        </w:tc>
        <w:tc>
          <w:tcPr>
            <w:tcW w:w="1853" w:type="dxa"/>
            <w:vAlign w:val="center"/>
          </w:tcPr>
          <w:p>
            <w:pPr>
              <w:jc w:val="center"/>
              <w:rPr>
                <w:rFonts w:hint="eastAsia" w:ascii="Times New Roman" w:hAnsi="Times New Roman" w:eastAsia="宋体" w:cs="Times New Roman"/>
                <w:color w:val="auto"/>
                <w:kern w:val="0"/>
                <w:sz w:val="18"/>
                <w:szCs w:val="18"/>
                <w:lang w:val="en-US" w:eastAsia="zh-CN" w:bidi="ar-SA"/>
              </w:rPr>
            </w:pPr>
            <w:r>
              <w:rPr>
                <w:rFonts w:hint="eastAsia" w:ascii="Times New Roman" w:hAnsi="Times New Roman" w:eastAsia="宋体" w:cs="宋体"/>
                <w:color w:val="auto"/>
                <w:kern w:val="0"/>
                <w:sz w:val="18"/>
                <w:szCs w:val="18"/>
              </w:rPr>
              <w:t>主要负责人</w:t>
            </w:r>
          </w:p>
        </w:tc>
        <w:tc>
          <w:tcPr>
            <w:tcW w:w="2055" w:type="dxa"/>
            <w:vAlign w:val="center"/>
          </w:tcPr>
          <w:p>
            <w:pPr>
              <w:jc w:val="center"/>
              <w:rPr>
                <w:rFonts w:hint="eastAsia" w:ascii="Times New Roman" w:hAnsi="Times New Roman" w:eastAsia="宋体" w:cs="Times New Roman"/>
                <w:color w:val="auto"/>
                <w:kern w:val="0"/>
                <w:sz w:val="18"/>
                <w:szCs w:val="18"/>
                <w:lang w:val="en-US" w:eastAsia="zh-CN" w:bidi="ar-SA"/>
              </w:rPr>
            </w:pPr>
            <w:r>
              <w:rPr>
                <w:rFonts w:hint="eastAsia" w:ascii="Times New Roman" w:hAnsi="Times New Roman" w:eastAsia="宋体" w:cs="宋体"/>
                <w:color w:val="auto"/>
                <w:kern w:val="0"/>
                <w:sz w:val="18"/>
                <w:szCs w:val="18"/>
                <w:lang w:eastAsia="zh-CN"/>
              </w:rPr>
              <w:t>景德镇</w:t>
            </w:r>
            <w:r>
              <w:rPr>
                <w:rFonts w:hint="eastAsia" w:ascii="Times New Roman" w:hAnsi="Times New Roman" w:eastAsia="宋体" w:cs="宋体"/>
                <w:color w:val="auto"/>
                <w:kern w:val="0"/>
                <w:sz w:val="18"/>
                <w:szCs w:val="18"/>
              </w:rPr>
              <w:t>市应急管理局</w:t>
            </w:r>
          </w:p>
        </w:tc>
        <w:tc>
          <w:tcPr>
            <w:tcW w:w="2944" w:type="dxa"/>
            <w:vAlign w:val="center"/>
          </w:tcPr>
          <w:p>
            <w:pPr>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2021-12-10至2024-12-09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0" w:type="dxa"/>
            <w:vAlign w:val="center"/>
          </w:tcPr>
          <w:p>
            <w:pPr>
              <w:jc w:val="center"/>
              <w:rPr>
                <w:rFonts w:hint="eastAsia" w:ascii="Times New Roman" w:hAnsi="Times New Roman" w:eastAsia="宋体" w:cs="Times New Roman"/>
                <w:color w:val="auto"/>
                <w:kern w:val="0"/>
                <w:sz w:val="18"/>
                <w:szCs w:val="18"/>
                <w:lang w:eastAsia="zh-CN"/>
              </w:rPr>
            </w:pPr>
            <w:r>
              <w:rPr>
                <w:rFonts w:hint="eastAsia" w:ascii="Times New Roman" w:hAnsi="Times New Roman" w:eastAsia="宋体" w:cs="Times New Roman"/>
                <w:color w:val="auto"/>
                <w:kern w:val="0"/>
                <w:sz w:val="18"/>
                <w:szCs w:val="18"/>
                <w:lang w:val="en-US" w:eastAsia="zh-CN"/>
              </w:rPr>
              <w:t>3</w:t>
            </w:r>
          </w:p>
        </w:tc>
        <w:tc>
          <w:tcPr>
            <w:tcW w:w="1476" w:type="dxa"/>
            <w:vAlign w:val="center"/>
          </w:tcPr>
          <w:p>
            <w:pPr>
              <w:jc w:val="center"/>
              <w:rPr>
                <w:rFonts w:hint="eastAsia" w:ascii="Times New Roman" w:hAnsi="Times New Roman" w:eastAsia="宋体" w:cs="Times New Roman"/>
                <w:color w:val="auto"/>
                <w:kern w:val="0"/>
                <w:sz w:val="18"/>
                <w:szCs w:val="18"/>
                <w:lang w:eastAsia="zh-CN"/>
              </w:rPr>
            </w:pPr>
            <w:r>
              <w:rPr>
                <w:rFonts w:hint="eastAsia" w:ascii="Times New Roman" w:hAnsi="Times New Roman" w:eastAsia="宋体" w:cs="宋体"/>
                <w:color w:val="auto"/>
                <w:kern w:val="0"/>
                <w:sz w:val="18"/>
                <w:szCs w:val="18"/>
                <w:lang w:eastAsia="zh-CN"/>
              </w:rPr>
              <w:t>方君勇</w:t>
            </w:r>
          </w:p>
        </w:tc>
        <w:tc>
          <w:tcPr>
            <w:tcW w:w="1853"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安全生产管理人员</w:t>
            </w:r>
          </w:p>
        </w:tc>
        <w:tc>
          <w:tcPr>
            <w:tcW w:w="2055"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lang w:eastAsia="zh-CN"/>
              </w:rPr>
              <w:t>景德镇</w:t>
            </w:r>
            <w:r>
              <w:rPr>
                <w:rFonts w:hint="eastAsia" w:ascii="Times New Roman" w:hAnsi="Times New Roman" w:eastAsia="宋体" w:cs="宋体"/>
                <w:color w:val="auto"/>
                <w:kern w:val="0"/>
                <w:sz w:val="18"/>
                <w:szCs w:val="18"/>
              </w:rPr>
              <w:t>市应急管理局</w:t>
            </w:r>
          </w:p>
        </w:tc>
        <w:tc>
          <w:tcPr>
            <w:tcW w:w="2944"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Times New Roman"/>
                <w:color w:val="auto"/>
                <w:kern w:val="0"/>
                <w:sz w:val="18"/>
                <w:szCs w:val="18"/>
                <w:lang w:val="en-US" w:eastAsia="zh-CN"/>
              </w:rPr>
              <w:t>2021-12-10至2024-12-09</w:t>
            </w:r>
          </w:p>
        </w:tc>
      </w:tr>
    </w:tbl>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该加油站制定了相关人员工作职责，包括加油站经理安全职责、加油站安全管理人员安全职责、加油站加油员安全职责、加油站计量员安全职责、加油站设备管理员安全职责。</w:t>
      </w:r>
    </w:p>
    <w:p>
      <w:pPr>
        <w:widowControl w:val="0"/>
        <w:autoSpaceDE w:val="0"/>
        <w:autoSpaceDN w:val="0"/>
        <w:adjustRightInd w:val="0"/>
        <w:ind w:firstLine="560" w:firstLineChars="200"/>
        <w:jc w:val="both"/>
        <w:rPr>
          <w:rFonts w:ascii="宋体" w:hAnsi="Times New Roman" w:eastAsia="宋体" w:cs="Times New Roman"/>
          <w:color w:val="auto"/>
          <w:sz w:val="24"/>
          <w:szCs w:val="24"/>
          <w:lang w:val="en-US" w:eastAsia="zh-CN" w:bidi="ar-SA"/>
        </w:rPr>
      </w:pPr>
      <w:r>
        <w:rPr>
          <w:rFonts w:hint="eastAsia" w:ascii="Times New Roman" w:hAnsi="Times New Roman" w:eastAsia="宋体" w:cs="宋体"/>
          <w:color w:val="auto"/>
          <w:kern w:val="2"/>
          <w:sz w:val="28"/>
          <w:szCs w:val="28"/>
          <w:lang w:val="en-US" w:eastAsia="zh-CN" w:bidi="ar-SA"/>
        </w:rPr>
        <w:t>该加油站配备了个人防护用品，站房内配备</w:t>
      </w:r>
      <w:r>
        <w:rPr>
          <w:rFonts w:ascii="Times New Roman" w:hAnsi="Times New Roman" w:eastAsia="宋体" w:cs="Times New Roman"/>
          <w:color w:val="auto"/>
          <w:kern w:val="2"/>
          <w:sz w:val="28"/>
          <w:szCs w:val="28"/>
          <w:lang w:val="en-US" w:eastAsia="zh-CN" w:bidi="ar-SA"/>
        </w:rPr>
        <w:t>6</w:t>
      </w:r>
      <w:r>
        <w:rPr>
          <w:rFonts w:hint="eastAsia" w:ascii="Times New Roman" w:hAnsi="Times New Roman" w:eastAsia="宋体" w:cs="宋体"/>
          <w:color w:val="auto"/>
          <w:kern w:val="2"/>
          <w:sz w:val="28"/>
          <w:szCs w:val="28"/>
          <w:lang w:val="en-US" w:eastAsia="zh-CN" w:bidi="ar-SA"/>
        </w:rPr>
        <w:t>个安全帽、</w:t>
      </w:r>
      <w:r>
        <w:rPr>
          <w:rFonts w:ascii="Times New Roman" w:hAnsi="Times New Roman" w:eastAsia="宋体" w:cs="Times New Roman"/>
          <w:color w:val="auto"/>
          <w:kern w:val="2"/>
          <w:sz w:val="28"/>
          <w:szCs w:val="28"/>
          <w:lang w:val="en-US" w:eastAsia="zh-CN" w:bidi="ar-SA"/>
        </w:rPr>
        <w:t>2</w:t>
      </w:r>
      <w:r>
        <w:rPr>
          <w:rFonts w:hint="eastAsia" w:ascii="Times New Roman" w:hAnsi="Times New Roman" w:eastAsia="宋体" w:cs="宋体"/>
          <w:color w:val="auto"/>
          <w:kern w:val="2"/>
          <w:sz w:val="28"/>
          <w:szCs w:val="28"/>
          <w:lang w:val="en-US" w:eastAsia="zh-CN" w:bidi="ar-SA"/>
        </w:rPr>
        <w:t>套防爆级手电筒、每人</w:t>
      </w:r>
      <w:r>
        <w:rPr>
          <w:rFonts w:ascii="Times New Roman" w:hAnsi="Times New Roman" w:eastAsia="宋体" w:cs="Times New Roman"/>
          <w:color w:val="auto"/>
          <w:kern w:val="2"/>
          <w:sz w:val="28"/>
          <w:szCs w:val="28"/>
          <w:lang w:val="en-US" w:eastAsia="zh-CN" w:bidi="ar-SA"/>
        </w:rPr>
        <w:t>2</w:t>
      </w:r>
      <w:r>
        <w:rPr>
          <w:rFonts w:hint="eastAsia" w:ascii="Times New Roman" w:hAnsi="Times New Roman" w:eastAsia="宋体" w:cs="宋体"/>
          <w:color w:val="auto"/>
          <w:kern w:val="2"/>
          <w:sz w:val="28"/>
          <w:szCs w:val="28"/>
          <w:lang w:val="en-US" w:eastAsia="zh-CN" w:bidi="ar-SA"/>
        </w:rPr>
        <w:t>副防静电点塑手套、每人</w:t>
      </w:r>
      <w:r>
        <w:rPr>
          <w:rFonts w:ascii="Times New Roman" w:hAnsi="Times New Roman" w:eastAsia="宋体" w:cs="Times New Roman"/>
          <w:color w:val="auto"/>
          <w:kern w:val="2"/>
          <w:sz w:val="28"/>
          <w:szCs w:val="28"/>
          <w:lang w:val="en-US" w:eastAsia="zh-CN" w:bidi="ar-SA"/>
        </w:rPr>
        <w:t>2</w:t>
      </w:r>
      <w:r>
        <w:rPr>
          <w:rFonts w:hint="eastAsia" w:ascii="Times New Roman" w:hAnsi="Times New Roman" w:eastAsia="宋体" w:cs="宋体"/>
          <w:color w:val="auto"/>
          <w:kern w:val="2"/>
          <w:sz w:val="28"/>
          <w:szCs w:val="28"/>
          <w:lang w:val="en-US" w:eastAsia="zh-CN" w:bidi="ar-SA"/>
        </w:rPr>
        <w:t>副防静电工作帽、每人</w:t>
      </w:r>
      <w:r>
        <w:rPr>
          <w:rFonts w:ascii="Times New Roman" w:hAnsi="Times New Roman" w:eastAsia="宋体" w:cs="Times New Roman"/>
          <w:color w:val="auto"/>
          <w:kern w:val="2"/>
          <w:sz w:val="28"/>
          <w:szCs w:val="28"/>
          <w:lang w:val="en-US" w:eastAsia="zh-CN" w:bidi="ar-SA"/>
        </w:rPr>
        <w:t>2</w:t>
      </w:r>
      <w:r>
        <w:rPr>
          <w:rFonts w:hint="eastAsia" w:ascii="Times New Roman" w:hAnsi="Times New Roman" w:eastAsia="宋体" w:cs="宋体"/>
          <w:color w:val="auto"/>
          <w:kern w:val="2"/>
          <w:sz w:val="28"/>
          <w:szCs w:val="28"/>
          <w:lang w:val="en-US" w:eastAsia="zh-CN" w:bidi="ar-SA"/>
        </w:rPr>
        <w:t>套防静电工作服、每人</w:t>
      </w:r>
      <w:r>
        <w:rPr>
          <w:rFonts w:ascii="Times New Roman" w:hAnsi="Times New Roman" w:eastAsia="宋体" w:cs="Times New Roman"/>
          <w:color w:val="auto"/>
          <w:kern w:val="2"/>
          <w:sz w:val="28"/>
          <w:szCs w:val="28"/>
          <w:lang w:val="en-US" w:eastAsia="zh-CN" w:bidi="ar-SA"/>
        </w:rPr>
        <w:t>2</w:t>
      </w:r>
      <w:r>
        <w:rPr>
          <w:rFonts w:hint="eastAsia" w:ascii="Times New Roman" w:hAnsi="Times New Roman" w:eastAsia="宋体" w:cs="宋体"/>
          <w:color w:val="auto"/>
          <w:kern w:val="2"/>
          <w:sz w:val="28"/>
          <w:szCs w:val="28"/>
          <w:lang w:val="en-US" w:eastAsia="zh-CN" w:bidi="ar-SA"/>
        </w:rPr>
        <w:t>双防静电交底工作鞋。</w:t>
      </w:r>
    </w:p>
    <w:p>
      <w:pPr>
        <w:spacing w:line="600" w:lineRule="exact"/>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该加油站制定了相关操作规程，包括加油站加油操作规程、接卸油料操作规程、人工计量操作规程、开票操作规程等。</w:t>
      </w:r>
    </w:p>
    <w:p>
      <w:pPr>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该加油站制定了相关的安全管理制度，包括全员岗位安全责任制度、安全培训教育制度、安全检维修管理制度、加油站值班制度、安全检查和隐患整改管理制度、安全作业管理制度、危险化学品安全管理制度、生产设施安全管理制度、安全生产费用投入保障制度、劳动防护用品（具）和保健品发放管理制度、事故管理制度、职业卫生管理制度、加油站加油区及储油罐区安全监控制度、安全生产会议制度、安全生产责任考核制度、防火防爆防尘防毒管理制度、消防管理制度、特种作业人员管理制度、风险评价管理制度、风险管理制度等等。</w:t>
      </w:r>
    </w:p>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该加油站已制定《</w:t>
      </w:r>
      <w:r>
        <w:rPr>
          <w:rFonts w:hint="eastAsia" w:ascii="Times New Roman" w:hAnsi="Times New Roman" w:cs="宋体"/>
          <w:color w:val="auto"/>
          <w:sz w:val="28"/>
          <w:szCs w:val="28"/>
          <w:lang w:eastAsia="zh-CN"/>
        </w:rPr>
        <w:t>江西景德镇石油分公司鱼丽加油站</w:t>
      </w:r>
      <w:r>
        <w:rPr>
          <w:rFonts w:hint="eastAsia" w:ascii="Times New Roman" w:hAnsi="Times New Roman" w:cs="宋体"/>
          <w:color w:val="auto"/>
          <w:sz w:val="28"/>
          <w:szCs w:val="28"/>
        </w:rPr>
        <w:t>生产安全事故应急预案》，并于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3</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2</w:t>
      </w:r>
      <w:r>
        <w:rPr>
          <w:rFonts w:hint="eastAsia" w:ascii="Times New Roman" w:hAnsi="Times New Roman" w:cs="宋体"/>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宋体"/>
          <w:color w:val="auto"/>
          <w:sz w:val="28"/>
          <w:szCs w:val="28"/>
        </w:rPr>
        <w:t>日进行了应急救援演练，针对加油区现场发生火灾，进行了应急处置方法培训演练。演练后进行效果总结。应急演练记录见附件。</w:t>
      </w:r>
    </w:p>
    <w:p>
      <w:pPr>
        <w:spacing w:line="600" w:lineRule="exact"/>
        <w:outlineLvl w:val="0"/>
        <w:rPr>
          <w:rFonts w:ascii="Times New Roman" w:hAnsi="Times New Roman" w:cs="Times New Roman"/>
          <w:b/>
          <w:bCs/>
          <w:color w:val="auto"/>
          <w:kern w:val="36"/>
          <w:sz w:val="28"/>
          <w:szCs w:val="28"/>
        </w:rPr>
      </w:pPr>
      <w:bookmarkStart w:id="42" w:name="_Toc17098"/>
      <w:r>
        <w:rPr>
          <w:rFonts w:ascii="Times New Roman" w:hAnsi="Times New Roman" w:cs="Times New Roman"/>
          <w:b/>
          <w:bCs/>
          <w:color w:val="auto"/>
          <w:kern w:val="36"/>
          <w:sz w:val="28"/>
          <w:szCs w:val="28"/>
        </w:rPr>
        <w:br w:type="page"/>
      </w:r>
      <w:bookmarkStart w:id="43" w:name="_Toc2393"/>
      <w:r>
        <w:rPr>
          <w:rFonts w:ascii="Times New Roman" w:hAnsi="Times New Roman" w:cs="Times New Roman"/>
          <w:b/>
          <w:bCs/>
          <w:color w:val="auto"/>
          <w:kern w:val="36"/>
          <w:sz w:val="28"/>
          <w:szCs w:val="28"/>
        </w:rPr>
        <w:t xml:space="preserve">3 </w:t>
      </w:r>
      <w:r>
        <w:rPr>
          <w:rFonts w:hint="eastAsia" w:ascii="Times New Roman" w:hAnsi="Times New Roman" w:cs="宋体"/>
          <w:b/>
          <w:bCs/>
          <w:color w:val="auto"/>
          <w:kern w:val="36"/>
          <w:sz w:val="28"/>
          <w:szCs w:val="28"/>
        </w:rPr>
        <w:t>主要危险、有害因素分析</w:t>
      </w:r>
      <w:bookmarkEnd w:id="42"/>
      <w:bookmarkEnd w:id="43"/>
    </w:p>
    <w:p>
      <w:pPr>
        <w:keepNext/>
        <w:keepLines/>
        <w:spacing w:line="600" w:lineRule="exact"/>
        <w:outlineLvl w:val="1"/>
        <w:rPr>
          <w:rFonts w:ascii="Times New Roman" w:hAnsi="Times New Roman" w:cs="Times New Roman"/>
          <w:b/>
          <w:bCs/>
          <w:color w:val="auto"/>
          <w:sz w:val="28"/>
          <w:szCs w:val="28"/>
        </w:rPr>
      </w:pPr>
      <w:bookmarkStart w:id="44" w:name="_Toc2209"/>
      <w:bookmarkStart w:id="45" w:name="_Toc23776"/>
      <w:bookmarkStart w:id="46" w:name="_Toc343692251"/>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4"/>
      <w:bookmarkEnd w:id="45"/>
      <w:bookmarkEnd w:id="46"/>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2015</w:t>
      </w:r>
      <w:r>
        <w:rPr>
          <w:rFonts w:hint="eastAsia" w:ascii="Times New Roman" w:hAnsi="Times New Roman" w:cs="宋体"/>
          <w:color w:val="auto"/>
          <w:sz w:val="28"/>
          <w:szCs w:val="28"/>
        </w:rPr>
        <w:t>年版），</w:t>
      </w:r>
      <w:r>
        <w:rPr>
          <w:rFonts w:hint="eastAsia" w:ascii="Times New Roman" w:hAnsi="Times New Roman" w:cs="宋体"/>
          <w:color w:val="auto"/>
          <w:sz w:val="28"/>
          <w:szCs w:val="28"/>
          <w:lang w:val="en-US" w:eastAsia="zh-CN"/>
        </w:rPr>
        <w:t>该站涉及的</w:t>
      </w:r>
      <w:r>
        <w:rPr>
          <w:rFonts w:hint="eastAsia" w:ascii="Times New Roman" w:hAnsi="Times New Roman" w:cs="宋体"/>
          <w:color w:val="auto"/>
          <w:sz w:val="28"/>
          <w:szCs w:val="28"/>
        </w:rPr>
        <w:t>危险化学品物质是汽油和柴油</w:t>
      </w:r>
      <w:r>
        <w:rPr>
          <w:rFonts w:hint="eastAsia" w:ascii="Times New Roman" w:hAnsi="Times New Roman" w:cs="宋体"/>
          <w:color w:val="auto"/>
          <w:spacing w:val="-4"/>
          <w:sz w:val="28"/>
          <w:szCs w:val="28"/>
        </w:rPr>
        <w:t>（闭杯闪点≥</w:t>
      </w:r>
      <w:r>
        <w:rPr>
          <w:rFonts w:ascii="Times New Roman" w:hAnsi="Times New Roman" w:cs="Times New Roman"/>
          <w:color w:val="auto"/>
          <w:spacing w:val="-4"/>
          <w:sz w:val="28"/>
          <w:szCs w:val="28"/>
        </w:rPr>
        <w:t>60</w:t>
      </w:r>
      <w:r>
        <w:rPr>
          <w:rFonts w:hint="eastAsia" w:ascii="宋体" w:hAnsi="宋体" w:cs="宋体"/>
          <w:color w:val="auto"/>
          <w:spacing w:val="-4"/>
          <w:sz w:val="28"/>
          <w:szCs w:val="28"/>
        </w:rPr>
        <w:t>℃</w:t>
      </w:r>
      <w:r>
        <w:rPr>
          <w:rFonts w:hint="eastAsia" w:ascii="Times New Roman" w:hAnsi="Times New Roman" w:cs="宋体"/>
          <w:color w:val="auto"/>
          <w:spacing w:val="-4"/>
          <w:sz w:val="28"/>
          <w:szCs w:val="28"/>
        </w:rPr>
        <w:t>）</w:t>
      </w:r>
      <w:r>
        <w:rPr>
          <w:rFonts w:hint="eastAsia" w:ascii="Times New Roman" w:hAnsi="Times New Roman" w:cs="宋体"/>
          <w:color w:val="auto"/>
          <w:sz w:val="28"/>
          <w:szCs w:val="28"/>
        </w:rPr>
        <w:t>，汽油和柴油危险特性见下表所示。</w:t>
      </w:r>
    </w:p>
    <w:p>
      <w:pPr>
        <w:pStyle w:val="37"/>
        <w:spacing w:line="600" w:lineRule="exact"/>
        <w:ind w:left="420" w:leftChars="200"/>
        <w:jc w:val="center"/>
        <w:rPr>
          <w:b/>
          <w:bCs/>
          <w:color w:val="auto"/>
          <w:sz w:val="24"/>
          <w:szCs w:val="24"/>
        </w:rPr>
      </w:pPr>
      <w:r>
        <w:rPr>
          <w:rFonts w:hint="eastAsia" w:cs="宋体"/>
          <w:b/>
          <w:bCs/>
          <w:color w:val="auto"/>
          <w:sz w:val="24"/>
          <w:szCs w:val="24"/>
        </w:rPr>
        <w:t>表</w:t>
      </w:r>
      <w:r>
        <w:rPr>
          <w:b/>
          <w:bCs/>
          <w:color w:val="auto"/>
          <w:sz w:val="24"/>
          <w:szCs w:val="24"/>
        </w:rPr>
        <w:t xml:space="preserve">3-1  </w:t>
      </w:r>
      <w:r>
        <w:rPr>
          <w:rFonts w:hint="eastAsia" w:cs="宋体"/>
          <w:b/>
          <w:bCs/>
          <w:color w:val="auto"/>
          <w:sz w:val="24"/>
          <w:szCs w:val="24"/>
        </w:rPr>
        <w:t>危险化学品物料危险特性表</w:t>
      </w:r>
    </w:p>
    <w:tbl>
      <w:tblPr>
        <w:tblStyle w:val="2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764"/>
        <w:gridCol w:w="674"/>
        <w:gridCol w:w="778"/>
        <w:gridCol w:w="941"/>
        <w:gridCol w:w="995"/>
        <w:gridCol w:w="1171"/>
        <w:gridCol w:w="3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blHeader/>
          <w:jc w:val="center"/>
        </w:trPr>
        <w:tc>
          <w:tcPr>
            <w:tcW w:w="913" w:type="dxa"/>
            <w:vAlign w:val="center"/>
          </w:tcPr>
          <w:p>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4" w:type="dxa"/>
            <w:vAlign w:val="center"/>
          </w:tcPr>
          <w:p>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4" w:type="dxa"/>
            <w:vAlign w:val="center"/>
          </w:tcPr>
          <w:p>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8" w:type="dxa"/>
            <w:vAlign w:val="center"/>
          </w:tcPr>
          <w:p>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41" w:type="dxa"/>
            <w:vAlign w:val="center"/>
          </w:tcPr>
          <w:p>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5" w:type="dxa"/>
            <w:vAlign w:val="center"/>
          </w:tcPr>
          <w:p>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71" w:type="dxa"/>
            <w:vAlign w:val="center"/>
          </w:tcPr>
          <w:p>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50" w:type="dxa"/>
            <w:vAlign w:val="center"/>
          </w:tcPr>
          <w:p>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pPr>
              <w:pStyle w:val="37"/>
              <w:spacing w:line="240" w:lineRule="atLeast"/>
              <w:jc w:val="center"/>
              <w:rPr>
                <w:color w:val="auto"/>
                <w:sz w:val="18"/>
                <w:szCs w:val="18"/>
              </w:rPr>
            </w:pPr>
            <w:r>
              <w:rPr>
                <w:rFonts w:hint="eastAsia" w:cs="宋体"/>
                <w:b/>
                <w:bCs/>
                <w:color w:val="auto"/>
                <w:sz w:val="18"/>
                <w:szCs w:val="18"/>
              </w:rPr>
              <w:t>《危险化学品分类信息表》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jc w:val="center"/>
        </w:trPr>
        <w:tc>
          <w:tcPr>
            <w:tcW w:w="913" w:type="dxa"/>
            <w:vAlign w:val="center"/>
          </w:tcPr>
          <w:p>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4" w:type="dxa"/>
            <w:vAlign w:val="center"/>
          </w:tcPr>
          <w:p>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4" w:type="dxa"/>
            <w:vAlign w:val="center"/>
          </w:tcPr>
          <w:p>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8" w:type="dxa"/>
            <w:vAlign w:val="center"/>
          </w:tcPr>
          <w:p>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宋体"/>
                <w:color w:val="auto"/>
                <w:sz w:val="18"/>
                <w:szCs w:val="18"/>
              </w:rPr>
              <w:t>～</w:t>
            </w:r>
            <w:r>
              <w:rPr>
                <w:rFonts w:ascii="Times New Roman" w:hAnsi="Times New Roman" w:cs="Times New Roman"/>
                <w:color w:val="auto"/>
                <w:sz w:val="18"/>
                <w:szCs w:val="18"/>
              </w:rPr>
              <w:t>10</w:t>
            </w:r>
          </w:p>
        </w:tc>
        <w:tc>
          <w:tcPr>
            <w:tcW w:w="941" w:type="dxa"/>
            <w:vAlign w:val="center"/>
          </w:tcPr>
          <w:p>
            <w:pPr>
              <w:spacing w:line="240" w:lineRule="atLeast"/>
              <w:jc w:val="center"/>
              <w:rPr>
                <w:rFonts w:hint="eastAsia"/>
                <w:color w:val="auto"/>
                <w:sz w:val="18"/>
                <w:szCs w:val="18"/>
                <w:lang w:eastAsia="zh-CN"/>
              </w:rPr>
            </w:pPr>
            <w:r>
              <w:rPr>
                <w:rFonts w:ascii="Times New Roman" w:hAnsi="Times New Roman" w:cs="Times New Roman"/>
                <w:color w:val="auto"/>
                <w:sz w:val="18"/>
                <w:szCs w:val="18"/>
              </w:rPr>
              <w:t>40</w:t>
            </w:r>
            <w:r>
              <w:rPr>
                <w:rFonts w:hint="eastAsia" w:ascii="Times New Roman" w:hAnsi="Times New Roman" w:cs="宋体"/>
                <w:color w:val="auto"/>
                <w:sz w:val="18"/>
                <w:szCs w:val="18"/>
              </w:rPr>
              <w:t>～</w:t>
            </w:r>
            <w:r>
              <w:rPr>
                <w:rFonts w:ascii="Times New Roman" w:hAnsi="Times New Roman" w:cs="Times New Roman"/>
                <w:color w:val="auto"/>
                <w:sz w:val="18"/>
                <w:szCs w:val="18"/>
              </w:rPr>
              <w:t>200</w:t>
            </w:r>
          </w:p>
        </w:tc>
        <w:tc>
          <w:tcPr>
            <w:tcW w:w="995" w:type="dxa"/>
            <w:vAlign w:val="center"/>
          </w:tcPr>
          <w:p>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宋体"/>
                <w:color w:val="auto"/>
                <w:sz w:val="18"/>
                <w:szCs w:val="18"/>
              </w:rPr>
              <w:t>～</w:t>
            </w:r>
            <w:r>
              <w:rPr>
                <w:rFonts w:ascii="Times New Roman" w:hAnsi="Times New Roman" w:cs="Times New Roman"/>
                <w:color w:val="auto"/>
                <w:sz w:val="18"/>
                <w:szCs w:val="18"/>
              </w:rPr>
              <w:t>6.0</w:t>
            </w:r>
          </w:p>
        </w:tc>
        <w:tc>
          <w:tcPr>
            <w:tcW w:w="1171" w:type="dxa"/>
            <w:vAlign w:val="center"/>
          </w:tcPr>
          <w:p>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50" w:type="dxa"/>
            <w:vAlign w:val="center"/>
          </w:tcPr>
          <w:p>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急性危害</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长期危害</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jc w:val="center"/>
        </w:trPr>
        <w:tc>
          <w:tcPr>
            <w:tcW w:w="913" w:type="dxa"/>
            <w:vAlign w:val="center"/>
          </w:tcPr>
          <w:p>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4" w:type="dxa"/>
            <w:vAlign w:val="center"/>
          </w:tcPr>
          <w:p>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4" w:type="dxa"/>
            <w:vAlign w:val="center"/>
          </w:tcPr>
          <w:p>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8" w:type="dxa"/>
            <w:vAlign w:val="center"/>
          </w:tcPr>
          <w:p>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w:t>
            </w:r>
            <w:r>
              <w:rPr>
                <w:rFonts w:ascii="Times New Roman" w:hAnsi="Times New Roman" w:cs="Times New Roman"/>
                <w:color w:val="auto"/>
                <w:sz w:val="18"/>
                <w:szCs w:val="18"/>
              </w:rPr>
              <w:t>60</w:t>
            </w:r>
          </w:p>
        </w:tc>
        <w:tc>
          <w:tcPr>
            <w:tcW w:w="941" w:type="dxa"/>
            <w:vAlign w:val="center"/>
          </w:tcPr>
          <w:p>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宋体"/>
                <w:color w:val="auto"/>
                <w:sz w:val="18"/>
                <w:szCs w:val="18"/>
              </w:rPr>
              <w:t>～</w:t>
            </w:r>
            <w:r>
              <w:rPr>
                <w:rFonts w:ascii="Times New Roman" w:hAnsi="Times New Roman" w:cs="Times New Roman"/>
                <w:color w:val="auto"/>
                <w:sz w:val="18"/>
                <w:szCs w:val="18"/>
              </w:rPr>
              <w:t>338</w:t>
            </w:r>
          </w:p>
        </w:tc>
        <w:tc>
          <w:tcPr>
            <w:tcW w:w="995" w:type="dxa"/>
            <w:vAlign w:val="center"/>
          </w:tcPr>
          <w:p>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1171" w:type="dxa"/>
            <w:vAlign w:val="center"/>
          </w:tcPr>
          <w:p>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50" w:type="dxa"/>
            <w:vAlign w:val="center"/>
          </w:tcPr>
          <w:p>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pPr>
        <w:pStyle w:val="37"/>
        <w:spacing w:line="600" w:lineRule="exact"/>
        <w:ind w:left="420" w:leftChars="200"/>
        <w:jc w:val="center"/>
        <w:rPr>
          <w:rFonts w:hint="eastAsia" w:eastAsia="宋体"/>
          <w:b/>
          <w:bCs/>
          <w:color w:val="auto"/>
          <w:sz w:val="24"/>
          <w:szCs w:val="24"/>
          <w:lang w:eastAsia="zh-CN"/>
        </w:rPr>
      </w:pPr>
      <w:r>
        <w:rPr>
          <w:rFonts w:hint="eastAsia" w:cs="宋体"/>
          <w:b/>
          <w:bCs/>
          <w:color w:val="auto"/>
          <w:sz w:val="24"/>
          <w:szCs w:val="24"/>
        </w:rPr>
        <w:t>表</w:t>
      </w:r>
      <w:r>
        <w:rPr>
          <w:b/>
          <w:bCs/>
          <w:color w:val="auto"/>
          <w:sz w:val="24"/>
          <w:szCs w:val="24"/>
        </w:rPr>
        <w:t xml:space="preserve">3-2  </w:t>
      </w:r>
      <w:r>
        <w:rPr>
          <w:rFonts w:hint="eastAsia" w:cs="宋体"/>
          <w:b/>
          <w:bCs/>
          <w:color w:val="auto"/>
          <w:sz w:val="24"/>
          <w:szCs w:val="24"/>
        </w:rPr>
        <w:t>汽油</w:t>
      </w:r>
      <w:r>
        <w:rPr>
          <w:rFonts w:hint="eastAsia" w:cs="宋体"/>
          <w:b/>
          <w:bCs/>
          <w:color w:val="auto"/>
          <w:sz w:val="24"/>
          <w:szCs w:val="24"/>
          <w:lang w:eastAsia="zh-CN"/>
        </w:rPr>
        <w:t>理化性质一览表</w:t>
      </w:r>
    </w:p>
    <w:tbl>
      <w:tblPr>
        <w:tblStyle w:val="2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998"/>
        <w:gridCol w:w="1465"/>
        <w:gridCol w:w="1465"/>
        <w:gridCol w:w="1614"/>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pPr>
              <w:spacing w:line="300" w:lineRule="exact"/>
              <w:jc w:val="center"/>
              <w:rPr>
                <w:rFonts w:ascii="Times New Roman" w:hAnsi="Times New Roman" w:cs="Times New Roman"/>
                <w:b/>
                <w:bCs/>
                <w:color w:val="auto"/>
              </w:rPr>
            </w:pPr>
            <w:r>
              <w:rPr>
                <w:rFonts w:hint="eastAsia" w:ascii="Times New Roman" w:hAnsi="Times New Roman" w:cs="宋体"/>
                <w:b/>
                <w:bCs/>
                <w:color w:val="auto"/>
              </w:rPr>
              <w:t>品</w:t>
            </w:r>
            <w:r>
              <w:rPr>
                <w:rFonts w:ascii="Times New Roman" w:hAnsi="Times New Roman" w:cs="Times New Roman"/>
                <w:b/>
                <w:bCs/>
                <w:color w:val="auto"/>
              </w:rPr>
              <w:t xml:space="preserve">    </w:t>
            </w:r>
            <w:r>
              <w:rPr>
                <w:rFonts w:hint="eastAsia" w:ascii="Times New Roman" w:hAnsi="Times New Roman" w:cs="宋体"/>
                <w:b/>
                <w:bCs/>
                <w:color w:val="auto"/>
              </w:rPr>
              <w:t>名</w:t>
            </w:r>
          </w:p>
        </w:tc>
        <w:tc>
          <w:tcPr>
            <w:tcW w:w="1998" w:type="dxa"/>
            <w:vAlign w:val="center"/>
          </w:tcPr>
          <w:p>
            <w:pPr>
              <w:spacing w:line="300" w:lineRule="exact"/>
              <w:jc w:val="center"/>
              <w:rPr>
                <w:rFonts w:ascii="Times New Roman" w:hAnsi="Times New Roman" w:cs="Times New Roman"/>
                <w:color w:val="auto"/>
              </w:rPr>
            </w:pPr>
            <w:r>
              <w:rPr>
                <w:rFonts w:hint="eastAsia" w:ascii="Times New Roman" w:hAnsi="Times New Roman" w:cs="宋体"/>
                <w:color w:val="auto"/>
              </w:rPr>
              <w:t>汽油</w:t>
            </w:r>
          </w:p>
        </w:tc>
        <w:tc>
          <w:tcPr>
            <w:tcW w:w="1465" w:type="dxa"/>
            <w:vAlign w:val="center"/>
          </w:tcPr>
          <w:p>
            <w:pPr>
              <w:spacing w:line="300" w:lineRule="exact"/>
              <w:jc w:val="center"/>
              <w:rPr>
                <w:rFonts w:ascii="Times New Roman" w:hAnsi="Times New Roman" w:cs="Times New Roman"/>
                <w:b/>
                <w:bCs/>
                <w:color w:val="auto"/>
              </w:rPr>
            </w:pPr>
            <w:r>
              <w:rPr>
                <w:rFonts w:hint="eastAsia" w:ascii="Times New Roman" w:hAnsi="Times New Roman" w:cs="宋体"/>
                <w:b/>
                <w:bCs/>
                <w:color w:val="auto"/>
              </w:rPr>
              <w:t>别</w:t>
            </w:r>
            <w:r>
              <w:rPr>
                <w:rFonts w:ascii="Times New Roman" w:hAnsi="Times New Roman" w:cs="Times New Roman"/>
                <w:b/>
                <w:bCs/>
                <w:color w:val="auto"/>
              </w:rPr>
              <w:t xml:space="preserve">      </w:t>
            </w:r>
            <w:r>
              <w:rPr>
                <w:rFonts w:hint="eastAsia" w:ascii="Times New Roman" w:hAnsi="Times New Roman" w:cs="宋体"/>
                <w:b/>
                <w:bCs/>
                <w:color w:val="auto"/>
              </w:rPr>
              <w:t>名</w:t>
            </w:r>
          </w:p>
        </w:tc>
        <w:tc>
          <w:tcPr>
            <w:tcW w:w="1465" w:type="dxa"/>
            <w:vAlign w:val="center"/>
          </w:tcPr>
          <w:p>
            <w:pPr>
              <w:spacing w:line="300" w:lineRule="exact"/>
              <w:jc w:val="center"/>
              <w:rPr>
                <w:rFonts w:ascii="Times New Roman" w:hAnsi="Times New Roman" w:cs="Times New Roman"/>
                <w:color w:val="auto"/>
              </w:rPr>
            </w:pPr>
          </w:p>
        </w:tc>
        <w:tc>
          <w:tcPr>
            <w:tcW w:w="1614" w:type="dxa"/>
            <w:vAlign w:val="center"/>
          </w:tcPr>
          <w:p>
            <w:pPr>
              <w:spacing w:line="300" w:lineRule="exact"/>
              <w:jc w:val="center"/>
              <w:rPr>
                <w:rFonts w:ascii="Times New Roman" w:hAnsi="Times New Roman" w:cs="Times New Roman"/>
                <w:b/>
                <w:bCs/>
                <w:color w:val="auto"/>
              </w:rPr>
            </w:pPr>
            <w:r>
              <w:rPr>
                <w:rFonts w:hint="eastAsia" w:ascii="Times New Roman" w:hAnsi="Times New Roman" w:cs="宋体"/>
                <w:b/>
                <w:bCs/>
                <w:color w:val="auto"/>
              </w:rPr>
              <w:t>危险化学品目录序号</w:t>
            </w:r>
          </w:p>
        </w:tc>
        <w:tc>
          <w:tcPr>
            <w:tcW w:w="1647" w:type="dxa"/>
            <w:vAlign w:val="center"/>
          </w:tcPr>
          <w:p>
            <w:pPr>
              <w:spacing w:line="300" w:lineRule="exact"/>
              <w:ind w:firstLine="210" w:firstLineChars="100"/>
              <w:rPr>
                <w:rFonts w:ascii="Times New Roman" w:hAnsi="Times New Roman" w:cs="Times New Roman"/>
                <w:color w:val="auto"/>
              </w:rPr>
            </w:pPr>
            <w:r>
              <w:rPr>
                <w:rFonts w:ascii="Times New Roman" w:hAnsi="Times New Roman" w:cs="Times New Roman"/>
                <w:color w:val="auto"/>
              </w:rPr>
              <w:t>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097"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英文名称</w:t>
            </w:r>
          </w:p>
        </w:tc>
        <w:tc>
          <w:tcPr>
            <w:tcW w:w="1998" w:type="dxa"/>
            <w:vAlign w:val="center"/>
          </w:tcPr>
          <w:p>
            <w:pPr>
              <w:spacing w:line="240" w:lineRule="exact"/>
              <w:jc w:val="left"/>
              <w:rPr>
                <w:rFonts w:ascii="Times New Roman" w:hAnsi="Times New Roman" w:cs="Times New Roman"/>
                <w:color w:val="auto"/>
              </w:rPr>
            </w:pPr>
            <w:r>
              <w:rPr>
                <w:rFonts w:ascii="Times New Roman" w:hAnsi="Times New Roman" w:cs="Times New Roman"/>
                <w:color w:val="auto"/>
              </w:rPr>
              <w:t>Gasoline</w:t>
            </w:r>
            <w:r>
              <w:rPr>
                <w:rFonts w:hint="eastAsia" w:ascii="Times New Roman" w:hAnsi="Times New Roman" w:cs="宋体"/>
                <w:color w:val="auto"/>
              </w:rPr>
              <w:t>；</w:t>
            </w:r>
            <w:r>
              <w:rPr>
                <w:rFonts w:ascii="Times New Roman" w:hAnsi="Times New Roman" w:cs="Times New Roman"/>
                <w:color w:val="auto"/>
              </w:rPr>
              <w:t>Petrol</w:t>
            </w:r>
          </w:p>
        </w:tc>
        <w:tc>
          <w:tcPr>
            <w:tcW w:w="1465"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分</w:t>
            </w:r>
            <w:r>
              <w:rPr>
                <w:rFonts w:ascii="Times New Roman" w:hAnsi="Times New Roman" w:cs="Times New Roman"/>
                <w:b/>
                <w:bCs/>
                <w:color w:val="auto"/>
              </w:rPr>
              <w:t xml:space="preserve">  </w:t>
            </w:r>
            <w:r>
              <w:rPr>
                <w:rFonts w:hint="eastAsia" w:ascii="Times New Roman" w:hAnsi="Times New Roman" w:cs="宋体"/>
                <w:b/>
                <w:bCs/>
                <w:color w:val="auto"/>
              </w:rPr>
              <w:t>子</w:t>
            </w:r>
            <w:r>
              <w:rPr>
                <w:rFonts w:ascii="Times New Roman" w:hAnsi="Times New Roman" w:cs="Times New Roman"/>
                <w:b/>
                <w:bCs/>
                <w:color w:val="auto"/>
              </w:rPr>
              <w:t xml:space="preserve">  </w:t>
            </w:r>
            <w:r>
              <w:rPr>
                <w:rFonts w:hint="eastAsia" w:ascii="Times New Roman" w:hAnsi="Times New Roman" w:cs="宋体"/>
                <w:b/>
                <w:bCs/>
                <w:color w:val="auto"/>
              </w:rPr>
              <w:t>式</w:t>
            </w:r>
          </w:p>
        </w:tc>
        <w:tc>
          <w:tcPr>
            <w:tcW w:w="1465"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C4-C12</w:t>
            </w:r>
            <w:r>
              <w:rPr>
                <w:rFonts w:hint="eastAsia" w:ascii="Times New Roman" w:hAnsi="Times New Roman" w:cs="宋体"/>
                <w:color w:val="auto"/>
              </w:rPr>
              <w:t>（烃）</w:t>
            </w:r>
          </w:p>
        </w:tc>
        <w:tc>
          <w:tcPr>
            <w:tcW w:w="1614" w:type="dxa"/>
            <w:vAlign w:val="center"/>
          </w:tcPr>
          <w:p>
            <w:pPr>
              <w:spacing w:line="240" w:lineRule="exact"/>
              <w:jc w:val="center"/>
              <w:rPr>
                <w:rFonts w:ascii="Times New Roman" w:hAnsi="Times New Roman" w:cs="Times New Roman"/>
                <w:b/>
                <w:bCs/>
                <w:color w:val="auto"/>
              </w:rPr>
            </w:pPr>
            <w:r>
              <w:rPr>
                <w:rFonts w:ascii="Times New Roman" w:hAnsi="Times New Roman" w:cs="Times New Roman"/>
                <w:b/>
                <w:bCs/>
                <w:color w:val="auto"/>
              </w:rPr>
              <w:t>CAS</w:t>
            </w:r>
          </w:p>
        </w:tc>
        <w:tc>
          <w:tcPr>
            <w:tcW w:w="1647" w:type="dxa"/>
            <w:vAlign w:val="center"/>
          </w:tcPr>
          <w:p>
            <w:pPr>
              <w:spacing w:line="240" w:lineRule="exact"/>
              <w:rPr>
                <w:rFonts w:ascii="Times New Roman" w:hAnsi="Times New Roman" w:cs="Times New Roman"/>
                <w:color w:val="auto"/>
              </w:rPr>
            </w:pPr>
            <w:r>
              <w:rPr>
                <w:rFonts w:ascii="Times New Roman" w:hAnsi="Times New Roman" w:cs="Times New Roman"/>
                <w:color w:val="auto"/>
              </w:rPr>
              <w:t>86290-81-5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7"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危险性</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类别</w:t>
            </w:r>
          </w:p>
        </w:tc>
        <w:tc>
          <w:tcPr>
            <w:tcW w:w="8189" w:type="dxa"/>
            <w:gridSpan w:val="5"/>
            <w:vAlign w:val="center"/>
          </w:tcPr>
          <w:p>
            <w:pPr>
              <w:spacing w:line="320" w:lineRule="exact"/>
              <w:rPr>
                <w:rFonts w:ascii="Times New Roman" w:hAnsi="Times New Roman" w:cs="Times New Roman"/>
                <w:color w:val="auto"/>
              </w:rPr>
            </w:pPr>
            <w:r>
              <w:rPr>
                <w:rFonts w:ascii="Times New Roman" w:hAnsi="Times New Roman" w:cs="Times New Roman"/>
                <w:color w:val="auto"/>
              </w:rPr>
              <w:t>CAS</w:t>
            </w:r>
            <w:r>
              <w:rPr>
                <w:rFonts w:hint="eastAsia" w:ascii="Times New Roman" w:hAnsi="Times New Roman" w:cs="宋体"/>
                <w:color w:val="auto"/>
              </w:rPr>
              <w:t>号：</w:t>
            </w:r>
            <w:r>
              <w:rPr>
                <w:rFonts w:ascii="Times New Roman" w:hAnsi="Times New Roman" w:cs="Times New Roman"/>
                <w:color w:val="auto"/>
              </w:rPr>
              <w:t xml:space="preserve">  86290-81-5</w:t>
            </w:r>
            <w:r>
              <w:rPr>
                <w:rFonts w:hint="eastAsia" w:ascii="Times New Roman" w:hAnsi="Times New Roman" w:cs="宋体"/>
                <w:color w:val="auto"/>
              </w:rPr>
              <w:t>，危险货物编号：</w:t>
            </w:r>
            <w:r>
              <w:rPr>
                <w:rFonts w:ascii="Times New Roman" w:hAnsi="Times New Roman" w:cs="Times New Roman"/>
                <w:color w:val="auto"/>
              </w:rPr>
              <w:t xml:space="preserve">31001      </w:t>
            </w:r>
            <w:r>
              <w:rPr>
                <w:rFonts w:hint="eastAsia" w:ascii="Times New Roman" w:hAnsi="Times New Roman" w:cs="宋体"/>
                <w:color w:val="auto"/>
              </w:rPr>
              <w:t>建筑火险分级：甲</w:t>
            </w:r>
          </w:p>
          <w:p>
            <w:pPr>
              <w:widowControl/>
              <w:spacing w:line="320" w:lineRule="exact"/>
              <w:rPr>
                <w:rFonts w:ascii="Times New Roman" w:hAnsi="Times New Roman" w:cs="Times New Roman"/>
                <w:color w:val="auto"/>
              </w:rPr>
            </w:pPr>
            <w:r>
              <w:rPr>
                <w:rFonts w:hint="eastAsia" w:ascii="Times New Roman" w:hAnsi="Times New Roman" w:cs="宋体"/>
                <w:color w:val="auto"/>
              </w:rPr>
              <w:t>易燃液体，类别</w:t>
            </w:r>
            <w:r>
              <w:rPr>
                <w:rFonts w:ascii="Times New Roman" w:hAnsi="Times New Roman" w:cs="Times New Roman"/>
                <w:color w:val="auto"/>
              </w:rPr>
              <w:t xml:space="preserve">2*                </w:t>
            </w:r>
            <w:r>
              <w:rPr>
                <w:rFonts w:hint="eastAsia" w:ascii="Times New Roman" w:hAnsi="Times New Roman" w:cs="宋体"/>
                <w:color w:val="auto"/>
              </w:rPr>
              <w:t>生殖细胞致突变性</w:t>
            </w:r>
            <w:r>
              <w:rPr>
                <w:rFonts w:ascii="Times New Roman" w:hAnsi="Times New Roman" w:cs="Times New Roman"/>
                <w:color w:val="auto"/>
              </w:rPr>
              <w:t>,</w:t>
            </w:r>
            <w:r>
              <w:rPr>
                <w:rFonts w:hint="eastAsia" w:ascii="Times New Roman" w:hAnsi="Times New Roman" w:cs="宋体"/>
                <w:color w:val="auto"/>
              </w:rPr>
              <w:t>类别</w:t>
            </w:r>
            <w:r>
              <w:rPr>
                <w:rFonts w:ascii="Times New Roman" w:hAnsi="Times New Roman" w:cs="Times New Roman"/>
                <w:color w:val="auto"/>
              </w:rPr>
              <w:t>1B</w:t>
            </w:r>
          </w:p>
          <w:p>
            <w:pPr>
              <w:widowControl/>
              <w:spacing w:line="320" w:lineRule="exact"/>
              <w:rPr>
                <w:rFonts w:ascii="Times New Roman" w:hAnsi="Times New Roman" w:cs="Times New Roman"/>
                <w:color w:val="auto"/>
              </w:rPr>
            </w:pPr>
            <w:r>
              <w:rPr>
                <w:rFonts w:hint="eastAsia" w:ascii="Times New Roman" w:hAnsi="Times New Roman" w:cs="宋体"/>
                <w:color w:val="auto"/>
              </w:rPr>
              <w:t>致癌性</w:t>
            </w:r>
            <w:r>
              <w:rPr>
                <w:rFonts w:ascii="Times New Roman" w:hAnsi="Times New Roman" w:cs="Times New Roman"/>
                <w:color w:val="auto"/>
              </w:rPr>
              <w:t>,</w:t>
            </w:r>
            <w:r>
              <w:rPr>
                <w:rFonts w:hint="eastAsia" w:ascii="Times New Roman" w:hAnsi="Times New Roman" w:cs="宋体"/>
                <w:color w:val="auto"/>
              </w:rPr>
              <w:t>类别</w:t>
            </w:r>
            <w:r>
              <w:rPr>
                <w:rFonts w:ascii="Times New Roman" w:hAnsi="Times New Roman" w:cs="Times New Roman"/>
                <w:color w:val="auto"/>
              </w:rPr>
              <w:t xml:space="preserve">2                   </w:t>
            </w:r>
            <w:r>
              <w:rPr>
                <w:rFonts w:hint="eastAsia" w:ascii="Times New Roman" w:hAnsi="Times New Roman" w:cs="宋体"/>
                <w:color w:val="auto"/>
              </w:rPr>
              <w:t>吸入危害</w:t>
            </w:r>
            <w:r>
              <w:rPr>
                <w:rFonts w:ascii="Times New Roman" w:hAnsi="Times New Roman" w:cs="Times New Roman"/>
                <w:color w:val="auto"/>
              </w:rPr>
              <w:t>,</w:t>
            </w:r>
            <w:r>
              <w:rPr>
                <w:rFonts w:hint="eastAsia" w:ascii="Times New Roman" w:hAnsi="Times New Roman" w:cs="宋体"/>
                <w:color w:val="auto"/>
              </w:rPr>
              <w:t>类别</w:t>
            </w:r>
            <w:r>
              <w:rPr>
                <w:rFonts w:ascii="Times New Roman" w:hAnsi="Times New Roman" w:cs="Times New Roman"/>
                <w:color w:val="auto"/>
              </w:rPr>
              <w:t>1</w:t>
            </w:r>
          </w:p>
          <w:p>
            <w:pPr>
              <w:pStyle w:val="37"/>
              <w:spacing w:line="240" w:lineRule="exact"/>
              <w:rPr>
                <w:color w:val="auto"/>
              </w:rPr>
            </w:pPr>
            <w:r>
              <w:rPr>
                <w:rFonts w:hint="eastAsia" w:cs="宋体"/>
                <w:color w:val="auto"/>
              </w:rPr>
              <w:t>危害水生环境</w:t>
            </w:r>
            <w:r>
              <w:rPr>
                <w:color w:val="auto"/>
              </w:rPr>
              <w:t>-</w:t>
            </w:r>
            <w:r>
              <w:rPr>
                <w:rFonts w:hint="eastAsia" w:cs="宋体"/>
                <w:color w:val="auto"/>
              </w:rPr>
              <w:t>急性危害</w:t>
            </w:r>
            <w:r>
              <w:rPr>
                <w:color w:val="auto"/>
              </w:rPr>
              <w:t>,</w:t>
            </w:r>
            <w:r>
              <w:rPr>
                <w:rFonts w:hint="eastAsia" w:cs="宋体"/>
                <w:color w:val="auto"/>
              </w:rPr>
              <w:t>类别</w:t>
            </w:r>
            <w:r>
              <w:rPr>
                <w:color w:val="auto"/>
              </w:rPr>
              <w:t xml:space="preserve">2       </w:t>
            </w:r>
            <w:r>
              <w:rPr>
                <w:rFonts w:hint="eastAsia" w:cs="宋体"/>
                <w:color w:val="auto"/>
              </w:rPr>
              <w:t>危害水生环境</w:t>
            </w:r>
            <w:r>
              <w:rPr>
                <w:color w:val="auto"/>
              </w:rPr>
              <w:t>-</w:t>
            </w:r>
            <w:r>
              <w:rPr>
                <w:rFonts w:hint="eastAsia" w:cs="宋体"/>
                <w:color w:val="auto"/>
              </w:rPr>
              <w:t>长期危害</w:t>
            </w:r>
            <w:r>
              <w:rPr>
                <w:color w:val="auto"/>
              </w:rPr>
              <w:t>,</w:t>
            </w:r>
            <w:r>
              <w:rPr>
                <w:rFonts w:hint="eastAsia" w:cs="宋体"/>
                <w:color w:val="auto"/>
              </w:rPr>
              <w:t>类别</w:t>
            </w:r>
            <w:r>
              <w:rPr>
                <w:color w:val="auto"/>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7"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理</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化</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性</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质</w:t>
            </w:r>
          </w:p>
        </w:tc>
        <w:tc>
          <w:tcPr>
            <w:tcW w:w="8189" w:type="dxa"/>
            <w:gridSpan w:val="5"/>
            <w:vAlign w:val="center"/>
          </w:tcPr>
          <w:p>
            <w:pPr>
              <w:spacing w:line="240" w:lineRule="exact"/>
              <w:jc w:val="left"/>
              <w:rPr>
                <w:rFonts w:ascii="Times New Roman" w:hAnsi="Times New Roman" w:cs="Times New Roman"/>
                <w:color w:val="auto"/>
              </w:rPr>
            </w:pPr>
            <w:r>
              <w:rPr>
                <w:rFonts w:hint="eastAsia" w:ascii="Times New Roman" w:hAnsi="Times New Roman" w:cs="宋体"/>
                <w:color w:val="auto"/>
              </w:rPr>
              <w:t>外观与性状：无色或淡黄色易挥发液体，具有特殊臭味。</w:t>
            </w:r>
          </w:p>
          <w:p>
            <w:pPr>
              <w:spacing w:line="240" w:lineRule="exact"/>
              <w:jc w:val="left"/>
              <w:rPr>
                <w:rFonts w:hint="eastAsia" w:ascii="Times New Roman" w:hAnsi="Times New Roman" w:eastAsia="宋体" w:cs="Times New Roman"/>
                <w:color w:val="auto"/>
                <w:lang w:eastAsia="zh-CN"/>
              </w:rPr>
            </w:pPr>
            <w:r>
              <w:rPr>
                <w:rFonts w:hint="eastAsia" w:ascii="Times New Roman" w:hAnsi="Times New Roman" w:cs="宋体"/>
                <w:color w:val="auto"/>
              </w:rPr>
              <w:t>熔点（</w:t>
            </w:r>
            <w:r>
              <w:rPr>
                <w:rFonts w:hint="eastAsia" w:ascii="宋体" w:hAnsi="宋体" w:cs="宋体"/>
                <w:color w:val="auto"/>
              </w:rPr>
              <w:t>℃</w:t>
            </w:r>
            <w:r>
              <w:rPr>
                <w:rFonts w:hint="eastAsia" w:ascii="Times New Roman" w:hAnsi="Times New Roman" w:cs="宋体"/>
                <w:color w:val="auto"/>
              </w:rPr>
              <w:t>）：　</w:t>
            </w:r>
            <w:r>
              <w:rPr>
                <w:rFonts w:ascii="Times New Roman" w:hAnsi="Times New Roman" w:cs="Times New Roman"/>
                <w:color w:val="auto"/>
              </w:rPr>
              <w:t>&lt;-60</w:t>
            </w:r>
            <w:r>
              <w:rPr>
                <w:rFonts w:hint="eastAsia" w:ascii="Times New Roman" w:hAnsi="Times New Roman" w:cs="宋体"/>
                <w:color w:val="auto"/>
              </w:rPr>
              <w:t>　</w:t>
            </w:r>
            <w:r>
              <w:rPr>
                <w:rFonts w:ascii="Times New Roman" w:hAnsi="Times New Roman" w:cs="Times New Roman"/>
                <w:color w:val="auto"/>
              </w:rPr>
              <w:t xml:space="preserve">               </w:t>
            </w:r>
            <w:r>
              <w:rPr>
                <w:rFonts w:hint="eastAsia" w:ascii="Times New Roman" w:hAnsi="Times New Roman" w:cs="宋体"/>
                <w:color w:val="auto"/>
              </w:rPr>
              <w:t>沸点（</w:t>
            </w:r>
            <w:r>
              <w:rPr>
                <w:rFonts w:hint="eastAsia" w:ascii="宋体" w:hAnsi="宋体" w:cs="宋体"/>
                <w:color w:val="auto"/>
              </w:rPr>
              <w:t>℃</w:t>
            </w:r>
            <w:r>
              <w:rPr>
                <w:rFonts w:hint="eastAsia" w:ascii="Times New Roman" w:hAnsi="Times New Roman" w:cs="宋体"/>
                <w:color w:val="auto"/>
              </w:rPr>
              <w:t>）：　</w:t>
            </w:r>
            <w:r>
              <w:rPr>
                <w:rFonts w:ascii="Times New Roman" w:hAnsi="Times New Roman" w:cs="Times New Roman"/>
                <w:color w:val="auto"/>
              </w:rPr>
              <w:t>40</w:t>
            </w:r>
            <w:r>
              <w:rPr>
                <w:rFonts w:hint="eastAsia" w:ascii="Times New Roman" w:hAnsi="Times New Roman" w:cs="宋体"/>
                <w:color w:val="auto"/>
              </w:rPr>
              <w:t>～</w:t>
            </w:r>
            <w:r>
              <w:rPr>
                <w:rFonts w:ascii="Times New Roman" w:hAnsi="Times New Roman" w:cs="Times New Roman"/>
                <w:color w:val="auto"/>
              </w:rPr>
              <w:t>200</w:t>
            </w:r>
          </w:p>
          <w:p>
            <w:pPr>
              <w:spacing w:line="240" w:lineRule="exact"/>
              <w:jc w:val="left"/>
              <w:rPr>
                <w:rFonts w:hint="eastAsia" w:ascii="Times New Roman" w:hAnsi="Times New Roman" w:eastAsia="宋体" w:cs="Times New Roman"/>
                <w:color w:val="auto"/>
                <w:lang w:eastAsia="zh-CN"/>
              </w:rPr>
            </w:pPr>
            <w:r>
              <w:rPr>
                <w:rFonts w:hint="eastAsia" w:ascii="Times New Roman" w:hAnsi="Times New Roman" w:cs="宋体"/>
                <w:color w:val="auto"/>
              </w:rPr>
              <w:t>相对密度（水＝</w:t>
            </w:r>
            <w:r>
              <w:rPr>
                <w:rFonts w:ascii="Times New Roman" w:hAnsi="Times New Roman" w:cs="Times New Roman"/>
                <w:color w:val="auto"/>
              </w:rPr>
              <w:t>1</w:t>
            </w:r>
            <w:r>
              <w:rPr>
                <w:rFonts w:hint="eastAsia" w:ascii="Times New Roman" w:hAnsi="Times New Roman" w:cs="宋体"/>
                <w:color w:val="auto"/>
              </w:rPr>
              <w:t>）：　</w:t>
            </w:r>
            <w:r>
              <w:rPr>
                <w:rFonts w:ascii="Times New Roman" w:hAnsi="Times New Roman" w:cs="Times New Roman"/>
                <w:color w:val="auto"/>
              </w:rPr>
              <w:t xml:space="preserve">0.70-0.79     </w:t>
            </w:r>
            <w:r>
              <w:rPr>
                <w:rFonts w:hint="eastAsia" w:ascii="Times New Roman" w:hAnsi="Times New Roman" w:cs="宋体"/>
                <w:color w:val="auto"/>
              </w:rPr>
              <w:t>相对密度（空气＝</w:t>
            </w:r>
            <w:r>
              <w:rPr>
                <w:rFonts w:ascii="Times New Roman" w:hAnsi="Times New Roman" w:cs="Times New Roman"/>
                <w:color w:val="auto"/>
              </w:rPr>
              <w:t>1</w:t>
            </w:r>
            <w:r>
              <w:rPr>
                <w:rFonts w:hint="eastAsia" w:ascii="Times New Roman" w:hAnsi="Times New Roman" w:cs="宋体"/>
                <w:color w:val="auto"/>
              </w:rPr>
              <w:t>）：　</w:t>
            </w:r>
            <w:r>
              <w:rPr>
                <w:rFonts w:ascii="Times New Roman" w:hAnsi="Times New Roman" w:cs="Times New Roman"/>
                <w:color w:val="auto"/>
              </w:rPr>
              <w:t>3.5</w:t>
            </w:r>
          </w:p>
          <w:p>
            <w:pPr>
              <w:spacing w:line="240" w:lineRule="exact"/>
              <w:jc w:val="left"/>
              <w:rPr>
                <w:rFonts w:hint="eastAsia" w:ascii="Times New Roman" w:hAnsi="Times New Roman" w:eastAsia="宋体" w:cs="Times New Roman"/>
                <w:color w:val="auto"/>
                <w:lang w:eastAsia="zh-CN"/>
              </w:rPr>
            </w:pPr>
            <w:r>
              <w:rPr>
                <w:rFonts w:hint="eastAsia" w:ascii="Times New Roman" w:hAnsi="Times New Roman" w:cs="宋体"/>
                <w:color w:val="auto"/>
              </w:rPr>
              <w:t>饱和蒸气压（</w:t>
            </w:r>
            <w:r>
              <w:rPr>
                <w:rFonts w:ascii="Times New Roman" w:hAnsi="Times New Roman" w:cs="Times New Roman"/>
                <w:color w:val="auto"/>
              </w:rPr>
              <w:t>kPa</w:t>
            </w:r>
            <w:r>
              <w:rPr>
                <w:rFonts w:hint="eastAsia" w:ascii="Times New Roman" w:hAnsi="Times New Roman" w:cs="宋体"/>
                <w:color w:val="auto"/>
              </w:rPr>
              <w:t>）：无资料</w:t>
            </w:r>
            <w:r>
              <w:rPr>
                <w:rFonts w:ascii="Times New Roman" w:hAnsi="Times New Roman" w:cs="Times New Roman"/>
                <w:color w:val="auto"/>
              </w:rPr>
              <w:t xml:space="preserve">         </w:t>
            </w:r>
            <w:r>
              <w:rPr>
                <w:rFonts w:hint="eastAsia" w:ascii="Times New Roman" w:hAnsi="Times New Roman" w:cs="宋体"/>
                <w:color w:val="auto"/>
              </w:rPr>
              <w:t>燃烧热（</w:t>
            </w:r>
            <w:r>
              <w:rPr>
                <w:rFonts w:ascii="Times New Roman" w:hAnsi="Times New Roman" w:cs="Times New Roman"/>
                <w:color w:val="auto"/>
              </w:rPr>
              <w:t>Kj/mol</w:t>
            </w:r>
            <w:r>
              <w:rPr>
                <w:rFonts w:hint="eastAsia" w:ascii="Times New Roman" w:hAnsi="Times New Roman" w:cs="宋体"/>
                <w:color w:val="auto"/>
              </w:rPr>
              <w:t>）</w:t>
            </w:r>
            <w:r>
              <w:rPr>
                <w:rFonts w:ascii="Times New Roman" w:hAnsi="Times New Roman" w:cs="Times New Roman"/>
                <w:color w:val="auto"/>
              </w:rPr>
              <w:t xml:space="preserve"> </w:t>
            </w:r>
            <w:r>
              <w:rPr>
                <w:rFonts w:hint="eastAsia" w:ascii="Times New Roman" w:hAnsi="Times New Roman" w:cs="宋体"/>
                <w:color w:val="auto"/>
              </w:rPr>
              <w:t>：无资料</w:t>
            </w:r>
            <w:r>
              <w:rPr>
                <w:rFonts w:ascii="Times New Roman" w:hAnsi="Times New Roman" w:cs="Times New Roman"/>
                <w:color w:val="auto"/>
              </w:rPr>
              <w:t xml:space="preserve"> </w:t>
            </w:r>
          </w:p>
          <w:p>
            <w:pPr>
              <w:spacing w:line="240" w:lineRule="exact"/>
              <w:jc w:val="left"/>
              <w:rPr>
                <w:rFonts w:ascii="Times New Roman" w:hAnsi="Times New Roman" w:cs="Times New Roman"/>
                <w:color w:val="auto"/>
              </w:rPr>
            </w:pPr>
            <w:r>
              <w:rPr>
                <w:rFonts w:hint="eastAsia" w:ascii="Times New Roman" w:hAnsi="Times New Roman" w:cs="宋体"/>
                <w:color w:val="auto"/>
              </w:rPr>
              <w:t>溶解性：　不溶于水，易溶于苯、二硫化碳、醇、脂肪。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7"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燃烧</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爆炸</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危险</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性</w:t>
            </w:r>
          </w:p>
        </w:tc>
        <w:tc>
          <w:tcPr>
            <w:tcW w:w="8189" w:type="dxa"/>
            <w:gridSpan w:val="5"/>
          </w:tcPr>
          <w:p>
            <w:pPr>
              <w:spacing w:line="240" w:lineRule="exact"/>
              <w:rPr>
                <w:rFonts w:ascii="Times New Roman" w:hAnsi="Times New Roman" w:cs="Times New Roman"/>
                <w:color w:val="auto"/>
              </w:rPr>
            </w:pPr>
            <w:r>
              <w:rPr>
                <w:rFonts w:hint="eastAsia" w:ascii="Times New Roman" w:hAnsi="Times New Roman" w:cs="宋体"/>
                <w:color w:val="auto"/>
              </w:rPr>
              <w:t>燃烧性：易燃</w:t>
            </w:r>
            <w:r>
              <w:rPr>
                <w:rFonts w:ascii="Times New Roman" w:hAnsi="Times New Roman" w:cs="Times New Roman"/>
                <w:color w:val="auto"/>
              </w:rPr>
              <w:t xml:space="preserve">            </w:t>
            </w:r>
            <w:r>
              <w:rPr>
                <w:rFonts w:hint="eastAsia" w:ascii="Times New Roman" w:hAnsi="Times New Roman" w:cs="宋体"/>
                <w:color w:val="auto"/>
              </w:rPr>
              <w:t>建规火险等级：甲类</w:t>
            </w:r>
            <w:r>
              <w:rPr>
                <w:rFonts w:ascii="Times New Roman" w:hAnsi="Times New Roman" w:cs="Times New Roman"/>
                <w:color w:val="auto"/>
              </w:rPr>
              <w:t xml:space="preserve">           </w:t>
            </w:r>
            <w:r>
              <w:rPr>
                <w:rFonts w:hint="eastAsia" w:ascii="Times New Roman" w:hAnsi="Times New Roman" w:cs="宋体"/>
                <w:color w:val="auto"/>
              </w:rPr>
              <w:t>禁忌物：强氧化剂。</w:t>
            </w:r>
          </w:p>
          <w:p>
            <w:pPr>
              <w:spacing w:line="240" w:lineRule="exact"/>
              <w:rPr>
                <w:rFonts w:ascii="Times New Roman" w:hAnsi="Times New Roman" w:cs="Times New Roman"/>
                <w:color w:val="auto"/>
              </w:rPr>
            </w:pPr>
            <w:r>
              <w:rPr>
                <w:rFonts w:hint="eastAsia" w:ascii="Times New Roman" w:hAnsi="Times New Roman" w:cs="宋体"/>
                <w:color w:val="auto"/>
              </w:rPr>
              <w:t>闪点：</w:t>
            </w:r>
            <w:r>
              <w:rPr>
                <w:rFonts w:ascii="Times New Roman" w:hAnsi="Times New Roman" w:cs="Times New Roman"/>
                <w:color w:val="auto"/>
              </w:rPr>
              <w:t>-50</w:t>
            </w:r>
            <w:r>
              <w:rPr>
                <w:rFonts w:hint="eastAsia" w:ascii="宋体" w:hAnsi="宋体" w:cs="宋体"/>
                <w:color w:val="auto"/>
              </w:rPr>
              <w:t>℃</w:t>
            </w:r>
            <w:r>
              <w:rPr>
                <w:rFonts w:hint="eastAsia" w:ascii="Times New Roman" w:hAnsi="Times New Roman" w:cs="宋体"/>
                <w:color w:val="auto"/>
              </w:rPr>
              <w:t>～</w:t>
            </w:r>
            <w:r>
              <w:rPr>
                <w:rFonts w:ascii="Times New Roman" w:hAnsi="Times New Roman" w:cs="Times New Roman"/>
                <w:color w:val="auto"/>
              </w:rPr>
              <w:t>10</w:t>
            </w:r>
            <w:r>
              <w:rPr>
                <w:rFonts w:hint="eastAsia" w:ascii="宋体" w:hAnsi="宋体" w:cs="宋体"/>
                <w:color w:val="auto"/>
              </w:rPr>
              <w:t>℃</w:t>
            </w:r>
            <w:r>
              <w:rPr>
                <w:rFonts w:ascii="Times New Roman" w:hAnsi="Times New Roman" w:cs="Times New Roman"/>
                <w:color w:val="auto"/>
              </w:rPr>
              <w:t xml:space="preserve">       </w:t>
            </w:r>
            <w:r>
              <w:rPr>
                <w:rFonts w:hint="eastAsia" w:ascii="Times New Roman" w:hAnsi="Times New Roman" w:cs="宋体"/>
                <w:color w:val="auto"/>
              </w:rPr>
              <w:t>爆炸下限（</w:t>
            </w:r>
            <w:r>
              <w:rPr>
                <w:rFonts w:ascii="Times New Roman" w:hAnsi="Times New Roman" w:cs="Times New Roman"/>
                <w:color w:val="auto"/>
              </w:rPr>
              <w:t>V%</w:t>
            </w:r>
            <w:r>
              <w:rPr>
                <w:rFonts w:hint="eastAsia" w:ascii="Times New Roman" w:hAnsi="Times New Roman" w:cs="宋体"/>
                <w:color w:val="auto"/>
              </w:rPr>
              <w:t>）：</w:t>
            </w:r>
            <w:r>
              <w:rPr>
                <w:rFonts w:ascii="Times New Roman" w:hAnsi="Times New Roman" w:cs="Times New Roman"/>
                <w:color w:val="auto"/>
              </w:rPr>
              <w:t xml:space="preserve">1.3-6.0        </w:t>
            </w:r>
            <w:r>
              <w:rPr>
                <w:rFonts w:hint="eastAsia" w:ascii="Times New Roman" w:hAnsi="Times New Roman" w:cs="宋体"/>
                <w:color w:val="auto"/>
              </w:rPr>
              <w:t>自燃温度：</w:t>
            </w:r>
            <w:r>
              <w:rPr>
                <w:rFonts w:ascii="Times New Roman" w:hAnsi="Times New Roman" w:cs="Times New Roman"/>
                <w:color w:val="auto"/>
              </w:rPr>
              <w:t>210</w:t>
            </w:r>
            <w:r>
              <w:rPr>
                <w:rFonts w:hint="eastAsia" w:ascii="宋体" w:hAnsi="宋体" w:cs="宋体"/>
                <w:color w:val="auto"/>
              </w:rPr>
              <w:t>℃</w:t>
            </w:r>
          </w:p>
          <w:p>
            <w:pPr>
              <w:spacing w:line="240" w:lineRule="exact"/>
              <w:rPr>
                <w:rFonts w:ascii="Times New Roman" w:hAnsi="Times New Roman" w:cs="Times New Roman"/>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pPr>
              <w:spacing w:line="240" w:lineRule="exact"/>
              <w:rPr>
                <w:rFonts w:ascii="Times New Roman" w:hAnsi="Times New Roman" w:cs="Times New Roman"/>
                <w:color w:val="auto"/>
              </w:rPr>
            </w:pPr>
            <w:r>
              <w:rPr>
                <w:rFonts w:hint="eastAsia" w:ascii="Times New Roman" w:hAnsi="Times New Roman" w:cs="宋体"/>
                <w:color w:val="auto"/>
              </w:rPr>
              <w:t>燃烧分解产物：一氧化碳、二氧化碳。</w:t>
            </w:r>
            <w:r>
              <w:rPr>
                <w:rFonts w:ascii="Times New Roman" w:hAnsi="Times New Roman" w:cs="Times New Roman"/>
                <w:color w:val="auto"/>
              </w:rPr>
              <w:t xml:space="preserve">            </w:t>
            </w:r>
            <w:r>
              <w:rPr>
                <w:rFonts w:hint="eastAsia" w:ascii="Times New Roman" w:hAnsi="Times New Roman" w:cs="宋体"/>
                <w:color w:val="auto"/>
              </w:rPr>
              <w:t>稳定性：稳定</w:t>
            </w:r>
            <w:r>
              <w:rPr>
                <w:rFonts w:ascii="Times New Roman" w:hAnsi="Times New Roman" w:cs="Times New Roman"/>
                <w:color w:val="auto"/>
              </w:rPr>
              <w:t xml:space="preserve">      </w:t>
            </w:r>
          </w:p>
          <w:p>
            <w:pPr>
              <w:spacing w:line="240" w:lineRule="exact"/>
              <w:rPr>
                <w:rFonts w:ascii="Times New Roman" w:hAnsi="Times New Roman" w:cs="Times New Roman"/>
                <w:color w:val="auto"/>
              </w:rPr>
            </w:pPr>
            <w:r>
              <w:rPr>
                <w:rFonts w:hint="eastAsia" w:ascii="Times New Roman" w:hAnsi="Times New Roman" w:cs="宋体"/>
                <w:color w:val="auto"/>
              </w:rPr>
              <w:t>聚合危害：无</w:t>
            </w:r>
            <w:r>
              <w:rPr>
                <w:rFonts w:ascii="Times New Roman" w:hAnsi="Times New Roman" w:cs="Times New Roman"/>
                <w:color w:val="auto"/>
              </w:rPr>
              <w:t xml:space="preserve">                   </w:t>
            </w:r>
            <w:r>
              <w:rPr>
                <w:rFonts w:hint="eastAsia" w:ascii="Times New Roman" w:hAnsi="Times New Roman" w:cs="宋体"/>
                <w:color w:val="auto"/>
              </w:rPr>
              <w:t>灭火方法：泡沫、二氧化碳、干粉。用水灭火无效。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7"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包</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装</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与</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储</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运</w:t>
            </w:r>
          </w:p>
        </w:tc>
        <w:tc>
          <w:tcPr>
            <w:tcW w:w="8189" w:type="dxa"/>
            <w:gridSpan w:val="5"/>
            <w:vAlign w:val="center"/>
          </w:tcPr>
          <w:p>
            <w:pPr>
              <w:spacing w:line="240" w:lineRule="exact"/>
              <w:rPr>
                <w:rFonts w:ascii="Times New Roman" w:hAnsi="Times New Roman" w:cs="Times New Roman"/>
                <w:color w:val="auto"/>
              </w:rPr>
            </w:pPr>
            <w:r>
              <w:rPr>
                <w:rFonts w:hint="eastAsia" w:ascii="Times New Roman" w:hAnsi="Times New Roman" w:cs="宋体"/>
                <w:color w:val="auto"/>
              </w:rPr>
              <w:t>危险货物包装标志：</w:t>
            </w:r>
            <w:r>
              <w:rPr>
                <w:rFonts w:ascii="Times New Roman" w:hAnsi="Times New Roman" w:cs="Times New Roman"/>
                <w:color w:val="auto"/>
              </w:rPr>
              <w:t xml:space="preserve">7    </w:t>
            </w:r>
            <w:r>
              <w:rPr>
                <w:rFonts w:hint="eastAsia" w:ascii="Times New Roman" w:hAnsi="Times New Roman" w:cs="宋体"/>
                <w:color w:val="auto"/>
              </w:rPr>
              <w:t>包装类别：</w:t>
            </w:r>
            <w:r>
              <w:rPr>
                <w:rFonts w:hint="eastAsia" w:ascii="宋体" w:hAnsi="宋体" w:cs="宋体"/>
                <w:color w:val="auto"/>
              </w:rPr>
              <w:t>Ⅰ</w:t>
            </w:r>
          </w:p>
          <w:p>
            <w:pPr>
              <w:spacing w:line="240" w:lineRule="exact"/>
              <w:rPr>
                <w:rFonts w:ascii="Times New Roman" w:hAnsi="Times New Roman" w:cs="Times New Roman"/>
                <w:color w:val="auto"/>
                <w:spacing w:val="-2"/>
              </w:rPr>
            </w:pPr>
            <w:r>
              <w:rPr>
                <w:rFonts w:hint="eastAsia" w:ascii="Times New Roman" w:hAnsi="Times New Roman" w:cs="宋体"/>
                <w:color w:val="auto"/>
                <w:spacing w:val="-2"/>
              </w:rPr>
              <w:t>储存于阴凉、通风仓间内。远离火种、热源。仓内温度不宜超过</w:t>
            </w:r>
            <w:r>
              <w:rPr>
                <w:rFonts w:ascii="Times New Roman" w:hAnsi="Times New Roman" w:cs="Times New Roman"/>
                <w:color w:val="auto"/>
                <w:spacing w:val="-2"/>
              </w:rPr>
              <w:t>30</w:t>
            </w:r>
            <w:r>
              <w:rPr>
                <w:rFonts w:hint="eastAsia" w:ascii="宋体" w:hAnsi="宋体" w:cs="宋体"/>
                <w:color w:val="auto"/>
                <w:spacing w:val="-2"/>
              </w:rPr>
              <w:t>℃</w:t>
            </w:r>
            <w:r>
              <w:rPr>
                <w:rFonts w:hint="eastAsia" w:ascii="Times New Roman" w:hAnsi="Times New Roman" w:cs="宋体"/>
                <w:color w:val="auto"/>
                <w:spacing w:val="-2"/>
              </w:rPr>
              <w:t>。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w:t>
            </w:r>
            <w:r>
              <w:rPr>
                <w:rFonts w:ascii="Times New Roman" w:hAnsi="Times New Roman" w:cs="Times New Roman"/>
                <w:color w:val="auto"/>
                <w:spacing w:val="-2"/>
              </w:rPr>
              <w:t>3m/s</w:t>
            </w:r>
            <w:r>
              <w:rPr>
                <w:rFonts w:hint="eastAsia" w:ascii="Times New Roman" w:hAnsi="Times New Roman" w:cs="宋体"/>
                <w:color w:val="auto"/>
                <w:spacing w:val="-2"/>
              </w:rPr>
              <w:t>），且有接地装置。防止静电积聚。搬运时要轻装轻卸，防止包装及容器损坏。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7"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毒性</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及</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健康</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危害</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性</w:t>
            </w:r>
          </w:p>
        </w:tc>
        <w:tc>
          <w:tcPr>
            <w:tcW w:w="8189" w:type="dxa"/>
            <w:gridSpan w:val="5"/>
            <w:vAlign w:val="center"/>
          </w:tcPr>
          <w:p>
            <w:pPr>
              <w:spacing w:line="240" w:lineRule="exact"/>
              <w:rPr>
                <w:rFonts w:ascii="Times New Roman" w:hAnsi="Times New Roman" w:cs="Times New Roman"/>
                <w:color w:val="auto"/>
              </w:rPr>
            </w:pPr>
            <w:r>
              <w:rPr>
                <w:rFonts w:hint="eastAsia" w:ascii="Times New Roman" w:hAnsi="Times New Roman" w:cs="宋体"/>
                <w:color w:val="auto"/>
              </w:rPr>
              <w:t>接触限值：中国</w:t>
            </w:r>
            <w:r>
              <w:rPr>
                <w:rFonts w:ascii="Times New Roman" w:hAnsi="Times New Roman" w:cs="Times New Roman"/>
                <w:color w:val="auto"/>
              </w:rPr>
              <w:t>MAC</w:t>
            </w:r>
            <w:r>
              <w:rPr>
                <w:rFonts w:hint="eastAsia" w:ascii="Times New Roman" w:hAnsi="Times New Roman" w:cs="宋体"/>
                <w:color w:val="auto"/>
              </w:rPr>
              <w:t>：</w:t>
            </w:r>
            <w:r>
              <w:rPr>
                <w:rFonts w:ascii="Times New Roman" w:hAnsi="Times New Roman" w:cs="Times New Roman"/>
                <w:color w:val="auto"/>
              </w:rPr>
              <w:t>300mg/m3</w:t>
            </w:r>
            <w:r>
              <w:rPr>
                <w:rFonts w:hint="eastAsia" w:ascii="Times New Roman" w:hAnsi="Times New Roman" w:cs="宋体"/>
                <w:color w:val="auto"/>
              </w:rPr>
              <w:t>（溶剂汽油）。</w:t>
            </w:r>
            <w:r>
              <w:rPr>
                <w:rFonts w:ascii="Times New Roman" w:hAnsi="Times New Roman" w:cs="Times New Roman"/>
                <w:color w:val="auto"/>
              </w:rPr>
              <w:t xml:space="preserve">   </w:t>
            </w:r>
            <w:r>
              <w:rPr>
                <w:rFonts w:hint="eastAsia" w:ascii="Times New Roman" w:hAnsi="Times New Roman" w:cs="宋体"/>
                <w:color w:val="auto"/>
              </w:rPr>
              <w:t>侵入途径：吸入，食入，经皮吸收。</w:t>
            </w:r>
          </w:p>
          <w:p>
            <w:pPr>
              <w:spacing w:line="240" w:lineRule="exact"/>
              <w:rPr>
                <w:rFonts w:ascii="Times New Roman" w:hAnsi="Times New Roman" w:cs="Times New Roman"/>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97"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急救</w:t>
            </w:r>
          </w:p>
        </w:tc>
        <w:tc>
          <w:tcPr>
            <w:tcW w:w="8189" w:type="dxa"/>
            <w:gridSpan w:val="5"/>
            <w:vAlign w:val="center"/>
          </w:tcPr>
          <w:p>
            <w:pPr>
              <w:spacing w:line="240" w:lineRule="exact"/>
              <w:rPr>
                <w:rFonts w:ascii="Times New Roman" w:hAnsi="Times New Roman" w:cs="Times New Roman"/>
                <w:color w:val="auto"/>
              </w:rPr>
            </w:pPr>
            <w:r>
              <w:rPr>
                <w:rFonts w:hint="eastAsia" w:ascii="Times New Roman" w:hAnsi="Times New Roman" w:cs="宋体"/>
                <w:color w:val="auto"/>
              </w:rPr>
              <w:t>吸入：迅速脱离污染区，注意保暖，保持呼吸道通畅，呼吸困难时给氧，必要时进行人工呼吸，就医。</w:t>
            </w:r>
            <w:r>
              <w:rPr>
                <w:rFonts w:ascii="Times New Roman" w:hAnsi="Times New Roman" w:cs="Times New Roman"/>
                <w:color w:val="auto"/>
              </w:rPr>
              <w:t xml:space="preserve">          </w:t>
            </w:r>
            <w:r>
              <w:rPr>
                <w:rFonts w:hint="eastAsia" w:ascii="Times New Roman" w:hAnsi="Times New Roman" w:cs="宋体"/>
                <w:color w:val="auto"/>
              </w:rPr>
              <w:t>食入：给牛奶、蛋清、植物油等口服，洗胃，就医。</w:t>
            </w:r>
          </w:p>
          <w:p>
            <w:pPr>
              <w:spacing w:line="240" w:lineRule="exact"/>
              <w:rPr>
                <w:rFonts w:ascii="Times New Roman" w:hAnsi="Times New Roman" w:cs="Times New Roman"/>
                <w:color w:val="auto"/>
              </w:rPr>
            </w:pPr>
            <w:r>
              <w:rPr>
                <w:rFonts w:hint="eastAsia" w:ascii="Times New Roman" w:hAnsi="Times New Roman" w:cs="宋体"/>
                <w:color w:val="auto"/>
              </w:rPr>
              <w:t>眼睛接触：立即提起眼睑，用流动清水或生理盐水冲洗至少</w:t>
            </w:r>
            <w:r>
              <w:rPr>
                <w:rFonts w:ascii="Times New Roman" w:hAnsi="Times New Roman" w:cs="Times New Roman"/>
                <w:color w:val="auto"/>
              </w:rPr>
              <w:t>15</w:t>
            </w:r>
            <w:r>
              <w:rPr>
                <w:rFonts w:hint="eastAsia" w:ascii="Times New Roman" w:hAnsi="Times New Roman" w:cs="宋体"/>
                <w:color w:val="auto"/>
              </w:rPr>
              <w:t>分钟，就医。</w:t>
            </w:r>
            <w:r>
              <w:rPr>
                <w:rFonts w:ascii="Times New Roman" w:hAnsi="Times New Roman" w:cs="Times New Roman"/>
                <w:color w:val="auto"/>
              </w:rPr>
              <w:tab/>
            </w:r>
            <w:r>
              <w:rPr>
                <w:rFonts w:hint="eastAsia" w:ascii="Times New Roman" w:hAnsi="Times New Roman" w:cs="宋体"/>
                <w:color w:val="auto"/>
              </w:rPr>
              <w:t>皮肤接触：脱去污染的衣着，立即用流动清水彻底冲洗。</w:t>
            </w:r>
            <w:r>
              <w:rPr>
                <w:rFonts w:ascii="Times New Roman" w:hAnsi="Times New Roman" w:cs="Times New Roman"/>
                <w:color w:val="auto"/>
              </w:rPr>
              <w:tab/>
            </w:r>
          </w:p>
          <w:p>
            <w:pPr>
              <w:spacing w:line="240" w:lineRule="exact"/>
              <w:rPr>
                <w:rFonts w:ascii="Times New Roman" w:hAnsi="Times New Roman" w:cs="Times New Roman"/>
                <w:color w:val="auto"/>
              </w:rPr>
            </w:pPr>
            <w:r>
              <w:rPr>
                <w:rFonts w:hint="eastAsia" w:ascii="Times New Roman" w:hAnsi="Times New Roman" w:cs="宋体"/>
                <w:color w:val="auto"/>
              </w:rPr>
              <w:t>浓度超标时，戴防毒面具</w:t>
            </w:r>
            <w:r>
              <w:rPr>
                <w:rFonts w:ascii="Times New Roman" w:hAnsi="Times New Roman" w:cs="Times New Roman"/>
                <w:color w:val="auto"/>
              </w:rPr>
              <w:tab/>
            </w:r>
            <w:r>
              <w:rPr>
                <w:rFonts w:hint="eastAsia" w:ascii="Times New Roman" w:hAnsi="Times New Roman" w:cs="宋体"/>
                <w:color w:val="auto"/>
              </w:rPr>
              <w:t>生产过程密闭，全面通风，工作场所禁止吸烟，高浓度时戴化学防护眼镜</w:t>
            </w:r>
            <w:r>
              <w:rPr>
                <w:rFonts w:ascii="Times New Roman" w:hAnsi="Times New Roman" w:cs="Times New Roman"/>
                <w:color w:val="auto"/>
              </w:rPr>
              <w:tab/>
            </w:r>
            <w:r>
              <w:rPr>
                <w:rFonts w:hint="eastAsia" w:ascii="Times New Roman" w:hAnsi="Times New Roman" w:cs="宋体"/>
                <w:color w:val="auto"/>
              </w:rPr>
              <w:t>，穿防静电工作服，戴防护手套。</w:t>
            </w:r>
            <w:r>
              <w:rPr>
                <w:rFonts w:ascii="Times New Roman" w:hAnsi="Times New Roman" w:cs="Times New Roman"/>
                <w:color w:val="auto"/>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1" w:hRule="atLeast"/>
          <w:jc w:val="center"/>
        </w:trPr>
        <w:tc>
          <w:tcPr>
            <w:tcW w:w="1097" w:type="dxa"/>
            <w:vAlign w:val="center"/>
          </w:tcPr>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泄漏</w:t>
            </w:r>
          </w:p>
          <w:p>
            <w:pPr>
              <w:spacing w:line="240" w:lineRule="exact"/>
              <w:jc w:val="center"/>
              <w:rPr>
                <w:rFonts w:ascii="Times New Roman" w:hAnsi="Times New Roman" w:cs="Times New Roman"/>
                <w:b/>
                <w:bCs/>
                <w:color w:val="auto"/>
              </w:rPr>
            </w:pPr>
            <w:r>
              <w:rPr>
                <w:rFonts w:hint="eastAsia" w:ascii="Times New Roman" w:hAnsi="Times New Roman" w:cs="宋体"/>
                <w:b/>
                <w:bCs/>
                <w:color w:val="auto"/>
              </w:rPr>
              <w:t>处置</w:t>
            </w:r>
          </w:p>
        </w:tc>
        <w:tc>
          <w:tcPr>
            <w:tcW w:w="8189" w:type="dxa"/>
            <w:gridSpan w:val="5"/>
            <w:vAlign w:val="center"/>
          </w:tcPr>
          <w:p>
            <w:pPr>
              <w:spacing w:line="240" w:lineRule="exact"/>
              <w:rPr>
                <w:rFonts w:ascii="Times New Roman" w:hAnsi="Times New Roman" w:cs="Times New Roman"/>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其它不燃性吸附剂吸收，然后收集至废物处理场所处置。</w:t>
            </w:r>
          </w:p>
        </w:tc>
      </w:tr>
    </w:tbl>
    <w:p>
      <w:pPr>
        <w:jc w:val="center"/>
        <w:rPr>
          <w:rFonts w:ascii="Times New Roman" w:hAnsi="Times New Roman" w:cs="Times New Roman"/>
          <w:color w:val="auto"/>
        </w:rPr>
      </w:pPr>
    </w:p>
    <w:p>
      <w:pPr>
        <w:pStyle w:val="37"/>
        <w:spacing w:line="600" w:lineRule="exact"/>
        <w:ind w:left="420" w:leftChars="200"/>
        <w:jc w:val="center"/>
        <w:rPr>
          <w:rFonts w:hint="eastAsia" w:eastAsia="宋体" w:cs="宋体"/>
          <w:b/>
          <w:bCs/>
          <w:color w:val="auto"/>
          <w:sz w:val="24"/>
          <w:szCs w:val="24"/>
          <w:lang w:val="en-US" w:eastAsia="zh-CN"/>
        </w:rPr>
      </w:pPr>
      <w:r>
        <w:rPr>
          <w:rFonts w:hint="eastAsia" w:cs="宋体"/>
          <w:b/>
          <w:bCs/>
          <w:color w:val="auto"/>
          <w:sz w:val="24"/>
          <w:szCs w:val="24"/>
        </w:rPr>
        <w:t>表3-</w:t>
      </w:r>
      <w:r>
        <w:rPr>
          <w:rFonts w:hint="eastAsia" w:cs="宋体"/>
          <w:b/>
          <w:bCs/>
          <w:color w:val="auto"/>
          <w:sz w:val="24"/>
          <w:szCs w:val="24"/>
          <w:lang w:val="en-US" w:eastAsia="zh-CN"/>
        </w:rPr>
        <w:t>3</w:t>
      </w:r>
      <w:r>
        <w:rPr>
          <w:rFonts w:hint="eastAsia" w:cs="宋体"/>
          <w:b/>
          <w:bCs/>
          <w:color w:val="auto"/>
          <w:sz w:val="24"/>
          <w:szCs w:val="24"/>
        </w:rPr>
        <w:t xml:space="preserve">  柴油</w:t>
      </w:r>
      <w:r>
        <w:rPr>
          <w:rFonts w:hint="eastAsia" w:cs="宋体"/>
          <w:b/>
          <w:bCs/>
          <w:color w:val="auto"/>
          <w:sz w:val="24"/>
          <w:szCs w:val="24"/>
          <w:lang w:eastAsia="zh-CN"/>
        </w:rPr>
        <w:t>理化性质一览表</w:t>
      </w:r>
    </w:p>
    <w:tbl>
      <w:tblPr>
        <w:tblStyle w:val="20"/>
        <w:tblW w:w="8930"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998"/>
        <w:gridCol w:w="1465"/>
        <w:gridCol w:w="1465"/>
        <w:gridCol w:w="1614"/>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095" w:type="dxa"/>
            <w:vAlign w:val="center"/>
          </w:tcPr>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品</w:t>
            </w:r>
            <w:r>
              <w:rPr>
                <w:rFonts w:ascii="Times New Roman" w:hAnsi="Times New Roman" w:cs="Times New Roman"/>
                <w:b/>
                <w:bCs/>
                <w:color w:val="auto"/>
              </w:rPr>
              <w:t xml:space="preserve">    </w:t>
            </w:r>
            <w:r>
              <w:rPr>
                <w:rFonts w:hint="eastAsia" w:ascii="Times New Roman" w:hAnsi="Times New Roman" w:cs="宋体"/>
                <w:b/>
                <w:bCs/>
                <w:color w:val="auto"/>
              </w:rPr>
              <w:t>名</w:t>
            </w:r>
          </w:p>
        </w:tc>
        <w:tc>
          <w:tcPr>
            <w:tcW w:w="1998"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柴油</w:t>
            </w:r>
          </w:p>
        </w:tc>
        <w:tc>
          <w:tcPr>
            <w:tcW w:w="1465" w:type="dxa"/>
            <w:vAlign w:val="center"/>
          </w:tcPr>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别</w:t>
            </w:r>
            <w:r>
              <w:rPr>
                <w:rFonts w:ascii="Times New Roman" w:hAnsi="Times New Roman" w:cs="Times New Roman"/>
                <w:b/>
                <w:bCs/>
                <w:color w:val="auto"/>
              </w:rPr>
              <w:t xml:space="preserve">      </w:t>
            </w:r>
            <w:r>
              <w:rPr>
                <w:rFonts w:hint="eastAsia" w:ascii="Times New Roman" w:hAnsi="Times New Roman" w:cs="宋体"/>
                <w:b/>
                <w:bCs/>
                <w:color w:val="auto"/>
              </w:rPr>
              <w:t>名</w:t>
            </w:r>
          </w:p>
        </w:tc>
        <w:tc>
          <w:tcPr>
            <w:tcW w:w="1465" w:type="dxa"/>
            <w:vAlign w:val="center"/>
          </w:tcPr>
          <w:p>
            <w:pPr>
              <w:spacing w:line="280" w:lineRule="exact"/>
              <w:jc w:val="center"/>
              <w:rPr>
                <w:rFonts w:ascii="Times New Roman" w:hAnsi="Times New Roman" w:cs="Times New Roman"/>
                <w:color w:val="auto"/>
              </w:rPr>
            </w:pPr>
          </w:p>
        </w:tc>
        <w:tc>
          <w:tcPr>
            <w:tcW w:w="1614" w:type="dxa"/>
            <w:vAlign w:val="center"/>
          </w:tcPr>
          <w:p>
            <w:pPr>
              <w:spacing w:line="280" w:lineRule="exact"/>
              <w:ind w:right="-288" w:rightChars="-137"/>
              <w:rPr>
                <w:rFonts w:ascii="Times New Roman" w:hAnsi="Times New Roman" w:cs="Times New Roman"/>
                <w:b/>
                <w:bCs/>
                <w:color w:val="auto"/>
              </w:rPr>
            </w:pPr>
            <w:r>
              <w:rPr>
                <w:rFonts w:hint="eastAsia" w:ascii="Times New Roman" w:hAnsi="Times New Roman" w:cs="宋体"/>
                <w:b/>
                <w:bCs/>
                <w:color w:val="auto"/>
              </w:rPr>
              <w:t>危险货物编号</w:t>
            </w:r>
          </w:p>
        </w:tc>
        <w:tc>
          <w:tcPr>
            <w:tcW w:w="1293" w:type="dxa"/>
            <w:vAlign w:val="center"/>
          </w:tcPr>
          <w:p>
            <w:pPr>
              <w:ind w:firstLine="210" w:firstLineChars="100"/>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095" w:type="dxa"/>
            <w:vAlign w:val="center"/>
          </w:tcPr>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英文名称</w:t>
            </w:r>
          </w:p>
        </w:tc>
        <w:tc>
          <w:tcPr>
            <w:tcW w:w="1998" w:type="dxa"/>
            <w:vAlign w:val="center"/>
          </w:tcPr>
          <w:p>
            <w:pPr>
              <w:spacing w:line="280" w:lineRule="exact"/>
              <w:ind w:firstLine="315" w:firstLineChars="150"/>
              <w:jc w:val="left"/>
              <w:rPr>
                <w:rFonts w:ascii="Times New Roman" w:hAnsi="Times New Roman" w:cs="Times New Roman"/>
                <w:color w:val="auto"/>
              </w:rPr>
            </w:pPr>
            <w:r>
              <w:rPr>
                <w:rFonts w:ascii="Times New Roman" w:hAnsi="Times New Roman" w:cs="Times New Roman"/>
                <w:color w:val="auto"/>
              </w:rPr>
              <w:t>Diesel  oil</w:t>
            </w:r>
          </w:p>
        </w:tc>
        <w:tc>
          <w:tcPr>
            <w:tcW w:w="1465" w:type="dxa"/>
            <w:vAlign w:val="center"/>
          </w:tcPr>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分</w:t>
            </w:r>
            <w:r>
              <w:rPr>
                <w:rFonts w:ascii="Times New Roman" w:hAnsi="Times New Roman" w:cs="Times New Roman"/>
                <w:b/>
                <w:bCs/>
                <w:color w:val="auto"/>
              </w:rPr>
              <w:t xml:space="preserve">  </w:t>
            </w:r>
            <w:r>
              <w:rPr>
                <w:rFonts w:hint="eastAsia" w:ascii="Times New Roman" w:hAnsi="Times New Roman" w:cs="宋体"/>
                <w:b/>
                <w:bCs/>
                <w:color w:val="auto"/>
              </w:rPr>
              <w:t>子</w:t>
            </w:r>
            <w:r>
              <w:rPr>
                <w:rFonts w:ascii="Times New Roman" w:hAnsi="Times New Roman" w:cs="Times New Roman"/>
                <w:b/>
                <w:bCs/>
                <w:color w:val="auto"/>
              </w:rPr>
              <w:t xml:space="preserve">  </w:t>
            </w:r>
            <w:r>
              <w:rPr>
                <w:rFonts w:hint="eastAsia" w:ascii="Times New Roman" w:hAnsi="Times New Roman" w:cs="宋体"/>
                <w:b/>
                <w:bCs/>
                <w:color w:val="auto"/>
              </w:rPr>
              <w:t>式</w:t>
            </w:r>
          </w:p>
        </w:tc>
        <w:tc>
          <w:tcPr>
            <w:tcW w:w="1465" w:type="dxa"/>
            <w:vAlign w:val="center"/>
          </w:tcPr>
          <w:p>
            <w:pPr>
              <w:spacing w:line="280" w:lineRule="exact"/>
              <w:jc w:val="center"/>
              <w:rPr>
                <w:rFonts w:ascii="Times New Roman" w:hAnsi="Times New Roman" w:cs="Times New Roman"/>
                <w:color w:val="auto"/>
              </w:rPr>
            </w:pPr>
          </w:p>
        </w:tc>
        <w:tc>
          <w:tcPr>
            <w:tcW w:w="1614" w:type="dxa"/>
            <w:vAlign w:val="center"/>
          </w:tcPr>
          <w:p>
            <w:pPr>
              <w:spacing w:line="280" w:lineRule="exact"/>
              <w:rPr>
                <w:rFonts w:ascii="Times New Roman" w:hAnsi="Times New Roman" w:cs="Times New Roman"/>
                <w:b/>
                <w:bCs/>
                <w:color w:val="auto"/>
              </w:rPr>
            </w:pPr>
            <w:r>
              <w:rPr>
                <w:rFonts w:hint="eastAsia" w:ascii="Times New Roman" w:hAnsi="Times New Roman" w:cs="宋体"/>
                <w:b/>
                <w:bCs/>
                <w:color w:val="auto"/>
              </w:rPr>
              <w:t>分</w:t>
            </w:r>
            <w:r>
              <w:rPr>
                <w:rFonts w:ascii="Times New Roman" w:hAnsi="Times New Roman" w:cs="Times New Roman"/>
                <w:b/>
                <w:bCs/>
                <w:color w:val="auto"/>
              </w:rPr>
              <w:t xml:space="preserve">  </w:t>
            </w:r>
            <w:r>
              <w:rPr>
                <w:rFonts w:hint="eastAsia" w:ascii="Times New Roman" w:hAnsi="Times New Roman" w:cs="宋体"/>
                <w:b/>
                <w:bCs/>
                <w:color w:val="auto"/>
              </w:rPr>
              <w:t>子</w:t>
            </w:r>
            <w:r>
              <w:rPr>
                <w:rFonts w:ascii="Times New Roman" w:hAnsi="Times New Roman" w:cs="Times New Roman"/>
                <w:b/>
                <w:bCs/>
                <w:color w:val="auto"/>
              </w:rPr>
              <w:t xml:space="preserve">  </w:t>
            </w:r>
            <w:r>
              <w:rPr>
                <w:rFonts w:hint="eastAsia" w:ascii="Times New Roman" w:hAnsi="Times New Roman" w:cs="宋体"/>
                <w:b/>
                <w:bCs/>
                <w:color w:val="auto"/>
              </w:rPr>
              <w:t>量</w:t>
            </w:r>
          </w:p>
        </w:tc>
        <w:tc>
          <w:tcPr>
            <w:tcW w:w="1293" w:type="dxa"/>
            <w:vAlign w:val="center"/>
          </w:tcPr>
          <w:p>
            <w:pPr>
              <w:spacing w:line="280" w:lineRule="exact"/>
              <w:ind w:left="-195" w:leftChars="-94" w:hanging="2"/>
              <w:jc w:val="center"/>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1095" w:type="dxa"/>
            <w:vAlign w:val="center"/>
          </w:tcPr>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理</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化</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性</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质</w:t>
            </w:r>
          </w:p>
        </w:tc>
        <w:tc>
          <w:tcPr>
            <w:tcW w:w="7835" w:type="dxa"/>
            <w:gridSpan w:val="5"/>
            <w:vAlign w:val="center"/>
          </w:tcPr>
          <w:p>
            <w:pPr>
              <w:spacing w:line="240" w:lineRule="exact"/>
              <w:jc w:val="left"/>
              <w:rPr>
                <w:rFonts w:ascii="Times New Roman" w:hAnsi="Times New Roman" w:cs="Times New Roman"/>
                <w:color w:val="auto"/>
              </w:rPr>
            </w:pPr>
            <w:r>
              <w:rPr>
                <w:rFonts w:hint="eastAsia" w:ascii="Times New Roman" w:hAnsi="Times New Roman" w:cs="宋体"/>
                <w:color w:val="auto"/>
                <w:kern w:val="0"/>
                <w:sz w:val="20"/>
                <w:szCs w:val="20"/>
              </w:rPr>
              <w:t>易燃液体</w:t>
            </w:r>
            <w:r>
              <w:rPr>
                <w:rFonts w:ascii="Times New Roman" w:hAnsi="Times New Roman" w:cs="Times New Roman"/>
                <w:color w:val="auto"/>
                <w:kern w:val="0"/>
                <w:sz w:val="20"/>
                <w:szCs w:val="20"/>
              </w:rPr>
              <w:t>,</w:t>
            </w:r>
            <w:r>
              <w:rPr>
                <w:rFonts w:hint="eastAsia" w:ascii="Times New Roman" w:hAnsi="Times New Roman" w:cs="宋体"/>
                <w:color w:val="auto"/>
                <w:kern w:val="0"/>
                <w:sz w:val="20"/>
                <w:szCs w:val="20"/>
              </w:rPr>
              <w:t>类别</w:t>
            </w:r>
            <w:r>
              <w:rPr>
                <w:rFonts w:ascii="Times New Roman" w:hAnsi="Times New Roman" w:cs="Times New Roman"/>
                <w:color w:val="auto"/>
                <w:kern w:val="0"/>
                <w:sz w:val="20"/>
                <w:szCs w:val="20"/>
              </w:rPr>
              <w:t>3</w:t>
            </w:r>
          </w:p>
          <w:p>
            <w:pPr>
              <w:spacing w:line="280" w:lineRule="exact"/>
              <w:jc w:val="left"/>
              <w:rPr>
                <w:rFonts w:ascii="Times New Roman" w:hAnsi="Times New Roman" w:cs="Times New Roman"/>
                <w:color w:val="auto"/>
              </w:rPr>
            </w:pPr>
            <w:r>
              <w:rPr>
                <w:rFonts w:hint="eastAsia" w:ascii="Times New Roman" w:hAnsi="Times New Roman" w:cs="宋体"/>
                <w:color w:val="auto"/>
              </w:rPr>
              <w:t>外观与性状：稍有粘性的棕色液体。</w:t>
            </w:r>
          </w:p>
          <w:p>
            <w:pPr>
              <w:spacing w:line="280" w:lineRule="exact"/>
              <w:jc w:val="left"/>
              <w:rPr>
                <w:rFonts w:ascii="Times New Roman" w:hAnsi="Times New Roman" w:cs="Times New Roman"/>
                <w:color w:val="auto"/>
              </w:rPr>
            </w:pPr>
            <w:r>
              <w:rPr>
                <w:rFonts w:hint="eastAsia" w:ascii="Times New Roman" w:hAnsi="Times New Roman" w:cs="宋体"/>
                <w:color w:val="auto"/>
              </w:rPr>
              <w:t>熔点（</w:t>
            </w:r>
            <w:r>
              <w:rPr>
                <w:rFonts w:hint="eastAsia" w:ascii="宋体" w:hAnsi="宋体" w:cs="宋体"/>
                <w:color w:val="auto"/>
              </w:rPr>
              <w:t>℃</w:t>
            </w:r>
            <w:r>
              <w:rPr>
                <w:rFonts w:hint="eastAsia" w:ascii="Times New Roman" w:hAnsi="Times New Roman" w:cs="宋体"/>
                <w:color w:val="auto"/>
              </w:rPr>
              <w:t>）：</w:t>
            </w:r>
            <w:r>
              <w:rPr>
                <w:rFonts w:ascii="Times New Roman" w:hAnsi="Times New Roman" w:cs="Times New Roman"/>
                <w:color w:val="auto"/>
              </w:rPr>
              <w:t xml:space="preserve">&lt;-18               </w:t>
            </w:r>
            <w:r>
              <w:rPr>
                <w:rFonts w:hint="eastAsia" w:ascii="Times New Roman" w:hAnsi="Times New Roman" w:cs="宋体"/>
                <w:color w:val="auto"/>
              </w:rPr>
              <w:t>沸点（</w:t>
            </w:r>
            <w:r>
              <w:rPr>
                <w:rFonts w:hint="eastAsia" w:ascii="宋体" w:hAnsi="宋体" w:cs="宋体"/>
                <w:color w:val="auto"/>
              </w:rPr>
              <w:t>℃</w:t>
            </w:r>
            <w:r>
              <w:rPr>
                <w:rFonts w:hint="eastAsia" w:ascii="Times New Roman" w:hAnsi="Times New Roman" w:cs="宋体"/>
                <w:color w:val="auto"/>
              </w:rPr>
              <w:t>）：　</w:t>
            </w:r>
            <w:r>
              <w:rPr>
                <w:rFonts w:ascii="Times New Roman" w:hAnsi="Times New Roman" w:cs="Times New Roman"/>
                <w:color w:val="auto"/>
              </w:rPr>
              <w:t>282-338</w:t>
            </w:r>
          </w:p>
          <w:p>
            <w:pPr>
              <w:spacing w:line="280" w:lineRule="exact"/>
              <w:jc w:val="left"/>
              <w:rPr>
                <w:rFonts w:ascii="Times New Roman" w:hAnsi="Times New Roman" w:cs="Times New Roman"/>
                <w:color w:val="auto"/>
              </w:rPr>
            </w:pPr>
            <w:r>
              <w:rPr>
                <w:rFonts w:hint="eastAsia" w:ascii="Times New Roman" w:hAnsi="Times New Roman" w:cs="宋体"/>
                <w:color w:val="auto"/>
              </w:rPr>
              <w:t>相对密度（水＝</w:t>
            </w:r>
            <w:r>
              <w:rPr>
                <w:rFonts w:ascii="Times New Roman" w:hAnsi="Times New Roman" w:cs="Times New Roman"/>
                <w:color w:val="auto"/>
              </w:rPr>
              <w:t>1</w:t>
            </w:r>
            <w:r>
              <w:rPr>
                <w:rFonts w:hint="eastAsia" w:ascii="Times New Roman" w:hAnsi="Times New Roman" w:cs="宋体"/>
                <w:color w:val="auto"/>
              </w:rPr>
              <w:t>）：</w:t>
            </w:r>
            <w:r>
              <w:rPr>
                <w:rFonts w:ascii="Times New Roman" w:hAnsi="Times New Roman" w:cs="Times New Roman"/>
                <w:color w:val="auto"/>
              </w:rPr>
              <w:t xml:space="preserve">0.8-0.9     </w:t>
            </w:r>
            <w:r>
              <w:rPr>
                <w:rFonts w:hint="eastAsia" w:ascii="Times New Roman" w:hAnsi="Times New Roman" w:cs="宋体"/>
                <w:color w:val="auto"/>
              </w:rPr>
              <w:t>相对密度（空气＝</w:t>
            </w:r>
            <w:r>
              <w:rPr>
                <w:rFonts w:ascii="Times New Roman" w:hAnsi="Times New Roman" w:cs="Times New Roman"/>
                <w:color w:val="auto"/>
              </w:rPr>
              <w:t>1</w:t>
            </w:r>
            <w:r>
              <w:rPr>
                <w:rFonts w:hint="eastAsia" w:ascii="Times New Roman" w:hAnsi="Times New Roman" w:cs="宋体"/>
                <w:color w:val="auto"/>
              </w:rPr>
              <w:t>）：</w:t>
            </w:r>
          </w:p>
          <w:p>
            <w:pPr>
              <w:spacing w:line="280" w:lineRule="exact"/>
              <w:jc w:val="left"/>
              <w:rPr>
                <w:rFonts w:ascii="Times New Roman" w:hAnsi="Times New Roman" w:cs="Times New Roman"/>
                <w:color w:val="auto"/>
              </w:rPr>
            </w:pPr>
            <w:r>
              <w:rPr>
                <w:rFonts w:hint="eastAsia" w:ascii="Times New Roman" w:hAnsi="Times New Roman" w:cs="宋体"/>
                <w:color w:val="auto"/>
              </w:rPr>
              <w:t>饱和蒸气压（</w:t>
            </w:r>
            <w:r>
              <w:rPr>
                <w:rFonts w:ascii="Times New Roman" w:hAnsi="Times New Roman" w:cs="Times New Roman"/>
                <w:color w:val="auto"/>
              </w:rPr>
              <w:t>kPa</w:t>
            </w:r>
            <w:r>
              <w:rPr>
                <w:rFonts w:hint="eastAsia" w:ascii="Times New Roman" w:hAnsi="Times New Roman" w:cs="宋体"/>
                <w:color w:val="auto"/>
              </w:rPr>
              <w:t>）：无资料</w:t>
            </w:r>
            <w:r>
              <w:rPr>
                <w:rFonts w:ascii="Times New Roman" w:hAnsi="Times New Roman" w:cs="Times New Roman"/>
                <w:color w:val="auto"/>
              </w:rPr>
              <w:t xml:space="preserve">         </w:t>
            </w:r>
            <w:r>
              <w:rPr>
                <w:rFonts w:hint="eastAsia" w:ascii="Times New Roman" w:hAnsi="Times New Roman" w:cs="宋体"/>
                <w:color w:val="auto"/>
              </w:rPr>
              <w:t>燃烧热（</w:t>
            </w:r>
            <w:r>
              <w:rPr>
                <w:rFonts w:ascii="Times New Roman" w:hAnsi="Times New Roman" w:cs="Times New Roman"/>
                <w:color w:val="auto"/>
              </w:rPr>
              <w:t>Kj/mol</w:t>
            </w:r>
            <w:r>
              <w:rPr>
                <w:rFonts w:hint="eastAsia" w:ascii="Times New Roman" w:hAnsi="Times New Roman" w:cs="宋体"/>
                <w:color w:val="auto"/>
              </w:rPr>
              <w:t>）</w:t>
            </w:r>
            <w:r>
              <w:rPr>
                <w:rFonts w:ascii="Times New Roman" w:hAnsi="Times New Roman" w:cs="Times New Roman"/>
                <w:color w:val="auto"/>
              </w:rPr>
              <w:t xml:space="preserve"> </w:t>
            </w:r>
            <w:r>
              <w:rPr>
                <w:rFonts w:hint="eastAsia" w:ascii="Times New Roman" w:hAnsi="Times New Roman" w:cs="宋体"/>
                <w:color w:val="auto"/>
              </w:rPr>
              <w:t>：无资料</w:t>
            </w:r>
            <w:r>
              <w:rPr>
                <w:rFonts w:ascii="Times New Roman" w:hAnsi="Times New Roman" w:cs="Times New Roman"/>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8" w:hRule="atLeast"/>
        </w:trPr>
        <w:tc>
          <w:tcPr>
            <w:tcW w:w="1095" w:type="dxa"/>
            <w:vAlign w:val="center"/>
          </w:tcPr>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燃烧</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爆炸</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危险</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性</w:t>
            </w:r>
          </w:p>
        </w:tc>
        <w:tc>
          <w:tcPr>
            <w:tcW w:w="7835" w:type="dxa"/>
            <w:gridSpan w:val="5"/>
          </w:tcPr>
          <w:p>
            <w:pPr>
              <w:spacing w:line="280" w:lineRule="exact"/>
              <w:rPr>
                <w:rFonts w:ascii="Times New Roman" w:hAnsi="Times New Roman" w:cs="Times New Roman"/>
                <w:color w:val="auto"/>
              </w:rPr>
            </w:pPr>
            <w:r>
              <w:rPr>
                <w:rFonts w:hint="eastAsia" w:ascii="Times New Roman" w:hAnsi="Times New Roman" w:cs="宋体"/>
                <w:color w:val="auto"/>
              </w:rPr>
              <w:t>燃烧性：易燃</w:t>
            </w:r>
            <w:r>
              <w:rPr>
                <w:rFonts w:ascii="Times New Roman" w:hAnsi="Times New Roman" w:cs="Times New Roman"/>
                <w:color w:val="auto"/>
              </w:rPr>
              <w:t xml:space="preserve">     </w:t>
            </w:r>
            <w:r>
              <w:rPr>
                <w:rFonts w:hint="eastAsia" w:ascii="Times New Roman" w:hAnsi="Times New Roman" w:cs="宋体"/>
                <w:color w:val="auto"/>
              </w:rPr>
              <w:t>建规火险等级：丙</w:t>
            </w:r>
            <w:r>
              <w:rPr>
                <w:rFonts w:ascii="Times New Roman" w:hAnsi="Times New Roman" w:cs="Times New Roman"/>
                <w:color w:val="auto"/>
              </w:rPr>
              <w:t>A</w:t>
            </w:r>
            <w:r>
              <w:rPr>
                <w:rFonts w:hint="eastAsia" w:ascii="Times New Roman" w:hAnsi="Times New Roman" w:cs="宋体"/>
                <w:color w:val="auto"/>
              </w:rPr>
              <w:t>类</w:t>
            </w:r>
          </w:p>
          <w:p>
            <w:pPr>
              <w:spacing w:line="280" w:lineRule="exact"/>
              <w:rPr>
                <w:rFonts w:ascii="Times New Roman" w:hAnsi="Times New Roman" w:cs="Times New Roman"/>
                <w:color w:val="auto"/>
              </w:rPr>
            </w:pPr>
            <w:r>
              <w:rPr>
                <w:rFonts w:hint="eastAsia" w:ascii="Times New Roman" w:hAnsi="Times New Roman" w:cs="宋体"/>
                <w:color w:val="auto"/>
              </w:rPr>
              <w:t>闪点：≥</w:t>
            </w:r>
            <w:r>
              <w:rPr>
                <w:rFonts w:ascii="Times New Roman" w:hAnsi="Times New Roman" w:cs="Times New Roman"/>
                <w:color w:val="auto"/>
              </w:rPr>
              <w:t>60</w:t>
            </w:r>
            <w:r>
              <w:rPr>
                <w:rFonts w:hint="eastAsia" w:ascii="宋体" w:hAnsi="宋体" w:cs="宋体"/>
                <w:color w:val="auto"/>
              </w:rPr>
              <w:t>℃</w:t>
            </w:r>
            <w:r>
              <w:rPr>
                <w:rFonts w:ascii="Times New Roman" w:hAnsi="Times New Roman" w:cs="Times New Roman"/>
                <w:color w:val="auto"/>
              </w:rPr>
              <w:t xml:space="preserve">      </w:t>
            </w:r>
            <w:r>
              <w:rPr>
                <w:rFonts w:hint="eastAsia" w:ascii="Times New Roman" w:hAnsi="Times New Roman" w:cs="宋体"/>
                <w:color w:val="auto"/>
              </w:rPr>
              <w:t>爆炸下限（</w:t>
            </w:r>
            <w:r>
              <w:rPr>
                <w:rFonts w:ascii="Times New Roman" w:hAnsi="Times New Roman" w:cs="Times New Roman"/>
                <w:color w:val="auto"/>
              </w:rPr>
              <w:t>V%</w:t>
            </w:r>
            <w:r>
              <w:rPr>
                <w:rFonts w:hint="eastAsia" w:ascii="Times New Roman" w:hAnsi="Times New Roman" w:cs="宋体"/>
                <w:color w:val="auto"/>
              </w:rPr>
              <w:t>）：无资料</w:t>
            </w:r>
            <w:r>
              <w:rPr>
                <w:rFonts w:ascii="Times New Roman" w:hAnsi="Times New Roman" w:cs="Times New Roman"/>
                <w:color w:val="auto"/>
              </w:rPr>
              <w:t xml:space="preserve">      </w:t>
            </w:r>
            <w:r>
              <w:rPr>
                <w:rFonts w:hint="eastAsia" w:ascii="Times New Roman" w:hAnsi="Times New Roman" w:cs="宋体"/>
                <w:color w:val="auto"/>
              </w:rPr>
              <w:t>自燃温度：</w:t>
            </w:r>
            <w:r>
              <w:rPr>
                <w:rFonts w:ascii="Times New Roman" w:hAnsi="Times New Roman" w:cs="Times New Roman"/>
                <w:color w:val="auto"/>
              </w:rPr>
              <w:t>257</w:t>
            </w:r>
            <w:r>
              <w:rPr>
                <w:rFonts w:hint="eastAsia" w:ascii="宋体" w:hAnsi="宋体" w:cs="宋体"/>
                <w:color w:val="auto"/>
              </w:rPr>
              <w:t>℃</w:t>
            </w:r>
          </w:p>
          <w:p>
            <w:pPr>
              <w:spacing w:line="280" w:lineRule="exact"/>
              <w:rPr>
                <w:rFonts w:ascii="Times New Roman" w:hAnsi="Times New Roman" w:cs="Times New Roman"/>
                <w:color w:val="auto"/>
              </w:rPr>
            </w:pPr>
            <w:r>
              <w:rPr>
                <w:rFonts w:hint="eastAsia" w:ascii="Times New Roman" w:hAnsi="Times New Roman" w:cs="宋体"/>
                <w:color w:val="auto"/>
              </w:rPr>
              <w:t>危险特性：遇明火、高热或与氧化剂接触，有引起燃烧爆炸的危险。若遇高热，容器内压增大，有开裂和爆炸的危险。</w:t>
            </w:r>
          </w:p>
          <w:p>
            <w:pPr>
              <w:spacing w:line="280" w:lineRule="exact"/>
              <w:rPr>
                <w:rFonts w:ascii="Times New Roman" w:hAnsi="Times New Roman" w:cs="Times New Roman"/>
                <w:color w:val="auto"/>
              </w:rPr>
            </w:pPr>
            <w:r>
              <w:rPr>
                <w:rFonts w:hint="eastAsia" w:ascii="Times New Roman" w:hAnsi="Times New Roman" w:cs="宋体"/>
                <w:color w:val="auto"/>
              </w:rPr>
              <w:t>稳定性：稳定</w:t>
            </w:r>
            <w:r>
              <w:rPr>
                <w:rFonts w:ascii="Times New Roman" w:hAnsi="Times New Roman" w:cs="Times New Roman"/>
                <w:color w:val="auto"/>
              </w:rPr>
              <w:t xml:space="preserve">            </w:t>
            </w:r>
            <w:r>
              <w:rPr>
                <w:rFonts w:hint="eastAsia" w:ascii="Times New Roman" w:hAnsi="Times New Roman" w:cs="宋体"/>
                <w:color w:val="auto"/>
              </w:rPr>
              <w:t>聚合危害：无</w:t>
            </w:r>
          </w:p>
          <w:p>
            <w:pPr>
              <w:spacing w:line="280" w:lineRule="exact"/>
              <w:rPr>
                <w:rFonts w:ascii="Times New Roman" w:hAnsi="Times New Roman" w:cs="Times New Roman"/>
                <w:color w:val="auto"/>
              </w:rPr>
            </w:pPr>
            <w:r>
              <w:rPr>
                <w:rFonts w:hint="eastAsia" w:ascii="Times New Roman" w:hAnsi="Times New Roman" w:cs="宋体"/>
                <w:color w:val="auto"/>
              </w:rPr>
              <w:t>禁忌物：强氧化剂、卤素。</w:t>
            </w:r>
            <w:r>
              <w:rPr>
                <w:rFonts w:ascii="Times New Roman" w:hAnsi="Times New Roman" w:cs="Times New Roman"/>
                <w:color w:val="auto"/>
              </w:rPr>
              <w:t xml:space="preserve">       </w:t>
            </w:r>
            <w:r>
              <w:rPr>
                <w:rFonts w:hint="eastAsia" w:ascii="Times New Roman" w:hAnsi="Times New Roman" w:cs="宋体"/>
                <w:color w:val="auto"/>
              </w:rPr>
              <w:t>灭火方法：泡沫、二氧化碳、干粉、砂土。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95" w:type="dxa"/>
            <w:vAlign w:val="center"/>
          </w:tcPr>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毒性</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及</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健康</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危害</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性</w:t>
            </w:r>
          </w:p>
        </w:tc>
        <w:tc>
          <w:tcPr>
            <w:tcW w:w="7835" w:type="dxa"/>
            <w:gridSpan w:val="5"/>
            <w:vAlign w:val="center"/>
          </w:tcPr>
          <w:p>
            <w:pPr>
              <w:spacing w:line="280" w:lineRule="exact"/>
              <w:rPr>
                <w:rFonts w:ascii="Times New Roman" w:hAnsi="Times New Roman" w:cs="Times New Roman"/>
                <w:color w:val="auto"/>
              </w:rPr>
            </w:pPr>
            <w:r>
              <w:rPr>
                <w:rFonts w:hint="eastAsia" w:ascii="Times New Roman" w:hAnsi="Times New Roman" w:cs="宋体"/>
                <w:color w:val="auto"/>
              </w:rPr>
              <w:t>接触限值：中国</w:t>
            </w:r>
            <w:r>
              <w:rPr>
                <w:rFonts w:ascii="Times New Roman" w:hAnsi="Times New Roman" w:cs="Times New Roman"/>
                <w:color w:val="auto"/>
              </w:rPr>
              <w:t>MAC</w:t>
            </w:r>
            <w:r>
              <w:rPr>
                <w:rFonts w:hint="eastAsia" w:ascii="Times New Roman" w:hAnsi="Times New Roman" w:cs="宋体"/>
                <w:color w:val="auto"/>
              </w:rPr>
              <w:t>：未制定标准。</w:t>
            </w:r>
            <w:r>
              <w:rPr>
                <w:rFonts w:ascii="Times New Roman" w:hAnsi="Times New Roman" w:cs="Times New Roman"/>
                <w:color w:val="auto"/>
              </w:rPr>
              <w:t xml:space="preserve">    </w:t>
            </w:r>
          </w:p>
          <w:p>
            <w:pPr>
              <w:spacing w:line="280" w:lineRule="exact"/>
              <w:rPr>
                <w:rFonts w:ascii="Times New Roman" w:hAnsi="Times New Roman" w:cs="Times New Roman"/>
                <w:color w:val="auto"/>
              </w:rPr>
            </w:pPr>
            <w:r>
              <w:rPr>
                <w:rFonts w:hint="eastAsia" w:ascii="Times New Roman" w:hAnsi="Times New Roman" w:cs="宋体"/>
                <w:color w:val="auto"/>
              </w:rPr>
              <w:t>侵入途径：吸入，食入，经皮吸收。</w:t>
            </w:r>
          </w:p>
          <w:p>
            <w:pPr>
              <w:rPr>
                <w:rFonts w:ascii="Times New Roman" w:hAnsi="Times New Roman" w:cs="Times New Roman"/>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1095" w:type="dxa"/>
            <w:vAlign w:val="center"/>
          </w:tcPr>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急救</w:t>
            </w:r>
          </w:p>
        </w:tc>
        <w:tc>
          <w:tcPr>
            <w:tcW w:w="7835" w:type="dxa"/>
            <w:gridSpan w:val="5"/>
            <w:vAlign w:val="center"/>
          </w:tcPr>
          <w:p>
            <w:pPr>
              <w:rPr>
                <w:rFonts w:ascii="Times New Roman" w:hAnsi="Times New Roman" w:cs="Times New Roman"/>
                <w:color w:val="auto"/>
              </w:rPr>
            </w:pPr>
            <w:r>
              <w:rPr>
                <w:rFonts w:hint="eastAsia" w:ascii="Times New Roman" w:hAnsi="Times New Roman" w:cs="宋体"/>
                <w:color w:val="auto"/>
              </w:rPr>
              <w:t>吸入：迅速脱离污染区，就医。防治吸入性肺炎。</w:t>
            </w:r>
          </w:p>
          <w:p>
            <w:pPr>
              <w:rPr>
                <w:rFonts w:ascii="Times New Roman" w:hAnsi="Times New Roman" w:cs="Times New Roman"/>
                <w:color w:val="auto"/>
              </w:rPr>
            </w:pPr>
            <w:r>
              <w:rPr>
                <w:rFonts w:hint="eastAsia" w:ascii="Times New Roman" w:hAnsi="Times New Roman" w:cs="宋体"/>
                <w:color w:val="auto"/>
              </w:rPr>
              <w:t>食入：误服者饮牛奶或植物油，洗胃或灌肠，就医。</w:t>
            </w:r>
            <w:r>
              <w:rPr>
                <w:rFonts w:ascii="Times New Roman" w:hAnsi="Times New Roman" w:cs="Times New Roman"/>
                <w:color w:val="auto"/>
              </w:rPr>
              <w:tab/>
            </w:r>
            <w:r>
              <w:rPr>
                <w:rFonts w:ascii="Times New Roman" w:hAnsi="Times New Roman" w:cs="Times New Roman"/>
                <w:color w:val="auto"/>
              </w:rPr>
              <w:tab/>
            </w:r>
          </w:p>
          <w:p>
            <w:pPr>
              <w:rPr>
                <w:rFonts w:ascii="Times New Roman" w:hAnsi="Times New Roman" w:cs="Times New Roman"/>
                <w:color w:val="auto"/>
              </w:rPr>
            </w:pPr>
            <w:r>
              <w:rPr>
                <w:rFonts w:hint="eastAsia" w:ascii="Times New Roman" w:hAnsi="Times New Roman" w:cs="宋体"/>
                <w:color w:val="auto"/>
              </w:rPr>
              <w:t>眼睛接触：立即提起眼睑，用流动清水或生理盐水冲洗至少</w:t>
            </w:r>
            <w:r>
              <w:rPr>
                <w:rFonts w:ascii="Times New Roman" w:hAnsi="Times New Roman" w:cs="Times New Roman"/>
                <w:color w:val="auto"/>
              </w:rPr>
              <w:t>15</w:t>
            </w:r>
            <w:r>
              <w:rPr>
                <w:rFonts w:hint="eastAsia" w:ascii="Times New Roman" w:hAnsi="Times New Roman" w:cs="宋体"/>
                <w:color w:val="auto"/>
              </w:rPr>
              <w:t>分钟，就医。</w:t>
            </w:r>
          </w:p>
          <w:p>
            <w:pPr>
              <w:rPr>
                <w:rFonts w:ascii="Times New Roman" w:hAnsi="Times New Roman" w:cs="Times New Roman"/>
                <w:color w:val="auto"/>
              </w:rPr>
            </w:pPr>
            <w:r>
              <w:rPr>
                <w:rFonts w:hint="eastAsia" w:ascii="Times New Roman" w:hAnsi="Times New Roman" w:cs="宋体"/>
                <w:color w:val="auto"/>
              </w:rPr>
              <w:t>皮肤接触：脱去污染的衣着，用肥皂和大量清水清洗污染皮肤。</w:t>
            </w:r>
            <w:r>
              <w:rPr>
                <w:rFonts w:ascii="Times New Roman" w:hAnsi="Times New Roman" w:cs="Times New Roman"/>
                <w:color w:val="auto"/>
              </w:rPr>
              <w:tab/>
            </w:r>
          </w:p>
          <w:p>
            <w:pPr>
              <w:rPr>
                <w:rFonts w:ascii="Times New Roman" w:hAnsi="Times New Roman" w:cs="Times New Roman"/>
                <w:color w:val="auto"/>
              </w:rPr>
            </w:pPr>
            <w:r>
              <w:rPr>
                <w:rFonts w:hint="eastAsia" w:ascii="Times New Roman" w:hAnsi="Times New Roman" w:cs="宋体"/>
                <w:color w:val="auto"/>
              </w:rPr>
              <w:t>生产过程密闭，注意通风。高浓度接触时，戴防毒面具，工作场所禁止吸烟必要时戴防护眼镜，穿相应的工作服，戴防护手套。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trPr>
        <w:tc>
          <w:tcPr>
            <w:tcW w:w="1095" w:type="dxa"/>
            <w:vAlign w:val="center"/>
          </w:tcPr>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泄漏</w:t>
            </w:r>
          </w:p>
          <w:p>
            <w:pPr>
              <w:spacing w:line="280" w:lineRule="exact"/>
              <w:jc w:val="center"/>
              <w:rPr>
                <w:rFonts w:ascii="Times New Roman" w:hAnsi="Times New Roman" w:cs="Times New Roman"/>
                <w:b/>
                <w:bCs/>
                <w:color w:val="auto"/>
              </w:rPr>
            </w:pPr>
            <w:r>
              <w:rPr>
                <w:rFonts w:hint="eastAsia" w:ascii="Times New Roman" w:hAnsi="Times New Roman" w:cs="宋体"/>
                <w:b/>
                <w:bCs/>
                <w:color w:val="auto"/>
              </w:rPr>
              <w:t>处置</w:t>
            </w:r>
          </w:p>
        </w:tc>
        <w:tc>
          <w:tcPr>
            <w:tcW w:w="7835" w:type="dxa"/>
            <w:gridSpan w:val="5"/>
            <w:vAlign w:val="center"/>
          </w:tcPr>
          <w:p>
            <w:pPr>
              <w:ind w:firstLine="420" w:firstLineChars="200"/>
              <w:rPr>
                <w:rFonts w:ascii="Times New Roman" w:hAnsi="Times New Roman" w:cs="Times New Roman"/>
                <w:color w:val="auto"/>
              </w:rPr>
            </w:pPr>
            <w:r>
              <w:rPr>
                <w:rFonts w:hint="eastAsia" w:ascii="Times New Roman" w:hAnsi="Times New Roman" w:cs="宋体"/>
                <w:color w:val="auto"/>
              </w:rPr>
              <w:t>切断一切火源，迅速撤离污染区人员至上风处。使用防毒面具，穿防静电工作服。在确保安全的前提下堵漏。用砂土或其它不燃性吸附剂混合吸收，然后收集至废物处理。</w:t>
            </w:r>
          </w:p>
        </w:tc>
      </w:tr>
    </w:tbl>
    <w:p>
      <w:pPr>
        <w:spacing w:line="600" w:lineRule="exact"/>
        <w:ind w:firstLine="560" w:firstLineChars="200"/>
        <w:rPr>
          <w:rFonts w:hint="eastAsia" w:ascii="Times New Roman" w:hAnsi="Times New Roman" w:cs="宋体"/>
          <w:color w:val="auto"/>
          <w:kern w:val="0"/>
          <w:sz w:val="28"/>
          <w:szCs w:val="28"/>
          <w:lang w:eastAsia="zh-CN"/>
        </w:rPr>
      </w:pPr>
      <w:bookmarkStart w:id="47" w:name="_Toc10889"/>
      <w:bookmarkStart w:id="48" w:name="_Toc15326"/>
      <w:bookmarkStart w:id="49" w:name="_Toc343692252"/>
      <w:bookmarkStart w:id="50" w:name="_Toc17924"/>
      <w:r>
        <w:rPr>
          <w:rFonts w:hint="eastAsia" w:ascii="Times New Roman" w:hAnsi="Times New Roman" w:cs="宋体"/>
          <w:color w:val="auto"/>
          <w:kern w:val="0"/>
          <w:sz w:val="28"/>
          <w:szCs w:val="28"/>
          <w:lang w:eastAsia="zh-CN"/>
        </w:rPr>
        <w:t>该站涉及的非危险化学品尿素，危险特性见下表所示。</w:t>
      </w:r>
    </w:p>
    <w:p>
      <w:pPr>
        <w:pStyle w:val="37"/>
        <w:spacing w:line="600" w:lineRule="exact"/>
        <w:jc w:val="center"/>
        <w:rPr>
          <w:rFonts w:hint="eastAsia" w:cs="宋体"/>
          <w:b/>
          <w:bCs/>
          <w:color w:val="auto"/>
          <w:kern w:val="0"/>
          <w:sz w:val="24"/>
          <w:szCs w:val="24"/>
          <w:lang w:eastAsia="zh-CN"/>
        </w:rPr>
      </w:pPr>
      <w:r>
        <w:rPr>
          <w:rFonts w:hint="eastAsia" w:cs="宋体"/>
          <w:b/>
          <w:bCs/>
          <w:color w:val="auto"/>
          <w:kern w:val="0"/>
          <w:sz w:val="24"/>
          <w:szCs w:val="24"/>
          <w:lang w:eastAsia="zh-CN"/>
        </w:rPr>
        <w:t>表3-4  尿素理化性质一览表</w:t>
      </w:r>
    </w:p>
    <w:tbl>
      <w:tblPr>
        <w:tblStyle w:val="20"/>
        <w:tblW w:w="512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Layout w:type="autofit"/>
        <w:tblCellMar>
          <w:top w:w="30" w:type="dxa"/>
          <w:left w:w="30" w:type="dxa"/>
          <w:bottom w:w="30" w:type="dxa"/>
          <w:right w:w="30" w:type="dxa"/>
        </w:tblCellMar>
      </w:tblPr>
      <w:tblGrid>
        <w:gridCol w:w="14"/>
        <w:gridCol w:w="1847"/>
        <w:gridCol w:w="7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45" w:type="dxa"/>
            <w:gridSpan w:val="2"/>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CAS：</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57-13-6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30" w:type="dxa"/>
            <w:left w:w="30" w:type="dxa"/>
            <w:bottom w:w="30" w:type="dxa"/>
            <w:right w:w="30" w:type="dxa"/>
          </w:tblCellMar>
        </w:tblPrEx>
        <w:tc>
          <w:tcPr>
            <w:tcW w:w="1845" w:type="dxa"/>
            <w:gridSpan w:val="2"/>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名称：</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kern w:val="0"/>
                <w:sz w:val="21"/>
                <w:szCs w:val="21"/>
                <w:lang w:val="en-US" w:eastAsia="zh-CN" w:bidi="ar"/>
              </w:rPr>
            </w:pPr>
            <w:r>
              <w:rPr>
                <w:rFonts w:hint="default" w:ascii="Times New Roman" w:hAnsi="Times New Roman" w:eastAsia="宋体" w:cs="Times New Roman"/>
                <w:i w:val="0"/>
                <w:iCs w:val="0"/>
                <w:caps w:val="0"/>
                <w:color w:val="auto"/>
                <w:spacing w:val="0"/>
                <w:kern w:val="0"/>
                <w:sz w:val="21"/>
                <w:szCs w:val="21"/>
                <w:lang w:val="en-US" w:eastAsia="zh-CN" w:bidi="ar"/>
              </w:rPr>
              <w:t>尿素</w:t>
            </w:r>
          </w:p>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kern w:val="0"/>
                <w:sz w:val="21"/>
                <w:szCs w:val="21"/>
                <w:lang w:val="en-US" w:eastAsia="zh-CN" w:bidi="ar"/>
              </w:rPr>
            </w:pPr>
            <w:r>
              <w:rPr>
                <w:rFonts w:hint="default" w:ascii="Times New Roman" w:hAnsi="Times New Roman" w:eastAsia="宋体" w:cs="Times New Roman"/>
                <w:i w:val="0"/>
                <w:iCs w:val="0"/>
                <w:caps w:val="0"/>
                <w:color w:val="auto"/>
                <w:spacing w:val="0"/>
                <w:kern w:val="0"/>
                <w:sz w:val="21"/>
                <w:szCs w:val="21"/>
                <w:lang w:val="en-US" w:eastAsia="zh-CN" w:bidi="ar"/>
              </w:rPr>
              <w:t>脲</w:t>
            </w:r>
          </w:p>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kern w:val="0"/>
                <w:sz w:val="21"/>
                <w:szCs w:val="21"/>
                <w:lang w:val="en-US" w:eastAsia="zh-CN" w:bidi="ar"/>
              </w:rPr>
            </w:pPr>
            <w:r>
              <w:rPr>
                <w:rFonts w:hint="default" w:ascii="Times New Roman" w:hAnsi="Times New Roman" w:eastAsia="宋体" w:cs="Times New Roman"/>
                <w:i w:val="0"/>
                <w:iCs w:val="0"/>
                <w:caps w:val="0"/>
                <w:color w:val="auto"/>
                <w:spacing w:val="0"/>
                <w:kern w:val="0"/>
                <w:sz w:val="21"/>
                <w:szCs w:val="21"/>
                <w:lang w:val="en-US" w:eastAsia="zh-CN" w:bidi="ar"/>
              </w:rPr>
              <w:t>carbamide</w:t>
            </w:r>
          </w:p>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urea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分子式：</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CH4N2O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分子量：</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60.06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有害物成分：</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健康危害：</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本品属微毒类。对眼睛、皮肤和粘膜有刺激作用。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环境危害：</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对环境可能有危害，对水体可造成污染。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燃爆危险：</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本品不燃，具刺激性。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皮肤接触：</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脱去污染的衣着，用大量流动清水冲洗。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眼睛接触：</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提起眼睑，用流动清水或生理盐水冲洗。就医。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吸入：</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迅速脱离现场至空气新鲜处。保持呼吸道通畅。如呼吸困难，给输氧。如呼吸停止，立即进行人工呼吸。就医。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食入：</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饮足量温水，催吐。就医。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危险特性：</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遇明火、高热可燃。与次氯酸钠、次氯酸钙反应生成有爆炸性的三氯化氮。受高热分解放出有毒的气体。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有害燃烧产物：</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一氧化碳、二氧化碳、氮氧化物。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灭火方法：</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消防人员必须穿全身防火防毒服，在上风向灭火。灭火时尽可能将容器从火场移至空旷处。然后根据着火原因选择适当灭火剂灭火。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应急处理：</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隔离泄漏污染区，限制出入。建议应急处理人员戴防尘口罩，穿一般作业工作服。不要直接接触泄漏物。小量泄漏：小心扫起，置于袋中转移至安全场所。大量泄漏：收集回收或运至废物处理场所处置。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操作注意事项：</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密闭操作，提供充分的局部排风。防止粉尘释放到车间空气中。操作人员必须经过专门培训，严格遵守操作规程。建议操作人员佩戴防尘面具（全面罩），穿防毒物渗透工作服，戴橡胶手套。避免产生粉尘。避免与氧化剂、酸类、亚硝酸钠、干粉接触。配备泄漏应急处理设备。倒空的容器可能残留有害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储存注意事项：</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1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储存于阴凉、通风的库房。远离火种、热源。防止阳光直射。包装密封。应与氧化剂、酸类、亚硝酸钠、干粉分开存放，切忌混储。储区应备有合适的材料收容泄漏物。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前苏联MAC(mg/m3)：</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工程控制：</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严加密闭，提供充分的局部排风。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呼吸系统防护：</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可能接触其粉尘时，必须佩戴防尘面具（全面罩）。紧急事态抢救或撤离时，应该佩戴空气呼吸器。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眼睛防护：</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呼吸系统防护中已作防护。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身体防护：</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穿防毒物渗透工作服。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手防护：</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戴橡胶手套。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其他防护：</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工作现场禁止吸烟、进食和饮水。工作完毕，淋浴更衣。保持良好的卫生习惯。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外观与性状：</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白色结晶或粉末，有氨的气味。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熔点(℃)：</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132.7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沸点(℃)：</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相对密度(水=1)：</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1.335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燃烧热(kJ/mol)：</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无意义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闪点(℃)：</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无意义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引燃温度(℃)：</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无意义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爆炸上限%(V/V)：</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无意义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爆炸下限%(V/V)：</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无意义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溶解性：</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溶于水、甲醇、乙醇，微溶于乙醚、氯仿、苯。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主要用途：</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用作肥料、动物饲料、炸药、稳定剂和制脲醛树脂的原料等。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禁配物：</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强氧化剂、强酸、亚硝酸钠、干粉。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急性毒性：</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LD50：14300 mg/kg(大鼠经口) LC50：无资料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刺激性：</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人经皮：22mg/3天，轻度刺激。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DDEE"/>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其它有害作用：</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该物质对环境可能有危害，应特别注意对水体的污染。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废弃处置方法：</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用安全掩埋法处置。在能利用的地方重复使用容器或在规定场所掩埋。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包装方法：</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无资料。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4" w:type="dxa"/>
        </w:trPr>
        <w:tc>
          <w:tcPr>
            <w:tcW w:w="1831" w:type="dxa"/>
            <w:tcBorders>
              <w:tl2br w:val="nil"/>
              <w:tr2bl w:val="nil"/>
            </w:tcBorders>
            <w:shd w:val="clear" w:color="auto" w:fill="FFFFFF"/>
            <w:tcMar>
              <w:top w:w="75" w:type="dxa"/>
              <w:left w:w="0" w:type="dxa"/>
              <w:bottom w:w="75"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运输注意事项：</w:t>
            </w:r>
          </w:p>
        </w:tc>
        <w:tc>
          <w:tcPr>
            <w:tcW w:w="7453" w:type="dxa"/>
            <w:tcBorders>
              <w:tl2br w:val="nil"/>
              <w:tr2bl w:val="nil"/>
            </w:tcBorders>
            <w:shd w:val="clear" w:color="auto" w:fill="FFFFFF"/>
            <w:tcMar>
              <w:top w:w="75" w:type="dxa"/>
              <w:left w:w="150" w:type="dxa"/>
              <w:bottom w:w="75" w:type="dxa"/>
              <w:right w:w="7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00" w:lineRule="exact"/>
              <w:jc w:val="left"/>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kern w:val="0"/>
                <w:sz w:val="21"/>
                <w:szCs w:val="21"/>
                <w:lang w:val="en-US" w:eastAsia="zh-CN" w:bidi="ar"/>
              </w:rPr>
              <w:t>起运时包装要完整，装载应稳妥。运输过程中要确保容器不泄漏、不倒塌、不坠落、不损坏。严禁与氧化剂、酸类、氧化剂、食用化学品等混装混运。运输途中应防曝晒、雨淋，防高温。车辆运输完毕应进行彻底清扫。公路运输时要按规定路线行驶。</w:t>
            </w:r>
          </w:p>
        </w:tc>
      </w:tr>
    </w:tbl>
    <w:p>
      <w:pPr>
        <w:pStyle w:val="37"/>
        <w:spacing w:line="600" w:lineRule="exact"/>
        <w:ind w:firstLine="560" w:firstLineChars="200"/>
        <w:rPr>
          <w:rFonts w:hint="eastAsia" w:cs="宋体"/>
          <w:color w:val="auto"/>
          <w:kern w:val="0"/>
          <w:sz w:val="28"/>
          <w:szCs w:val="28"/>
          <w:lang w:eastAsia="zh-CN"/>
        </w:rPr>
      </w:pPr>
    </w:p>
    <w:p>
      <w:pPr>
        <w:pStyle w:val="4"/>
        <w:rPr>
          <w:color w:val="auto"/>
        </w:rPr>
      </w:pPr>
      <w:bookmarkStart w:id="51" w:name="_Toc1718"/>
      <w:r>
        <w:rPr>
          <w:color w:val="auto"/>
        </w:rPr>
        <w:t>3.2</w:t>
      </w:r>
      <w:r>
        <w:rPr>
          <w:rFonts w:hint="eastAsia" w:cs="宋体"/>
          <w:color w:val="auto"/>
        </w:rPr>
        <w:t>危险化学品及危险工艺辨识</w:t>
      </w:r>
      <w:bookmarkEnd w:id="47"/>
      <w:bookmarkEnd w:id="48"/>
      <w:bookmarkEnd w:id="51"/>
    </w:p>
    <w:p>
      <w:pPr>
        <w:spacing w:line="600" w:lineRule="exact"/>
        <w:ind w:firstLine="560" w:firstLineChars="200"/>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r>
        <w:rPr>
          <w:rFonts w:hint="eastAsia" w:ascii="Times New Roman" w:hAnsi="Times New Roman" w:cs="宋体"/>
          <w:color w:val="auto"/>
          <w:kern w:val="0"/>
          <w:sz w:val="28"/>
          <w:szCs w:val="28"/>
        </w:rPr>
        <w:t>、剧毒化学品</w:t>
      </w:r>
    </w:p>
    <w:p>
      <w:pPr>
        <w:pStyle w:val="37"/>
        <w:spacing w:line="600" w:lineRule="exact"/>
        <w:ind w:firstLine="560" w:firstLineChars="200"/>
        <w:rPr>
          <w:color w:val="auto"/>
          <w:kern w:val="0"/>
          <w:sz w:val="28"/>
          <w:szCs w:val="28"/>
        </w:rPr>
      </w:pPr>
      <w:r>
        <w:rPr>
          <w:rFonts w:hint="eastAsia" w:cs="宋体"/>
          <w:color w:val="auto"/>
          <w:kern w:val="0"/>
          <w:sz w:val="28"/>
          <w:szCs w:val="28"/>
        </w:rPr>
        <w:t>根据《危险化学品目录》（</w:t>
      </w:r>
      <w:r>
        <w:rPr>
          <w:color w:val="auto"/>
          <w:kern w:val="0"/>
          <w:sz w:val="28"/>
          <w:szCs w:val="28"/>
        </w:rPr>
        <w:t>2015</w:t>
      </w:r>
      <w:r>
        <w:rPr>
          <w:rFonts w:hint="eastAsia" w:cs="宋体"/>
          <w:color w:val="auto"/>
          <w:kern w:val="0"/>
          <w:sz w:val="28"/>
          <w:szCs w:val="28"/>
        </w:rPr>
        <w:t>年版）的规定，本项目不涉及剧毒化学品。</w:t>
      </w:r>
    </w:p>
    <w:p>
      <w:pPr>
        <w:pStyle w:val="37"/>
        <w:spacing w:line="600" w:lineRule="exact"/>
        <w:ind w:firstLine="560" w:firstLineChars="200"/>
        <w:rPr>
          <w:color w:val="auto"/>
          <w:kern w:val="0"/>
          <w:sz w:val="28"/>
          <w:szCs w:val="28"/>
        </w:rPr>
      </w:pPr>
      <w:r>
        <w:rPr>
          <w:color w:val="auto"/>
          <w:sz w:val="28"/>
          <w:szCs w:val="28"/>
        </w:rPr>
        <w:t>2</w:t>
      </w:r>
      <w:r>
        <w:rPr>
          <w:rFonts w:hint="eastAsia" w:cs="宋体"/>
          <w:color w:val="auto"/>
          <w:sz w:val="28"/>
          <w:szCs w:val="28"/>
        </w:rPr>
        <w:t>、高</w:t>
      </w:r>
      <w:r>
        <w:rPr>
          <w:rFonts w:hint="eastAsia" w:cs="宋体"/>
          <w:color w:val="auto"/>
          <w:kern w:val="0"/>
          <w:sz w:val="28"/>
          <w:szCs w:val="28"/>
        </w:rPr>
        <w:t>毒</w:t>
      </w:r>
      <w:r>
        <w:rPr>
          <w:rFonts w:hint="eastAsia" w:cs="宋体"/>
          <w:color w:val="auto"/>
          <w:sz w:val="28"/>
          <w:szCs w:val="28"/>
        </w:rPr>
        <w:t>物品</w:t>
      </w:r>
    </w:p>
    <w:p>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宋体"/>
          <w:color w:val="auto"/>
          <w:kern w:val="0"/>
          <w:sz w:val="28"/>
          <w:szCs w:val="28"/>
        </w:rPr>
        <w:t>根据《高毒物品目录》（卫法监发</w:t>
      </w:r>
      <w:r>
        <w:rPr>
          <w:rFonts w:ascii="Times New Roman" w:hAnsi="Times New Roman" w:cs="Times New Roman"/>
          <w:color w:val="auto"/>
          <w:kern w:val="0"/>
          <w:sz w:val="28"/>
          <w:szCs w:val="28"/>
        </w:rPr>
        <w:t>[2003]142</w:t>
      </w:r>
      <w:r>
        <w:rPr>
          <w:rFonts w:hint="eastAsia" w:ascii="Times New Roman" w:hAnsi="Times New Roman" w:cs="宋体"/>
          <w:color w:val="auto"/>
          <w:kern w:val="0"/>
          <w:sz w:val="28"/>
          <w:szCs w:val="28"/>
        </w:rPr>
        <w:t>号）判定，本项目不涉及高毒物品。</w:t>
      </w:r>
      <w:r>
        <w:rPr>
          <w:rFonts w:ascii="Times New Roman" w:hAnsi="Times New Roman" w:cs="Times New Roman"/>
          <w:color w:val="auto"/>
          <w:kern w:val="0"/>
          <w:sz w:val="28"/>
          <w:szCs w:val="28"/>
        </w:rPr>
        <w:t xml:space="preserve">  </w:t>
      </w:r>
    </w:p>
    <w:p>
      <w:pPr>
        <w:spacing w:line="600" w:lineRule="exact"/>
        <w:ind w:firstLine="560" w:firstLineChars="200"/>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r>
        <w:rPr>
          <w:rFonts w:hint="eastAsia" w:ascii="Times New Roman" w:hAnsi="Times New Roman" w:cs="宋体"/>
          <w:color w:val="auto"/>
          <w:kern w:val="0"/>
          <w:sz w:val="28"/>
          <w:szCs w:val="28"/>
        </w:rPr>
        <w:t>、易制毒化学品辨识</w:t>
      </w:r>
    </w:p>
    <w:p>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宋体"/>
          <w:color w:val="auto"/>
          <w:kern w:val="0"/>
          <w:sz w:val="28"/>
          <w:szCs w:val="28"/>
        </w:rPr>
        <w:t>根据《易制毒化学品管理条例》的规定，本项目不涉及易制毒化学品。</w:t>
      </w:r>
    </w:p>
    <w:p>
      <w:pPr>
        <w:tabs>
          <w:tab w:val="left" w:pos="6845"/>
        </w:tabs>
        <w:spacing w:line="600" w:lineRule="exact"/>
        <w:ind w:firstLine="560" w:firstLineChars="200"/>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r>
        <w:rPr>
          <w:rFonts w:hint="eastAsia" w:ascii="Times New Roman" w:hAnsi="Times New Roman" w:cs="宋体"/>
          <w:color w:val="auto"/>
          <w:kern w:val="0"/>
          <w:sz w:val="28"/>
          <w:szCs w:val="28"/>
        </w:rPr>
        <w:t>、易制爆危险化学品辨识</w:t>
      </w:r>
    </w:p>
    <w:p>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宋体"/>
          <w:color w:val="auto"/>
          <w:kern w:val="0"/>
          <w:sz w:val="28"/>
          <w:szCs w:val="28"/>
        </w:rPr>
        <w:t>根据《易制爆危险化学品名录》（</w:t>
      </w:r>
      <w:r>
        <w:rPr>
          <w:rFonts w:ascii="Times New Roman" w:hAnsi="Times New Roman" w:cs="Times New Roman"/>
          <w:color w:val="auto"/>
          <w:kern w:val="0"/>
          <w:sz w:val="28"/>
          <w:szCs w:val="28"/>
        </w:rPr>
        <w:t>2017</w:t>
      </w:r>
      <w:r>
        <w:rPr>
          <w:rFonts w:hint="eastAsia" w:ascii="Times New Roman" w:hAnsi="Times New Roman" w:cs="宋体"/>
          <w:color w:val="auto"/>
          <w:kern w:val="0"/>
          <w:sz w:val="28"/>
          <w:szCs w:val="28"/>
        </w:rPr>
        <w:t>年版）的规定，本项目不涉及易制爆危险化学品。</w:t>
      </w:r>
    </w:p>
    <w:p>
      <w:pPr>
        <w:tabs>
          <w:tab w:val="left" w:pos="6845"/>
        </w:tabs>
        <w:spacing w:line="600" w:lineRule="exact"/>
        <w:ind w:firstLine="560" w:firstLineChars="200"/>
        <w:rPr>
          <w:rFonts w:ascii="Times New Roman" w:hAnsi="Times New Roman" w:cs="Times New Roman"/>
          <w:color w:val="auto"/>
          <w:kern w:val="0"/>
          <w:sz w:val="28"/>
          <w:szCs w:val="28"/>
        </w:rPr>
      </w:pPr>
      <w:r>
        <w:rPr>
          <w:rFonts w:ascii="Times New Roman" w:hAnsi="Times New Roman" w:cs="Times New Roman"/>
          <w:color w:val="auto"/>
          <w:kern w:val="0"/>
          <w:sz w:val="28"/>
          <w:szCs w:val="28"/>
        </w:rPr>
        <w:t>5</w:t>
      </w:r>
      <w:r>
        <w:rPr>
          <w:rFonts w:hint="eastAsia" w:ascii="Times New Roman" w:hAnsi="Times New Roman" w:cs="宋体"/>
          <w:color w:val="auto"/>
          <w:kern w:val="0"/>
          <w:sz w:val="28"/>
          <w:szCs w:val="28"/>
        </w:rPr>
        <w:t>、监控化学品辨识</w:t>
      </w:r>
    </w:p>
    <w:p>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宋体"/>
          <w:color w:val="auto"/>
          <w:kern w:val="0"/>
          <w:sz w:val="28"/>
          <w:szCs w:val="28"/>
        </w:rPr>
        <w:t>根据</w:t>
      </w:r>
      <w:r>
        <w:rPr>
          <w:rFonts w:hint="eastAsia" w:ascii="Times New Roman" w:hAnsi="Times New Roman" w:cs="宋体"/>
          <w:color w:val="auto"/>
          <w:sz w:val="28"/>
          <w:szCs w:val="28"/>
        </w:rPr>
        <w:t>《各类监控化学品名录》工信部【</w:t>
      </w:r>
      <w:r>
        <w:rPr>
          <w:rFonts w:ascii="Times New Roman" w:hAnsi="Times New Roman" w:cs="Times New Roman"/>
          <w:color w:val="auto"/>
          <w:sz w:val="28"/>
          <w:szCs w:val="28"/>
        </w:rPr>
        <w:t>2020</w:t>
      </w:r>
      <w:r>
        <w:rPr>
          <w:rFonts w:hint="eastAsia" w:ascii="Times New Roman" w:hAnsi="Times New Roman" w:cs="宋体"/>
          <w:color w:val="auto"/>
          <w:sz w:val="28"/>
          <w:szCs w:val="28"/>
        </w:rPr>
        <w:t>】第</w:t>
      </w:r>
      <w:r>
        <w:rPr>
          <w:rFonts w:ascii="Times New Roman" w:hAnsi="Times New Roman" w:cs="Times New Roman"/>
          <w:color w:val="auto"/>
          <w:sz w:val="28"/>
          <w:szCs w:val="28"/>
        </w:rPr>
        <w:t>52</w:t>
      </w:r>
      <w:r>
        <w:rPr>
          <w:rFonts w:hint="eastAsia" w:ascii="Times New Roman" w:hAnsi="Times New Roman" w:cs="宋体"/>
          <w:color w:val="auto"/>
          <w:sz w:val="28"/>
          <w:szCs w:val="28"/>
        </w:rPr>
        <w:t>号的</w:t>
      </w:r>
      <w:r>
        <w:rPr>
          <w:rFonts w:hint="eastAsia" w:ascii="Times New Roman" w:hAnsi="Times New Roman" w:cs="宋体"/>
          <w:color w:val="auto"/>
          <w:kern w:val="0"/>
          <w:sz w:val="28"/>
          <w:szCs w:val="28"/>
        </w:rPr>
        <w:t>规定，本项目中不涉及监控化学品。</w:t>
      </w:r>
    </w:p>
    <w:p>
      <w:pPr>
        <w:tabs>
          <w:tab w:val="left" w:pos="6845"/>
        </w:tabs>
        <w:spacing w:line="600" w:lineRule="exact"/>
        <w:ind w:firstLine="560" w:firstLineChars="200"/>
        <w:rPr>
          <w:rFonts w:ascii="Times New Roman" w:hAnsi="Times New Roman" w:cs="Times New Roman"/>
          <w:color w:val="auto"/>
          <w:kern w:val="0"/>
          <w:sz w:val="28"/>
          <w:szCs w:val="28"/>
        </w:rPr>
      </w:pPr>
      <w:r>
        <w:rPr>
          <w:rFonts w:ascii="Times New Roman" w:hAnsi="Times New Roman" w:cs="Times New Roman"/>
          <w:color w:val="auto"/>
          <w:kern w:val="0"/>
          <w:sz w:val="28"/>
          <w:szCs w:val="28"/>
        </w:rPr>
        <w:t>6</w:t>
      </w:r>
      <w:r>
        <w:rPr>
          <w:rFonts w:hint="eastAsia" w:ascii="Times New Roman" w:hAnsi="Times New Roman" w:cs="宋体"/>
          <w:color w:val="auto"/>
          <w:kern w:val="0"/>
          <w:sz w:val="28"/>
          <w:szCs w:val="28"/>
        </w:rPr>
        <w:t>、特别管控危险化学品</w:t>
      </w:r>
    </w:p>
    <w:p>
      <w:pPr>
        <w:tabs>
          <w:tab w:val="left" w:pos="6845"/>
        </w:tabs>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宋体"/>
          <w:color w:val="auto"/>
          <w:kern w:val="0"/>
          <w:sz w:val="28"/>
          <w:szCs w:val="28"/>
        </w:rPr>
        <w:t>根据《特别管控危险化学品目录》应急管理部等四部门公告</w:t>
      </w:r>
      <w:r>
        <w:rPr>
          <w:rFonts w:ascii="Times New Roman" w:hAnsi="Times New Roman" w:cs="Times New Roman"/>
          <w:color w:val="auto"/>
          <w:kern w:val="0"/>
          <w:sz w:val="28"/>
          <w:szCs w:val="28"/>
        </w:rPr>
        <w:t>[2020]</w:t>
      </w:r>
      <w:r>
        <w:rPr>
          <w:rFonts w:hint="eastAsia" w:ascii="Times New Roman" w:hAnsi="Times New Roman" w:cs="宋体"/>
          <w:color w:val="auto"/>
          <w:kern w:val="0"/>
          <w:sz w:val="28"/>
          <w:szCs w:val="28"/>
        </w:rPr>
        <w:t>第</w:t>
      </w:r>
      <w:r>
        <w:rPr>
          <w:rFonts w:ascii="Times New Roman" w:hAnsi="Times New Roman" w:cs="Times New Roman"/>
          <w:color w:val="auto"/>
          <w:kern w:val="0"/>
          <w:sz w:val="28"/>
          <w:szCs w:val="28"/>
        </w:rPr>
        <w:t>3</w:t>
      </w:r>
      <w:r>
        <w:rPr>
          <w:rFonts w:hint="eastAsia" w:ascii="Times New Roman" w:hAnsi="Times New Roman" w:cs="宋体"/>
          <w:color w:val="auto"/>
          <w:kern w:val="0"/>
          <w:sz w:val="28"/>
          <w:szCs w:val="28"/>
        </w:rPr>
        <w:t>号的规定，本项目涉及的汽油属于特别管控危险化学品。</w:t>
      </w:r>
    </w:p>
    <w:p>
      <w:pPr>
        <w:spacing w:line="600" w:lineRule="exact"/>
        <w:ind w:firstLine="560" w:firstLineChars="200"/>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r>
        <w:rPr>
          <w:rFonts w:hint="eastAsia" w:ascii="Times New Roman" w:hAnsi="Times New Roman" w:cs="宋体"/>
          <w:color w:val="auto"/>
          <w:kern w:val="0"/>
          <w:sz w:val="28"/>
          <w:szCs w:val="28"/>
        </w:rPr>
        <w:t>、重点监管的危险化学品辨识</w:t>
      </w:r>
    </w:p>
    <w:p>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宋体"/>
          <w:color w:val="auto"/>
          <w:kern w:val="0"/>
          <w:sz w:val="28"/>
          <w:szCs w:val="28"/>
        </w:rPr>
        <w:t>根据《重点监管危险化学品名录》（</w:t>
      </w:r>
      <w:r>
        <w:rPr>
          <w:rFonts w:ascii="Times New Roman" w:hAnsi="Times New Roman" w:cs="Times New Roman"/>
          <w:color w:val="auto"/>
          <w:kern w:val="0"/>
          <w:sz w:val="28"/>
          <w:szCs w:val="28"/>
        </w:rPr>
        <w:t>2013</w:t>
      </w:r>
      <w:r>
        <w:rPr>
          <w:rFonts w:hint="eastAsia" w:ascii="Times New Roman" w:hAnsi="Times New Roman" w:cs="宋体"/>
          <w:color w:val="auto"/>
          <w:kern w:val="0"/>
          <w:sz w:val="28"/>
          <w:szCs w:val="28"/>
        </w:rPr>
        <w:t>年版）的规定，本项目涉及的汽油属于重点监管的危险化学品。因此作业人员操作人员必须经过专门培训，严格遵守操作规程，熟练掌握操作技能，具备应急处置知识。</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8</w:t>
      </w:r>
      <w:r>
        <w:rPr>
          <w:rFonts w:hint="eastAsia" w:ascii="Times New Roman" w:hAnsi="Times New Roman" w:cs="宋体"/>
          <w:color w:val="auto"/>
          <w:sz w:val="28"/>
          <w:szCs w:val="28"/>
        </w:rPr>
        <w:t>、危险化工工艺</w:t>
      </w:r>
    </w:p>
    <w:p>
      <w:pPr>
        <w:spacing w:line="600" w:lineRule="exact"/>
        <w:ind w:firstLine="560" w:firstLineChars="200"/>
        <w:rPr>
          <w:rFonts w:ascii="Times New Roman" w:hAnsi="Times New Roman" w:cs="Times New Roman"/>
          <w:color w:val="auto"/>
        </w:rPr>
      </w:pPr>
      <w:bookmarkStart w:id="52" w:name="_Toc12496"/>
      <w:bookmarkStart w:id="53" w:name="_Toc7855"/>
      <w:bookmarkStart w:id="54" w:name="_Toc25342"/>
      <w:r>
        <w:rPr>
          <w:rFonts w:hint="eastAsia" w:ascii="Times New Roman" w:hAnsi="Times New Roman" w:cs="宋体"/>
          <w:color w:val="auto"/>
          <w:sz w:val="28"/>
          <w:szCs w:val="28"/>
        </w:rPr>
        <w:t>根据《重点监管的危险化工工艺目录》（</w:t>
      </w:r>
      <w:r>
        <w:rPr>
          <w:rFonts w:ascii="Times New Roman" w:hAnsi="Times New Roman" w:cs="Times New Roman"/>
          <w:color w:val="auto"/>
          <w:sz w:val="28"/>
          <w:szCs w:val="28"/>
        </w:rPr>
        <w:t>2013</w:t>
      </w:r>
      <w:r>
        <w:rPr>
          <w:rFonts w:hint="eastAsia" w:ascii="Times New Roman" w:hAnsi="Times New Roman" w:cs="宋体"/>
          <w:color w:val="auto"/>
          <w:sz w:val="28"/>
          <w:szCs w:val="28"/>
        </w:rPr>
        <w:t>年完整版），本项目不涉及危险工艺。</w:t>
      </w:r>
      <w:bookmarkEnd w:id="52"/>
      <w:bookmarkEnd w:id="53"/>
      <w:bookmarkEnd w:id="54"/>
    </w:p>
    <w:p>
      <w:pPr>
        <w:keepNext/>
        <w:keepLines/>
        <w:spacing w:line="600" w:lineRule="exact"/>
        <w:outlineLvl w:val="1"/>
        <w:rPr>
          <w:rFonts w:ascii="Times New Roman" w:hAnsi="Times New Roman" w:cs="Times New Roman"/>
          <w:b/>
          <w:bCs/>
          <w:color w:val="auto"/>
          <w:sz w:val="28"/>
          <w:szCs w:val="28"/>
        </w:rPr>
      </w:pPr>
      <w:bookmarkStart w:id="55" w:name="_Toc8681"/>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49"/>
      <w:bookmarkEnd w:id="50"/>
      <w:bookmarkEnd w:id="55"/>
    </w:p>
    <w:p>
      <w:pPr>
        <w:keepNext/>
        <w:keepLines/>
        <w:spacing w:line="600" w:lineRule="exact"/>
        <w:outlineLvl w:val="2"/>
        <w:rPr>
          <w:rFonts w:ascii="Times New Roman" w:hAnsi="Times New Roman" w:cs="Times New Roman"/>
          <w:b/>
          <w:bCs/>
          <w:color w:val="auto"/>
          <w:sz w:val="28"/>
          <w:szCs w:val="28"/>
        </w:rPr>
      </w:pPr>
      <w:bookmarkStart w:id="56" w:name="_Toc20440"/>
      <w:bookmarkStart w:id="57" w:name="_Toc744"/>
      <w:bookmarkStart w:id="58" w:name="_Toc31704"/>
      <w:bookmarkStart w:id="59" w:name="_Toc5174"/>
      <w:bookmarkStart w:id="60" w:name="_Toc309574011"/>
      <w:r>
        <w:rPr>
          <w:rFonts w:ascii="Times New Roman" w:hAnsi="Times New Roman" w:cs="Times New Roman"/>
          <w:b/>
          <w:bCs/>
          <w:color w:val="auto"/>
          <w:sz w:val="28"/>
          <w:szCs w:val="28"/>
        </w:rPr>
        <w:t>3.3.1</w:t>
      </w:r>
      <w:r>
        <w:rPr>
          <w:rFonts w:hint="eastAsia" w:ascii="Times New Roman" w:hAnsi="Times New Roman" w:cs="宋体"/>
          <w:b/>
          <w:bCs/>
          <w:color w:val="auto"/>
          <w:sz w:val="28"/>
          <w:szCs w:val="28"/>
        </w:rPr>
        <w:t>重大危险源辨识依据</w:t>
      </w:r>
      <w:bookmarkEnd w:id="56"/>
      <w:bookmarkEnd w:id="57"/>
      <w:bookmarkEnd w:id="58"/>
      <w:bookmarkEnd w:id="59"/>
      <w:bookmarkEnd w:id="60"/>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《危险化学品重大危险源辨识》（</w:t>
      </w:r>
      <w:r>
        <w:rPr>
          <w:rFonts w:ascii="Times New Roman" w:hAnsi="Times New Roman" w:cs="Times New Roman"/>
          <w:color w:val="auto"/>
          <w:sz w:val="28"/>
          <w:szCs w:val="28"/>
        </w:rPr>
        <w:t>GB18218-2018</w:t>
      </w:r>
      <w:r>
        <w:rPr>
          <w:rFonts w:hint="eastAsia" w:ascii="Times New Roman" w:hAnsi="Times New Roman" w:cs="宋体"/>
          <w:color w:val="auto"/>
          <w:sz w:val="28"/>
          <w:szCs w:val="28"/>
        </w:rPr>
        <w:t>）（简称：标准，下同）中根据物质的不同特性，将危险物质分为爆炸物、易燃气体、气溶胶、氧化性气体、易燃液体、易燃固体、自反应物质和混合物、自燃液体、自燃固体、自热物质和混合物、遇水放出易燃气体的物质和混合物、氧化性液体、氧化性固体、有机过氧化物、急性毒性十五大类，标准中给出了部分物质的名称及其临界量，对未列出具体临界量物质规定了相应临界量确定办法。</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危险化学品：具有毒害、腐蚀、爆炸、燃烧、助燃等性质，对人体、设施、环境具有危害的剧毒化学品和其他化学品。</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单元：涉及危险化学品的生产、储存装置、设施或场所，分为生产单元和储存单元。</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生产单元：危险化学品的生产、加工及使用等的装置，当装置及设施之间有切断阀时，以切断阀作为分隔界限划分为独立的单元。</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储存单元：用于储存危险化学品的储罐或仓库组成的相对独立的区域，储罐区以罐区防火堤为界限划分为独立的单元，仓库以独立库房（独立建筑物）为界限划分为独立的单元。</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临界量：某种或某类危险化学品构成重大危险源所规定的最小数量。</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危险化学品重大危险源：长期或临时地生产、储存、使用和经营危险化学品，且危险化学品的数量等于或超过临界量的单元。</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混合物：</w:t>
      </w:r>
      <w:r>
        <w:rPr>
          <w:rFonts w:hint="eastAsia" w:ascii="Times New Roman" w:hAnsi="Times New Roman" w:cs="宋体"/>
          <w:color w:val="auto"/>
          <w:sz w:val="28"/>
          <w:szCs w:val="28"/>
          <w:lang w:val="zh-CN"/>
        </w:rPr>
        <w:t>由两种或者多种物质组成的混合体或者溶液。</w:t>
      </w:r>
    </w:p>
    <w:p>
      <w:pPr>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宋体"/>
          <w:color w:val="auto"/>
          <w:sz w:val="28"/>
          <w:szCs w:val="28"/>
          <w:lang w:val="zh-CN"/>
        </w:rPr>
        <w:t>生产单元、储存单元内存在的危险化学品为多品种时，则按下式计算，若满足下面公式，则为重大危险源：</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S</w:t>
      </w:r>
      <w:r>
        <w:rPr>
          <w:rFonts w:hint="eastAsia" w:ascii="Times New Roman" w:hAnsi="Times New Roman" w:cs="宋体"/>
          <w:color w:val="auto"/>
          <w:sz w:val="28"/>
          <w:szCs w:val="28"/>
        </w:rPr>
        <w:t>＝</w:t>
      </w:r>
      <w:r>
        <w:rPr>
          <w:rFonts w:ascii="Times New Roman" w:hAnsi="Times New Roman" w:cs="Times New Roman"/>
          <w:color w:val="auto"/>
          <w:sz w:val="28"/>
          <w:szCs w:val="28"/>
        </w:rPr>
        <w:t>q1/Q1</w:t>
      </w:r>
      <w:r>
        <w:rPr>
          <w:rFonts w:hint="eastAsia" w:ascii="Times New Roman" w:hAnsi="Times New Roman" w:cs="宋体"/>
          <w:color w:val="auto"/>
          <w:sz w:val="28"/>
          <w:szCs w:val="28"/>
        </w:rPr>
        <w:t>＋</w:t>
      </w:r>
      <w:r>
        <w:rPr>
          <w:rFonts w:ascii="Times New Roman" w:hAnsi="Times New Roman" w:cs="Times New Roman"/>
          <w:color w:val="auto"/>
          <w:sz w:val="28"/>
          <w:szCs w:val="28"/>
        </w:rPr>
        <w:t>q2/Q2</w:t>
      </w:r>
      <w:r>
        <w:rPr>
          <w:rFonts w:hint="eastAsia" w:ascii="Times New Roman" w:hAnsi="Times New Roman" w:cs="宋体"/>
          <w:color w:val="auto"/>
          <w:sz w:val="28"/>
          <w:szCs w:val="28"/>
        </w:rPr>
        <w:t>＋</w:t>
      </w:r>
      <w:r>
        <w:rPr>
          <w:rFonts w:ascii="Times New Roman" w:hAnsi="Times New Roman" w:cs="Times New Roman"/>
          <w:color w:val="auto"/>
          <w:sz w:val="28"/>
          <w:szCs w:val="28"/>
        </w:rPr>
        <w:t>…</w:t>
      </w:r>
      <w:r>
        <w:rPr>
          <w:rFonts w:hint="eastAsia" w:ascii="Times New Roman" w:hAnsi="Times New Roman" w:cs="宋体"/>
          <w:color w:val="auto"/>
          <w:sz w:val="28"/>
          <w:szCs w:val="28"/>
        </w:rPr>
        <w:t>＋</w:t>
      </w:r>
      <w:r>
        <w:rPr>
          <w:rFonts w:ascii="Times New Roman" w:hAnsi="Times New Roman" w:cs="Times New Roman"/>
          <w:color w:val="auto"/>
          <w:sz w:val="28"/>
          <w:szCs w:val="28"/>
        </w:rPr>
        <w:t>qn/Qn≥1</w:t>
      </w:r>
    </w:p>
    <w:p>
      <w:pPr>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Times New Roman"/>
          <w:color w:val="auto"/>
          <w:sz w:val="28"/>
          <w:szCs w:val="28"/>
          <w:lang w:val="zh-CN"/>
        </w:rPr>
        <w:t>S</w:t>
      </w:r>
      <w:r>
        <w:rPr>
          <w:rFonts w:hint="eastAsia" w:ascii="Times New Roman" w:hAnsi="Times New Roman" w:cs="宋体"/>
          <w:color w:val="auto"/>
          <w:sz w:val="28"/>
          <w:szCs w:val="28"/>
          <w:lang w:val="zh-CN"/>
        </w:rPr>
        <w:t>－辨识指标；</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q1</w:t>
      </w:r>
      <w:r>
        <w:rPr>
          <w:rFonts w:hint="eastAsia" w:ascii="Times New Roman" w:hAnsi="Times New Roman" w:cs="宋体"/>
          <w:color w:val="auto"/>
          <w:sz w:val="28"/>
          <w:szCs w:val="28"/>
        </w:rPr>
        <w:t>，</w:t>
      </w:r>
      <w:r>
        <w:rPr>
          <w:rFonts w:ascii="Times New Roman" w:hAnsi="Times New Roman" w:cs="Times New Roman"/>
          <w:color w:val="auto"/>
          <w:sz w:val="28"/>
          <w:szCs w:val="28"/>
        </w:rPr>
        <w:t>q2……qn—</w:t>
      </w:r>
      <w:r>
        <w:rPr>
          <w:rFonts w:hint="eastAsia" w:ascii="Times New Roman" w:hAnsi="Times New Roman" w:cs="宋体"/>
          <w:color w:val="auto"/>
          <w:sz w:val="28"/>
          <w:szCs w:val="28"/>
        </w:rPr>
        <w:t>每种危险化学品的实际存在量，</w:t>
      </w:r>
      <w:r>
        <w:rPr>
          <w:rFonts w:ascii="Times New Roman" w:hAnsi="Times New Roman" w:cs="Times New Roman"/>
          <w:color w:val="auto"/>
          <w:sz w:val="28"/>
          <w:szCs w:val="28"/>
        </w:rPr>
        <w:t>t</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Q1</w:t>
      </w:r>
      <w:r>
        <w:rPr>
          <w:rFonts w:hint="eastAsia" w:ascii="Times New Roman" w:hAnsi="Times New Roman" w:cs="宋体"/>
          <w:color w:val="auto"/>
          <w:sz w:val="28"/>
          <w:szCs w:val="28"/>
        </w:rPr>
        <w:t>，</w:t>
      </w:r>
      <w:r>
        <w:rPr>
          <w:rFonts w:ascii="Times New Roman" w:hAnsi="Times New Roman" w:cs="Times New Roman"/>
          <w:color w:val="auto"/>
          <w:sz w:val="28"/>
          <w:szCs w:val="28"/>
        </w:rPr>
        <w:t>Q2…Qn—</w:t>
      </w:r>
      <w:r>
        <w:rPr>
          <w:rFonts w:hint="eastAsia" w:ascii="Times New Roman" w:hAnsi="Times New Roman" w:cs="宋体"/>
          <w:color w:val="auto"/>
          <w:sz w:val="28"/>
          <w:szCs w:val="28"/>
        </w:rPr>
        <w:t>与各危险化学品相对应的临界量，</w:t>
      </w:r>
      <w:r>
        <w:rPr>
          <w:rFonts w:ascii="Times New Roman" w:hAnsi="Times New Roman" w:cs="Times New Roman"/>
          <w:color w:val="auto"/>
          <w:sz w:val="28"/>
          <w:szCs w:val="28"/>
        </w:rPr>
        <w:t>t</w:t>
      </w:r>
      <w:r>
        <w:rPr>
          <w:rFonts w:hint="eastAsia" w:ascii="Times New Roman" w:hAnsi="Times New Roman" w:cs="宋体"/>
          <w:color w:val="auto"/>
          <w:sz w:val="28"/>
          <w:szCs w:val="28"/>
        </w:rPr>
        <w:t>。</w:t>
      </w:r>
    </w:p>
    <w:p>
      <w:pPr>
        <w:keepNext/>
        <w:keepLines/>
        <w:spacing w:line="600" w:lineRule="exact"/>
        <w:outlineLvl w:val="2"/>
        <w:rPr>
          <w:rFonts w:ascii="Times New Roman" w:hAnsi="Times New Roman" w:cs="Times New Roman"/>
          <w:b/>
          <w:bCs/>
          <w:color w:val="auto"/>
          <w:sz w:val="28"/>
          <w:szCs w:val="28"/>
        </w:rPr>
      </w:pPr>
      <w:bookmarkStart w:id="61" w:name="_Toc90"/>
      <w:bookmarkStart w:id="62" w:name="_Toc26118"/>
      <w:bookmarkStart w:id="63" w:name="_Toc27594"/>
      <w:bookmarkStart w:id="64" w:name="_Toc16804"/>
      <w:r>
        <w:rPr>
          <w:rFonts w:ascii="Times New Roman" w:hAnsi="Times New Roman" w:cs="Times New Roman"/>
          <w:b/>
          <w:bCs/>
          <w:color w:val="auto"/>
          <w:sz w:val="28"/>
          <w:szCs w:val="28"/>
        </w:rPr>
        <w:t>3.3.2</w:t>
      </w:r>
      <w:r>
        <w:rPr>
          <w:rFonts w:hint="eastAsia" w:ascii="Times New Roman" w:hAnsi="Times New Roman" w:cs="宋体"/>
          <w:b/>
          <w:bCs/>
          <w:color w:val="auto"/>
          <w:sz w:val="28"/>
          <w:szCs w:val="28"/>
          <w:lang w:val="zh-CN"/>
        </w:rPr>
        <w:t>危险化学品</w:t>
      </w:r>
      <w:r>
        <w:rPr>
          <w:rFonts w:hint="eastAsia" w:ascii="Times New Roman" w:hAnsi="Times New Roman" w:cs="宋体"/>
          <w:b/>
          <w:bCs/>
          <w:color w:val="auto"/>
          <w:sz w:val="28"/>
          <w:szCs w:val="28"/>
        </w:rPr>
        <w:t>重大危险源的辨识情况</w:t>
      </w:r>
      <w:bookmarkEnd w:id="61"/>
      <w:bookmarkEnd w:id="62"/>
      <w:bookmarkEnd w:id="63"/>
      <w:bookmarkEnd w:id="64"/>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根据《危险化学品重大危险源辨识》（</w:t>
      </w:r>
      <w:r>
        <w:rPr>
          <w:rFonts w:ascii="Times New Roman" w:hAnsi="Times New Roman" w:cs="Times New Roman"/>
          <w:color w:val="auto"/>
          <w:sz w:val="28"/>
          <w:szCs w:val="28"/>
        </w:rPr>
        <w:t>GB18218-2018</w:t>
      </w:r>
      <w:r>
        <w:rPr>
          <w:rFonts w:hint="eastAsia" w:ascii="Times New Roman" w:hAnsi="Times New Roman" w:cs="宋体"/>
          <w:color w:val="auto"/>
          <w:sz w:val="28"/>
          <w:szCs w:val="28"/>
        </w:rPr>
        <w:t>）的规定，本站的汽油（表</w:t>
      </w:r>
      <w:r>
        <w:rPr>
          <w:rFonts w:ascii="Times New Roman" w:hAnsi="Times New Roman" w:cs="Times New Roman"/>
          <w:color w:val="auto"/>
          <w:sz w:val="28"/>
          <w:szCs w:val="28"/>
        </w:rPr>
        <w:t>1</w:t>
      </w:r>
      <w:r>
        <w:rPr>
          <w:rFonts w:hint="eastAsia" w:ascii="Times New Roman" w:hAnsi="Times New Roman" w:cs="宋体"/>
          <w:color w:val="auto"/>
          <w:sz w:val="28"/>
          <w:szCs w:val="28"/>
        </w:rPr>
        <w:t>，第</w:t>
      </w:r>
      <w:r>
        <w:rPr>
          <w:rFonts w:ascii="Times New Roman" w:hAnsi="Times New Roman" w:cs="Times New Roman"/>
          <w:color w:val="auto"/>
          <w:sz w:val="28"/>
          <w:szCs w:val="28"/>
        </w:rPr>
        <w:t>66</w:t>
      </w:r>
      <w:r>
        <w:rPr>
          <w:rFonts w:hint="eastAsia" w:ascii="Times New Roman" w:hAnsi="Times New Roman" w:cs="宋体"/>
          <w:color w:val="auto"/>
          <w:sz w:val="28"/>
          <w:szCs w:val="28"/>
        </w:rPr>
        <w:t>项）、柴油（表</w:t>
      </w:r>
      <w:r>
        <w:rPr>
          <w:rFonts w:ascii="Times New Roman" w:hAnsi="Times New Roman" w:cs="Times New Roman"/>
          <w:color w:val="auto"/>
          <w:sz w:val="28"/>
          <w:szCs w:val="28"/>
        </w:rPr>
        <w:t>2</w:t>
      </w:r>
      <w:r>
        <w:rPr>
          <w:rFonts w:hint="eastAsia" w:ascii="Times New Roman" w:hAnsi="Times New Roman" w:cs="宋体"/>
          <w:color w:val="auto"/>
          <w:sz w:val="28"/>
          <w:szCs w:val="28"/>
        </w:rPr>
        <w:t>，易燃液体，</w:t>
      </w:r>
      <w:r>
        <w:rPr>
          <w:rFonts w:ascii="Times New Roman" w:hAnsi="Times New Roman" w:cs="Times New Roman"/>
          <w:color w:val="auto"/>
          <w:sz w:val="28"/>
          <w:szCs w:val="28"/>
        </w:rPr>
        <w:t>W5.4</w:t>
      </w:r>
      <w:r>
        <w:rPr>
          <w:rFonts w:hint="eastAsia" w:ascii="Times New Roman" w:hAnsi="Times New Roman" w:cs="宋体"/>
          <w:color w:val="auto"/>
          <w:sz w:val="28"/>
          <w:szCs w:val="28"/>
        </w:rPr>
        <w:t>）被列入危险化学品重大危险源规定的物质种类，其中汽油临界量为</w:t>
      </w:r>
      <w:r>
        <w:rPr>
          <w:rFonts w:ascii="Times New Roman" w:hAnsi="Times New Roman" w:cs="Times New Roman"/>
          <w:color w:val="auto"/>
          <w:sz w:val="28"/>
          <w:szCs w:val="28"/>
        </w:rPr>
        <w:t>200t</w:t>
      </w:r>
      <w:r>
        <w:rPr>
          <w:rFonts w:hint="eastAsia" w:ascii="Times New Roman" w:hAnsi="Times New Roman" w:cs="宋体"/>
          <w:color w:val="auto"/>
          <w:sz w:val="28"/>
          <w:szCs w:val="28"/>
        </w:rPr>
        <w:t>，柴油临界量为</w:t>
      </w:r>
      <w:r>
        <w:rPr>
          <w:rFonts w:ascii="Times New Roman" w:hAnsi="Times New Roman" w:cs="Times New Roman"/>
          <w:color w:val="auto"/>
          <w:sz w:val="28"/>
          <w:szCs w:val="28"/>
        </w:rPr>
        <w:t>5000t</w:t>
      </w:r>
      <w:r>
        <w:rPr>
          <w:rFonts w:hint="eastAsia" w:ascii="Times New Roman" w:hAnsi="Times New Roman" w:cs="宋体"/>
          <w:color w:val="auto"/>
          <w:sz w:val="28"/>
          <w:szCs w:val="28"/>
        </w:rPr>
        <w:t>。单元划分分为生产单元和储存单元，其中加油区为生产单元，油储罐区为储存单元。</w:t>
      </w:r>
    </w:p>
    <w:p>
      <w:pPr>
        <w:tabs>
          <w:tab w:val="left" w:pos="5535"/>
        </w:tabs>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存在量：</w:t>
      </w:r>
    </w:p>
    <w:p>
      <w:pPr>
        <w:tabs>
          <w:tab w:val="left" w:pos="5535"/>
        </w:tabs>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）加油区：加油机有汽油加油枪</w:t>
      </w:r>
      <w:r>
        <w:rPr>
          <w:rFonts w:hint="eastAsia" w:ascii="Times New Roman" w:hAnsi="Times New Roman" w:cs="Times New Roman"/>
          <w:color w:val="auto"/>
          <w:sz w:val="28"/>
          <w:szCs w:val="28"/>
          <w:lang w:val="en-US" w:eastAsia="zh-CN"/>
        </w:rPr>
        <w:t>11</w:t>
      </w:r>
      <w:r>
        <w:rPr>
          <w:rFonts w:hint="eastAsia" w:ascii="Times New Roman" w:hAnsi="Times New Roman" w:cs="宋体"/>
          <w:color w:val="auto"/>
          <w:sz w:val="28"/>
          <w:szCs w:val="28"/>
        </w:rPr>
        <w:t>把，柴油加油枪</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把，加油机本身不储存油，仅加油枪及其管道内存有少量油，其加油枪为潜油泵枪，只有管道内少量油品，含量不足</w:t>
      </w:r>
      <w:r>
        <w:rPr>
          <w:rFonts w:ascii="Times New Roman" w:hAnsi="Times New Roman" w:cs="Times New Roman"/>
          <w:color w:val="auto"/>
          <w:sz w:val="28"/>
          <w:szCs w:val="28"/>
        </w:rPr>
        <w:t>0.1t</w:t>
      </w:r>
      <w:r>
        <w:rPr>
          <w:rFonts w:hint="eastAsia" w:ascii="Times New Roman" w:hAnsi="Times New Roman" w:cs="宋体"/>
          <w:color w:val="auto"/>
          <w:sz w:val="28"/>
          <w:szCs w:val="28"/>
        </w:rPr>
        <w:t>，每台加油机加油枪同时对车辆加油作业，按每台小型汽车的油箱为</w:t>
      </w:r>
      <w:r>
        <w:rPr>
          <w:rFonts w:ascii="Times New Roman" w:hAnsi="Times New Roman" w:cs="Times New Roman"/>
          <w:color w:val="auto"/>
          <w:sz w:val="28"/>
          <w:szCs w:val="28"/>
        </w:rPr>
        <w:t>60L</w:t>
      </w:r>
      <w:r>
        <w:rPr>
          <w:rFonts w:hint="eastAsia" w:ascii="Times New Roman" w:hAnsi="Times New Roman" w:cs="宋体"/>
          <w:color w:val="auto"/>
          <w:sz w:val="28"/>
          <w:szCs w:val="28"/>
        </w:rPr>
        <w:t>计算，每台柴油车的油箱为</w:t>
      </w:r>
      <w:r>
        <w:rPr>
          <w:rFonts w:ascii="Times New Roman" w:hAnsi="Times New Roman" w:cs="Times New Roman"/>
          <w:color w:val="auto"/>
          <w:sz w:val="28"/>
          <w:szCs w:val="28"/>
        </w:rPr>
        <w:t>100L</w:t>
      </w:r>
      <w:r>
        <w:rPr>
          <w:rFonts w:hint="eastAsia" w:ascii="Times New Roman" w:hAnsi="Times New Roman" w:cs="宋体"/>
          <w:color w:val="auto"/>
          <w:sz w:val="28"/>
          <w:szCs w:val="28"/>
        </w:rPr>
        <w:t>计算，则</w:t>
      </w:r>
      <w:r>
        <w:rPr>
          <w:rFonts w:hint="eastAsia" w:ascii="Times New Roman" w:hAnsi="Times New Roman" w:cs="Times New Roman"/>
          <w:color w:val="auto"/>
          <w:sz w:val="28"/>
          <w:szCs w:val="28"/>
          <w:lang w:val="en-US" w:eastAsia="zh-CN"/>
        </w:rPr>
        <w:t>11</w:t>
      </w:r>
      <w:r>
        <w:rPr>
          <w:rFonts w:hint="eastAsia" w:ascii="Times New Roman" w:hAnsi="Times New Roman" w:cs="宋体"/>
          <w:color w:val="auto"/>
          <w:sz w:val="28"/>
          <w:szCs w:val="28"/>
        </w:rPr>
        <w:t>把汽油加油枪的最大加油量为</w:t>
      </w:r>
      <w:r>
        <w:rPr>
          <w:rFonts w:ascii="Times New Roman" w:hAnsi="Times New Roman" w:cs="Times New Roman"/>
          <w:color w:val="auto"/>
          <w:sz w:val="28"/>
          <w:szCs w:val="28"/>
        </w:rPr>
        <w:t>0.06×0.75×</w:t>
      </w:r>
      <w:r>
        <w:rPr>
          <w:rFonts w:hint="eastAsia" w:ascii="Times New Roman" w:hAnsi="Times New Roman" w:cs="Times New Roman"/>
          <w:color w:val="auto"/>
          <w:sz w:val="28"/>
          <w:szCs w:val="28"/>
          <w:lang w:val="en-US" w:eastAsia="zh-CN"/>
        </w:rPr>
        <w:t>11</w:t>
      </w:r>
      <w:r>
        <w:rPr>
          <w:rFonts w:ascii="Times New Roman" w:hAnsi="Times New Roman" w:cs="Times New Roman"/>
          <w:color w:val="auto"/>
          <w:sz w:val="28"/>
          <w:szCs w:val="28"/>
        </w:rPr>
        <w:t>=0.</w:t>
      </w:r>
      <w:r>
        <w:rPr>
          <w:rFonts w:hint="eastAsia" w:ascii="Times New Roman" w:hAnsi="Times New Roman" w:cs="Times New Roman"/>
          <w:color w:val="auto"/>
          <w:sz w:val="28"/>
          <w:szCs w:val="28"/>
          <w:lang w:val="en-US" w:eastAsia="zh-CN"/>
        </w:rPr>
        <w:t>495</w:t>
      </w:r>
      <w:r>
        <w:rPr>
          <w:rFonts w:ascii="Times New Roman" w:hAnsi="Times New Roman" w:cs="Times New Roman"/>
          <w:color w:val="auto"/>
          <w:sz w:val="28"/>
          <w:szCs w:val="28"/>
        </w:rPr>
        <w:t>t</w:t>
      </w:r>
      <w:r>
        <w:rPr>
          <w:rFonts w:hint="eastAsia" w:ascii="Times New Roman" w:hAnsi="Times New Roman" w:cs="宋体"/>
          <w:color w:val="auto"/>
          <w:sz w:val="28"/>
          <w:szCs w:val="28"/>
        </w:rPr>
        <w:t>，则</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把柴油加油枪的最大加油量为</w:t>
      </w:r>
      <w:r>
        <w:rPr>
          <w:rFonts w:ascii="Times New Roman" w:hAnsi="Times New Roman" w:cs="Times New Roman"/>
          <w:color w:val="auto"/>
          <w:sz w:val="28"/>
          <w:szCs w:val="28"/>
        </w:rPr>
        <w:t>0.1×0.85×</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=0.</w:t>
      </w:r>
      <w:r>
        <w:rPr>
          <w:rFonts w:hint="eastAsia" w:ascii="Times New Roman" w:hAnsi="Times New Roman" w:cs="Times New Roman"/>
          <w:color w:val="auto"/>
          <w:sz w:val="28"/>
          <w:szCs w:val="28"/>
          <w:lang w:val="en-US" w:eastAsia="zh-CN"/>
        </w:rPr>
        <w:t>425</w:t>
      </w:r>
      <w:r>
        <w:rPr>
          <w:rFonts w:ascii="Times New Roman" w:hAnsi="Times New Roman" w:cs="Times New Roman"/>
          <w:color w:val="auto"/>
          <w:sz w:val="28"/>
          <w:szCs w:val="28"/>
        </w:rPr>
        <w:t>t</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）储罐区：本站汽油储罐储存最大量为</w:t>
      </w:r>
      <w:r>
        <w:rPr>
          <w:rFonts w:hint="eastAsia" w:ascii="Times New Roman" w:hAnsi="Times New Roman" w:cs="Times New Roman"/>
          <w:color w:val="auto"/>
          <w:sz w:val="28"/>
          <w:szCs w:val="28"/>
          <w:lang w:val="en-US" w:eastAsia="zh-CN"/>
        </w:rPr>
        <w:t>80</w:t>
      </w:r>
      <w:r>
        <w:rPr>
          <w:rFonts w:ascii="Times New Roman" w:hAnsi="Times New Roman" w:cs="Times New Roman"/>
          <w:color w:val="auto"/>
          <w:sz w:val="28"/>
          <w:szCs w:val="28"/>
        </w:rPr>
        <w:t>m³</w:t>
      </w:r>
      <w:r>
        <w:rPr>
          <w:rFonts w:hint="eastAsia" w:ascii="Times New Roman" w:hAnsi="Times New Roman" w:cs="宋体"/>
          <w:color w:val="auto"/>
          <w:sz w:val="28"/>
          <w:szCs w:val="28"/>
        </w:rPr>
        <w:t>，折算质量单位约为</w:t>
      </w:r>
      <w:r>
        <w:rPr>
          <w:rFonts w:hint="eastAsia" w:ascii="Times New Roman" w:hAnsi="Times New Roman" w:cs="Times New Roman"/>
          <w:color w:val="auto"/>
          <w:sz w:val="28"/>
          <w:szCs w:val="28"/>
          <w:lang w:val="en-US" w:eastAsia="zh-CN"/>
        </w:rPr>
        <w:t>60</w:t>
      </w:r>
      <w:r>
        <w:rPr>
          <w:rFonts w:hint="eastAsia" w:ascii="Times New Roman" w:hAnsi="Times New Roman" w:cs="宋体"/>
          <w:color w:val="auto"/>
          <w:sz w:val="28"/>
          <w:szCs w:val="28"/>
        </w:rPr>
        <w:t>吨；柴油储罐储存最大量为</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0m³</w:t>
      </w:r>
      <w:r>
        <w:rPr>
          <w:rFonts w:hint="eastAsia" w:ascii="Times New Roman" w:hAnsi="Times New Roman" w:cs="宋体"/>
          <w:color w:val="auto"/>
          <w:sz w:val="28"/>
          <w:szCs w:val="28"/>
        </w:rPr>
        <w:t>，折算质量单位约为</w:t>
      </w:r>
      <w:r>
        <w:rPr>
          <w:rFonts w:hint="eastAsia" w:ascii="Times New Roman" w:hAnsi="Times New Roman" w:cs="Times New Roman"/>
          <w:color w:val="auto"/>
          <w:sz w:val="28"/>
          <w:szCs w:val="28"/>
          <w:lang w:val="en-US" w:eastAsia="zh-CN"/>
        </w:rPr>
        <w:t>42.5</w:t>
      </w:r>
      <w:r>
        <w:rPr>
          <w:rFonts w:hint="eastAsia" w:ascii="Times New Roman" w:hAnsi="Times New Roman" w:cs="宋体"/>
          <w:color w:val="auto"/>
          <w:sz w:val="28"/>
          <w:szCs w:val="28"/>
        </w:rPr>
        <w:t>吨。</w:t>
      </w:r>
    </w:p>
    <w:p>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汽油密度取</w:t>
      </w:r>
      <w:r>
        <w:rPr>
          <w:rFonts w:ascii="Times New Roman" w:hAnsi="Times New Roman" w:cs="Times New Roman"/>
          <w:color w:val="auto"/>
          <w:sz w:val="28"/>
          <w:szCs w:val="28"/>
        </w:rPr>
        <w:t>0.75g/ml</w:t>
      </w:r>
      <w:r>
        <w:rPr>
          <w:rFonts w:hint="eastAsia" w:ascii="Times New Roman" w:hAnsi="Times New Roman" w:cs="宋体"/>
          <w:color w:val="auto"/>
          <w:sz w:val="28"/>
          <w:szCs w:val="28"/>
        </w:rPr>
        <w:t>，柴油密度取</w:t>
      </w:r>
      <w:r>
        <w:rPr>
          <w:rFonts w:ascii="Times New Roman" w:hAnsi="Times New Roman" w:cs="Times New Roman"/>
          <w:color w:val="auto"/>
          <w:sz w:val="28"/>
          <w:szCs w:val="28"/>
        </w:rPr>
        <w:t>0.85g/ml</w:t>
      </w:r>
      <w:r>
        <w:rPr>
          <w:rFonts w:hint="eastAsia" w:ascii="Times New Roman" w:hAnsi="Times New Roman" w:cs="宋体"/>
          <w:color w:val="auto"/>
          <w:sz w:val="28"/>
          <w:szCs w:val="28"/>
        </w:rPr>
        <w:t>。</w:t>
      </w:r>
    </w:p>
    <w:p>
      <w:pPr>
        <w:tabs>
          <w:tab w:val="left" w:pos="5535"/>
        </w:tabs>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辨识情况见下表</w:t>
      </w:r>
      <w:r>
        <w:rPr>
          <w:rFonts w:hint="eastAsia" w:ascii="Times New Roman" w:hAnsi="Times New Roman" w:cs="宋体"/>
          <w:b/>
          <w:bCs/>
          <w:color w:val="auto"/>
          <w:sz w:val="28"/>
          <w:szCs w:val="28"/>
        </w:rPr>
        <w:t>。</w:t>
      </w:r>
    </w:p>
    <w:p>
      <w:pPr>
        <w:jc w:val="center"/>
        <w:rPr>
          <w:rFonts w:hint="eastAsia" w:ascii="Times New Roman" w:hAnsi="Times New Roman" w:cs="宋体"/>
          <w:b/>
          <w:bCs/>
          <w:color w:val="auto"/>
          <w:sz w:val="24"/>
          <w:szCs w:val="24"/>
          <w:lang w:val="zh-CN"/>
        </w:rPr>
      </w:pPr>
    </w:p>
    <w:p>
      <w:pPr>
        <w:jc w:val="center"/>
        <w:rPr>
          <w:rFonts w:ascii="Times New Roman" w:hAnsi="Times New Roman" w:cs="Times New Roman"/>
          <w:b/>
          <w:bCs/>
          <w:color w:val="auto"/>
          <w:sz w:val="24"/>
          <w:szCs w:val="24"/>
          <w:lang w:val="zh-CN"/>
        </w:rPr>
      </w:pP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3-</w:t>
      </w:r>
      <w:r>
        <w:rPr>
          <w:rFonts w:ascii="Times New Roman" w:hAnsi="Times New Roman" w:cs="Times New Roman"/>
          <w:b/>
          <w:bCs/>
          <w:color w:val="auto"/>
          <w:sz w:val="24"/>
          <w:szCs w:val="24"/>
        </w:rPr>
        <w:t xml:space="preserve">3  </w:t>
      </w:r>
      <w:r>
        <w:rPr>
          <w:rFonts w:hint="eastAsia" w:ascii="Times New Roman" w:hAnsi="Times New Roman" w:cs="宋体"/>
          <w:b/>
          <w:bCs/>
          <w:color w:val="auto"/>
          <w:sz w:val="24"/>
          <w:szCs w:val="24"/>
        </w:rPr>
        <w:t>生产单元危险化学品重大危险源辨识表</w:t>
      </w:r>
    </w:p>
    <w:tbl>
      <w:tblPr>
        <w:tblStyle w:val="20"/>
        <w:tblW w:w="9096" w:type="dxa"/>
        <w:tblInd w:w="2" w:type="dxa"/>
        <w:tblLayout w:type="fixed"/>
        <w:tblCellMar>
          <w:top w:w="0" w:type="dxa"/>
          <w:left w:w="108" w:type="dxa"/>
          <w:bottom w:w="0" w:type="dxa"/>
          <w:right w:w="108" w:type="dxa"/>
        </w:tblCellMar>
      </w:tblPr>
      <w:tblGrid>
        <w:gridCol w:w="720"/>
        <w:gridCol w:w="1075"/>
        <w:gridCol w:w="1130"/>
        <w:gridCol w:w="1596"/>
        <w:gridCol w:w="1320"/>
        <w:gridCol w:w="1253"/>
        <w:gridCol w:w="1263"/>
        <w:gridCol w:w="739"/>
      </w:tblGrid>
      <w:tr>
        <w:tblPrEx>
          <w:tblCellMar>
            <w:top w:w="0" w:type="dxa"/>
            <w:left w:w="108" w:type="dxa"/>
            <w:bottom w:w="0" w:type="dxa"/>
            <w:right w:w="108" w:type="dxa"/>
          </w:tblCellMar>
        </w:tblPrEx>
        <w:trPr>
          <w:trHeight w:val="473" w:hRule="atLeast"/>
        </w:trPr>
        <w:tc>
          <w:tcPr>
            <w:tcW w:w="720"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序号</w:t>
            </w:r>
          </w:p>
        </w:tc>
        <w:tc>
          <w:tcPr>
            <w:tcW w:w="1075" w:type="dxa"/>
            <w:tcBorders>
              <w:top w:val="single" w:color="auto" w:sz="6" w:space="0"/>
              <w:left w:val="single" w:color="auto" w:sz="6" w:space="0"/>
              <w:bottom w:val="single" w:color="auto" w:sz="4"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单元</w:t>
            </w:r>
          </w:p>
        </w:tc>
        <w:tc>
          <w:tcPr>
            <w:tcW w:w="1130" w:type="dxa"/>
            <w:tcBorders>
              <w:top w:val="single" w:color="auto" w:sz="6" w:space="0"/>
              <w:left w:val="single" w:color="auto" w:sz="4"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物质</w:t>
            </w:r>
          </w:p>
        </w:tc>
        <w:tc>
          <w:tcPr>
            <w:tcW w:w="1596"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ind w:firstLine="205" w:firstLineChars="98"/>
              <w:jc w:val="center"/>
              <w:rPr>
                <w:rFonts w:ascii="Times New Roman" w:hAnsi="Times New Roman" w:cs="Times New Roman"/>
                <w:color w:val="auto"/>
                <w:lang w:val="zh-CN"/>
              </w:rPr>
            </w:pPr>
            <w:r>
              <w:rPr>
                <w:rFonts w:hint="eastAsia" w:ascii="Times New Roman" w:hAnsi="Times New Roman" w:cs="宋体"/>
                <w:color w:val="auto"/>
                <w:lang w:val="zh-CN"/>
              </w:rPr>
              <w:t>危险性分类</w:t>
            </w:r>
          </w:p>
        </w:tc>
        <w:tc>
          <w:tcPr>
            <w:tcW w:w="1320"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rPr>
              <w:t>临界量（</w:t>
            </w:r>
            <w:r>
              <w:rPr>
                <w:rFonts w:ascii="Times New Roman" w:hAnsi="Times New Roman" w:cs="Times New Roman"/>
                <w:color w:val="auto"/>
                <w:lang w:val="zh-CN"/>
              </w:rPr>
              <w:t>t</w:t>
            </w:r>
            <w:r>
              <w:rPr>
                <w:rFonts w:hint="eastAsia" w:ascii="Times New Roman" w:hAnsi="Times New Roman" w:cs="宋体"/>
                <w:color w:val="auto"/>
              </w:rPr>
              <w:t>）</w:t>
            </w:r>
          </w:p>
        </w:tc>
        <w:tc>
          <w:tcPr>
            <w:tcW w:w="125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存在量</w:t>
            </w:r>
            <w:r>
              <w:rPr>
                <w:rFonts w:hint="eastAsia" w:ascii="Times New Roman" w:hAnsi="Times New Roman" w:cs="宋体"/>
                <w:color w:val="auto"/>
              </w:rPr>
              <w:t>（</w:t>
            </w:r>
            <w:r>
              <w:rPr>
                <w:rFonts w:ascii="Times New Roman" w:hAnsi="Times New Roman" w:cs="Times New Roman"/>
                <w:color w:val="auto"/>
                <w:lang w:val="zh-CN"/>
              </w:rPr>
              <w:t>t</w:t>
            </w:r>
            <w:r>
              <w:rPr>
                <w:rFonts w:hint="eastAsia" w:ascii="Times New Roman" w:hAnsi="Times New Roman" w:cs="宋体"/>
                <w:color w:val="auto"/>
              </w:rPr>
              <w:t>）</w:t>
            </w:r>
          </w:p>
        </w:tc>
        <w:tc>
          <w:tcPr>
            <w:tcW w:w="126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ascii="Times New Roman" w:hAnsi="Times New Roman" w:cs="Times New Roman"/>
                <w:color w:val="auto"/>
                <w:kern w:val="0"/>
              </w:rPr>
              <w:t>qn/Qn</w:t>
            </w:r>
          </w:p>
        </w:tc>
        <w:tc>
          <w:tcPr>
            <w:tcW w:w="739"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rPr>
              <w:t>辨识</w:t>
            </w:r>
          </w:p>
        </w:tc>
      </w:tr>
      <w:tr>
        <w:tblPrEx>
          <w:tblCellMar>
            <w:top w:w="0" w:type="dxa"/>
            <w:left w:w="108" w:type="dxa"/>
            <w:bottom w:w="0" w:type="dxa"/>
            <w:right w:w="108" w:type="dxa"/>
          </w:tblCellMar>
        </w:tblPrEx>
        <w:trPr>
          <w:trHeight w:val="473" w:hRule="atLeast"/>
        </w:trPr>
        <w:tc>
          <w:tcPr>
            <w:tcW w:w="720" w:type="dxa"/>
            <w:vMerge w:val="restart"/>
            <w:tcBorders>
              <w:top w:val="single" w:color="auto" w:sz="6" w:space="0"/>
              <w:left w:val="single" w:color="auto" w:sz="6"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ascii="Times New Roman" w:hAnsi="Times New Roman" w:cs="Times New Roman"/>
                <w:color w:val="auto"/>
              </w:rPr>
              <w:t>1</w:t>
            </w:r>
          </w:p>
        </w:tc>
        <w:tc>
          <w:tcPr>
            <w:tcW w:w="1075" w:type="dxa"/>
            <w:vMerge w:val="restart"/>
            <w:tcBorders>
              <w:top w:val="single" w:color="auto" w:sz="6" w:space="0"/>
              <w:left w:val="single" w:color="auto" w:sz="6"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hint="eastAsia" w:ascii="Times New Roman" w:hAnsi="Times New Roman" w:cs="宋体"/>
                <w:color w:val="auto"/>
              </w:rPr>
              <w:t>加油区</w:t>
            </w:r>
          </w:p>
        </w:tc>
        <w:tc>
          <w:tcPr>
            <w:tcW w:w="1130" w:type="dxa"/>
            <w:tcBorders>
              <w:top w:val="single" w:color="auto" w:sz="6" w:space="0"/>
              <w:left w:val="single" w:color="auto" w:sz="4"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hint="eastAsia" w:ascii="Times New Roman" w:hAnsi="Times New Roman" w:cs="宋体"/>
                <w:color w:val="auto"/>
              </w:rPr>
              <w:t>汽油</w:t>
            </w:r>
          </w:p>
        </w:tc>
        <w:tc>
          <w:tcPr>
            <w:tcW w:w="1596"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spacing w:val="-10"/>
                <w:kern w:val="0"/>
              </w:rPr>
            </w:pPr>
            <w:r>
              <w:rPr>
                <w:rFonts w:hint="eastAsia" w:ascii="Times New Roman" w:hAnsi="Times New Roman" w:cs="宋体"/>
                <w:color w:val="auto"/>
                <w:lang w:val="zh-CN"/>
              </w:rPr>
              <w:t>易燃液体</w:t>
            </w:r>
          </w:p>
        </w:tc>
        <w:tc>
          <w:tcPr>
            <w:tcW w:w="1320"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ascii="Times New Roman" w:hAnsi="Times New Roman" w:cs="Times New Roman"/>
                <w:color w:val="auto"/>
                <w:lang w:val="zh-CN"/>
              </w:rPr>
              <w:t>200</w:t>
            </w:r>
          </w:p>
        </w:tc>
        <w:tc>
          <w:tcPr>
            <w:tcW w:w="125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hint="default" w:ascii="Times New Roman" w:hAnsi="Times New Roman" w:eastAsia="宋体" w:cs="Times New Roman"/>
                <w:color w:val="auto"/>
                <w:lang w:val="en-US" w:eastAsia="zh-CN"/>
              </w:rPr>
            </w:pPr>
            <w:r>
              <w:rPr>
                <w:rFonts w:ascii="Times New Roman" w:hAnsi="Times New Roman" w:cs="Times New Roman"/>
                <w:color w:val="auto"/>
              </w:rPr>
              <w:t>0.</w:t>
            </w:r>
            <w:r>
              <w:rPr>
                <w:rFonts w:hint="eastAsia" w:ascii="Times New Roman" w:hAnsi="Times New Roman" w:cs="Times New Roman"/>
                <w:color w:val="auto"/>
                <w:lang w:val="en-US" w:eastAsia="zh-CN"/>
              </w:rPr>
              <w:t>495</w:t>
            </w:r>
          </w:p>
        </w:tc>
        <w:tc>
          <w:tcPr>
            <w:tcW w:w="126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hint="default" w:ascii="Times New Roman" w:hAnsi="Times New Roman" w:eastAsia="宋体" w:cs="Times New Roman"/>
                <w:color w:val="auto"/>
                <w:kern w:val="0"/>
                <w:lang w:val="en-US" w:eastAsia="zh-CN"/>
              </w:rPr>
            </w:pPr>
            <w:r>
              <w:rPr>
                <w:rFonts w:ascii="Times New Roman" w:hAnsi="Times New Roman" w:cs="Times New Roman"/>
                <w:color w:val="auto"/>
                <w:kern w:val="0"/>
              </w:rPr>
              <w:t>0.00</w:t>
            </w:r>
            <w:r>
              <w:rPr>
                <w:rFonts w:hint="eastAsia" w:ascii="Times New Roman" w:hAnsi="Times New Roman" w:cs="Times New Roman"/>
                <w:color w:val="auto"/>
                <w:kern w:val="0"/>
                <w:lang w:val="en-US" w:eastAsia="zh-CN"/>
              </w:rPr>
              <w:t>2475</w:t>
            </w:r>
          </w:p>
        </w:tc>
        <w:tc>
          <w:tcPr>
            <w:tcW w:w="739"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w:t>
            </w:r>
            <w:r>
              <w:rPr>
                <w:rFonts w:ascii="Times New Roman" w:hAnsi="Times New Roman" w:cs="Times New Roman"/>
                <w:color w:val="auto"/>
                <w:lang w:val="zh-CN"/>
              </w:rPr>
              <w:t>1</w:t>
            </w:r>
          </w:p>
        </w:tc>
      </w:tr>
      <w:tr>
        <w:tblPrEx>
          <w:tblCellMar>
            <w:top w:w="0" w:type="dxa"/>
            <w:left w:w="108" w:type="dxa"/>
            <w:bottom w:w="0" w:type="dxa"/>
            <w:right w:w="108" w:type="dxa"/>
          </w:tblCellMar>
        </w:tblPrEx>
        <w:trPr>
          <w:trHeight w:val="473" w:hRule="atLeast"/>
        </w:trPr>
        <w:tc>
          <w:tcPr>
            <w:tcW w:w="720" w:type="dxa"/>
            <w:vMerge w:val="continue"/>
            <w:tcBorders>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p>
        </w:tc>
        <w:tc>
          <w:tcPr>
            <w:tcW w:w="1075" w:type="dxa"/>
            <w:vMerge w:val="continue"/>
            <w:tcBorders>
              <w:left w:val="single" w:color="auto" w:sz="6" w:space="0"/>
              <w:bottom w:val="single" w:color="auto" w:sz="4"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rPr>
            </w:pPr>
          </w:p>
        </w:tc>
        <w:tc>
          <w:tcPr>
            <w:tcW w:w="1130" w:type="dxa"/>
            <w:tcBorders>
              <w:top w:val="single" w:color="auto" w:sz="6" w:space="0"/>
              <w:left w:val="single" w:color="auto" w:sz="4"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hint="eastAsia" w:ascii="Times New Roman" w:hAnsi="Times New Roman" w:cs="宋体"/>
                <w:color w:val="auto"/>
              </w:rPr>
              <w:t>柴油</w:t>
            </w:r>
          </w:p>
        </w:tc>
        <w:tc>
          <w:tcPr>
            <w:tcW w:w="1596"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spacing w:val="-10"/>
                <w:kern w:val="0"/>
              </w:rPr>
            </w:pPr>
            <w:r>
              <w:rPr>
                <w:rFonts w:hint="eastAsia" w:ascii="Times New Roman" w:hAnsi="Times New Roman" w:cs="宋体"/>
                <w:color w:val="auto"/>
                <w:lang w:val="zh-CN"/>
              </w:rPr>
              <w:t>易燃液体</w:t>
            </w:r>
          </w:p>
        </w:tc>
        <w:tc>
          <w:tcPr>
            <w:tcW w:w="1320"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ascii="Times New Roman" w:hAnsi="Times New Roman" w:cs="Times New Roman"/>
                <w:color w:val="auto"/>
              </w:rPr>
              <w:t>5000</w:t>
            </w:r>
          </w:p>
        </w:tc>
        <w:tc>
          <w:tcPr>
            <w:tcW w:w="125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hint="default" w:ascii="Times New Roman" w:hAnsi="Times New Roman" w:eastAsia="宋体" w:cs="Times New Roman"/>
                <w:color w:val="auto"/>
                <w:lang w:val="en-US" w:eastAsia="zh-CN"/>
              </w:rPr>
            </w:pPr>
            <w:r>
              <w:rPr>
                <w:rFonts w:ascii="Times New Roman" w:hAnsi="Times New Roman" w:cs="Times New Roman"/>
                <w:color w:val="auto"/>
              </w:rPr>
              <w:t>0.</w:t>
            </w:r>
            <w:r>
              <w:rPr>
                <w:rFonts w:hint="eastAsia" w:ascii="Times New Roman" w:hAnsi="Times New Roman" w:cs="Times New Roman"/>
                <w:color w:val="auto"/>
                <w:lang w:val="en-US" w:eastAsia="zh-CN"/>
              </w:rPr>
              <w:t>425</w:t>
            </w:r>
          </w:p>
        </w:tc>
        <w:tc>
          <w:tcPr>
            <w:tcW w:w="126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hint="default" w:ascii="Times New Roman" w:hAnsi="Times New Roman" w:eastAsia="宋体" w:cs="Times New Roman"/>
                <w:color w:val="auto"/>
                <w:kern w:val="0"/>
                <w:lang w:val="en-US" w:eastAsia="zh-CN"/>
              </w:rPr>
            </w:pPr>
            <w:r>
              <w:rPr>
                <w:rFonts w:ascii="Times New Roman" w:hAnsi="Times New Roman" w:cs="Times New Roman"/>
                <w:color w:val="auto"/>
                <w:kern w:val="0"/>
              </w:rPr>
              <w:t>0.0000</w:t>
            </w:r>
            <w:r>
              <w:rPr>
                <w:rFonts w:hint="eastAsia" w:ascii="Times New Roman" w:hAnsi="Times New Roman" w:cs="Times New Roman"/>
                <w:color w:val="auto"/>
                <w:kern w:val="0"/>
                <w:lang w:val="en-US" w:eastAsia="zh-CN"/>
              </w:rPr>
              <w:t>85</w:t>
            </w:r>
          </w:p>
        </w:tc>
        <w:tc>
          <w:tcPr>
            <w:tcW w:w="739"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w:t>
            </w:r>
            <w:r>
              <w:rPr>
                <w:rFonts w:ascii="Times New Roman" w:hAnsi="Times New Roman" w:cs="Times New Roman"/>
                <w:color w:val="auto"/>
                <w:lang w:val="zh-CN"/>
              </w:rPr>
              <w:t>1</w:t>
            </w:r>
          </w:p>
        </w:tc>
      </w:tr>
      <w:tr>
        <w:tblPrEx>
          <w:tblCellMar>
            <w:top w:w="0" w:type="dxa"/>
            <w:left w:w="108" w:type="dxa"/>
            <w:bottom w:w="0" w:type="dxa"/>
            <w:right w:w="108" w:type="dxa"/>
          </w:tblCellMar>
        </w:tblPrEx>
        <w:trPr>
          <w:trHeight w:val="491" w:hRule="atLeast"/>
        </w:trPr>
        <w:tc>
          <w:tcPr>
            <w:tcW w:w="1795"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合计</w:t>
            </w:r>
          </w:p>
        </w:tc>
        <w:tc>
          <w:tcPr>
            <w:tcW w:w="7301" w:type="dxa"/>
            <w:gridSpan w:val="6"/>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kern w:val="0"/>
              </w:rPr>
            </w:pPr>
            <w:r>
              <w:rPr>
                <w:rFonts w:ascii="Times New Roman" w:hAnsi="Times New Roman" w:cs="Times New Roman"/>
                <w:color w:val="auto"/>
                <w:kern w:val="0"/>
              </w:rPr>
              <w:t>0.0009</w:t>
            </w:r>
            <w:r>
              <w:rPr>
                <w:rFonts w:ascii="Times New Roman" w:hAnsi="Times New Roman" w:cs="Times New Roman"/>
                <w:color w:val="auto"/>
              </w:rPr>
              <w:t>+</w:t>
            </w:r>
            <w:r>
              <w:rPr>
                <w:rFonts w:ascii="Times New Roman" w:hAnsi="Times New Roman" w:cs="Times New Roman"/>
                <w:color w:val="auto"/>
                <w:kern w:val="0"/>
              </w:rPr>
              <w:t>0.000068</w:t>
            </w:r>
            <w:r>
              <w:rPr>
                <w:rFonts w:ascii="Times New Roman" w:hAnsi="Times New Roman" w:cs="Times New Roman"/>
                <w:color w:val="auto"/>
              </w:rPr>
              <w:t>=</w:t>
            </w:r>
            <w:r>
              <w:rPr>
                <w:rFonts w:ascii="Times New Roman" w:hAnsi="Times New Roman" w:cs="Times New Roman"/>
                <w:color w:val="auto"/>
                <w:kern w:val="0"/>
              </w:rPr>
              <w:t>0.000968</w:t>
            </w:r>
            <w:r>
              <w:rPr>
                <w:rFonts w:hint="eastAsia" w:ascii="Times New Roman" w:hAnsi="Times New Roman" w:cs="宋体"/>
                <w:color w:val="auto"/>
              </w:rPr>
              <w:t>＜</w:t>
            </w:r>
            <w:r>
              <w:rPr>
                <w:rFonts w:ascii="Times New Roman" w:hAnsi="Times New Roman" w:cs="Times New Roman"/>
                <w:color w:val="auto"/>
              </w:rPr>
              <w:t>1</w:t>
            </w:r>
            <w:r>
              <w:rPr>
                <w:rFonts w:hint="eastAsia" w:ascii="Times New Roman" w:hAnsi="Times New Roman" w:cs="宋体"/>
                <w:color w:val="auto"/>
              </w:rPr>
              <w:t>，不构成重大危险源</w:t>
            </w:r>
          </w:p>
        </w:tc>
      </w:tr>
    </w:tbl>
    <w:p>
      <w:pPr>
        <w:jc w:val="center"/>
        <w:rPr>
          <w:rFonts w:hint="eastAsia" w:ascii="Times New Roman" w:hAnsi="Times New Roman" w:cs="宋体"/>
          <w:b/>
          <w:bCs/>
          <w:color w:val="auto"/>
          <w:sz w:val="24"/>
          <w:szCs w:val="24"/>
          <w:lang w:val="zh-CN"/>
        </w:rPr>
      </w:pPr>
    </w:p>
    <w:p>
      <w:pPr>
        <w:jc w:val="center"/>
        <w:rPr>
          <w:rFonts w:ascii="Times New Roman" w:hAnsi="Times New Roman" w:cs="Times New Roman"/>
          <w:b/>
          <w:bCs/>
          <w:color w:val="auto"/>
          <w:sz w:val="24"/>
          <w:szCs w:val="24"/>
          <w:lang w:val="zh-CN"/>
        </w:rPr>
      </w:pP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 xml:space="preserve">3-4  </w:t>
      </w:r>
      <w:r>
        <w:rPr>
          <w:rFonts w:hint="eastAsia" w:ascii="Times New Roman" w:hAnsi="Times New Roman" w:cs="宋体"/>
          <w:b/>
          <w:bCs/>
          <w:color w:val="auto"/>
          <w:sz w:val="24"/>
          <w:szCs w:val="24"/>
          <w:lang w:val="zh-CN"/>
        </w:rPr>
        <w:t>储存单元单元危险化学品重大危险源辨识表</w:t>
      </w:r>
    </w:p>
    <w:tbl>
      <w:tblPr>
        <w:tblStyle w:val="20"/>
        <w:tblW w:w="9137" w:type="dxa"/>
        <w:tblInd w:w="2" w:type="dxa"/>
        <w:tblLayout w:type="fixed"/>
        <w:tblCellMar>
          <w:top w:w="0" w:type="dxa"/>
          <w:left w:w="108" w:type="dxa"/>
          <w:bottom w:w="0" w:type="dxa"/>
          <w:right w:w="108" w:type="dxa"/>
        </w:tblCellMar>
      </w:tblPr>
      <w:tblGrid>
        <w:gridCol w:w="763"/>
        <w:gridCol w:w="1049"/>
        <w:gridCol w:w="1134"/>
        <w:gridCol w:w="1583"/>
        <w:gridCol w:w="1326"/>
        <w:gridCol w:w="1258"/>
        <w:gridCol w:w="1135"/>
        <w:gridCol w:w="889"/>
      </w:tblGrid>
      <w:tr>
        <w:tblPrEx>
          <w:tblCellMar>
            <w:top w:w="0" w:type="dxa"/>
            <w:left w:w="108" w:type="dxa"/>
            <w:bottom w:w="0" w:type="dxa"/>
            <w:right w:w="108" w:type="dxa"/>
          </w:tblCellMar>
        </w:tblPrEx>
        <w:trPr>
          <w:trHeight w:val="490" w:hRule="atLeast"/>
        </w:trPr>
        <w:tc>
          <w:tcPr>
            <w:tcW w:w="76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序号</w:t>
            </w:r>
          </w:p>
        </w:tc>
        <w:tc>
          <w:tcPr>
            <w:tcW w:w="1049" w:type="dxa"/>
            <w:tcBorders>
              <w:top w:val="single" w:color="auto" w:sz="6" w:space="0"/>
              <w:left w:val="single" w:color="auto" w:sz="6" w:space="0"/>
              <w:bottom w:val="single" w:color="auto" w:sz="4"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单元</w:t>
            </w:r>
          </w:p>
        </w:tc>
        <w:tc>
          <w:tcPr>
            <w:tcW w:w="1134" w:type="dxa"/>
            <w:tcBorders>
              <w:top w:val="single" w:color="auto" w:sz="6" w:space="0"/>
              <w:left w:val="single" w:color="auto" w:sz="4"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物质</w:t>
            </w:r>
          </w:p>
        </w:tc>
        <w:tc>
          <w:tcPr>
            <w:tcW w:w="158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rPr>
                <w:rFonts w:ascii="Times New Roman" w:hAnsi="Times New Roman" w:cs="Times New Roman"/>
                <w:color w:val="auto"/>
                <w:lang w:val="zh-CN"/>
              </w:rPr>
            </w:pPr>
            <w:r>
              <w:rPr>
                <w:rFonts w:hint="eastAsia" w:ascii="Times New Roman" w:hAnsi="Times New Roman" w:cs="宋体"/>
                <w:color w:val="auto"/>
                <w:lang w:val="zh-CN"/>
              </w:rPr>
              <w:t>危险性分类</w:t>
            </w:r>
          </w:p>
        </w:tc>
        <w:tc>
          <w:tcPr>
            <w:tcW w:w="1326"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rPr>
              <w:t>临界量（</w:t>
            </w:r>
            <w:r>
              <w:rPr>
                <w:rFonts w:ascii="Times New Roman" w:hAnsi="Times New Roman" w:cs="Times New Roman"/>
                <w:color w:val="auto"/>
                <w:lang w:val="zh-CN"/>
              </w:rPr>
              <w:t>t</w:t>
            </w:r>
            <w:r>
              <w:rPr>
                <w:rFonts w:hint="eastAsia" w:ascii="Times New Roman" w:hAnsi="Times New Roman" w:cs="宋体"/>
                <w:color w:val="auto"/>
              </w:rPr>
              <w:t>）</w:t>
            </w:r>
          </w:p>
        </w:tc>
        <w:tc>
          <w:tcPr>
            <w:tcW w:w="1258"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存在量</w:t>
            </w:r>
            <w:r>
              <w:rPr>
                <w:rFonts w:hint="eastAsia" w:ascii="Times New Roman" w:hAnsi="Times New Roman" w:cs="宋体"/>
                <w:color w:val="auto"/>
              </w:rPr>
              <w:t>（</w:t>
            </w:r>
            <w:r>
              <w:rPr>
                <w:rFonts w:ascii="Times New Roman" w:hAnsi="Times New Roman" w:cs="Times New Roman"/>
                <w:color w:val="auto"/>
                <w:lang w:val="zh-CN"/>
              </w:rPr>
              <w:t>t</w:t>
            </w:r>
            <w:r>
              <w:rPr>
                <w:rFonts w:hint="eastAsia" w:ascii="Times New Roman" w:hAnsi="Times New Roman" w:cs="宋体"/>
                <w:color w:val="auto"/>
              </w:rPr>
              <w:t>）</w:t>
            </w:r>
          </w:p>
        </w:tc>
        <w:tc>
          <w:tcPr>
            <w:tcW w:w="1135"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ascii="Times New Roman" w:hAnsi="Times New Roman" w:cs="Times New Roman"/>
                <w:color w:val="auto"/>
                <w:kern w:val="0"/>
              </w:rPr>
              <w:t>qn/Qn</w:t>
            </w:r>
          </w:p>
        </w:tc>
        <w:tc>
          <w:tcPr>
            <w:tcW w:w="889"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rPr>
              <w:t>辨识</w:t>
            </w:r>
          </w:p>
        </w:tc>
      </w:tr>
      <w:tr>
        <w:tblPrEx>
          <w:tblCellMar>
            <w:top w:w="0" w:type="dxa"/>
            <w:left w:w="108" w:type="dxa"/>
            <w:bottom w:w="0" w:type="dxa"/>
            <w:right w:w="108" w:type="dxa"/>
          </w:tblCellMar>
        </w:tblPrEx>
        <w:trPr>
          <w:trHeight w:val="490" w:hRule="atLeast"/>
        </w:trPr>
        <w:tc>
          <w:tcPr>
            <w:tcW w:w="763" w:type="dxa"/>
            <w:vMerge w:val="restart"/>
            <w:tcBorders>
              <w:top w:val="single" w:color="auto" w:sz="6" w:space="0"/>
              <w:left w:val="single" w:color="auto" w:sz="6"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ascii="Times New Roman" w:hAnsi="Times New Roman" w:cs="Times New Roman"/>
                <w:color w:val="auto"/>
              </w:rPr>
              <w:t>1</w:t>
            </w:r>
          </w:p>
        </w:tc>
        <w:tc>
          <w:tcPr>
            <w:tcW w:w="1049" w:type="dxa"/>
            <w:vMerge w:val="restart"/>
            <w:tcBorders>
              <w:top w:val="single" w:color="auto" w:sz="6" w:space="0"/>
              <w:left w:val="single" w:color="auto" w:sz="6"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hint="eastAsia" w:ascii="Times New Roman" w:hAnsi="Times New Roman" w:cs="宋体"/>
                <w:color w:val="auto"/>
              </w:rPr>
              <w:t>储罐区</w:t>
            </w:r>
          </w:p>
        </w:tc>
        <w:tc>
          <w:tcPr>
            <w:tcW w:w="1134" w:type="dxa"/>
            <w:tcBorders>
              <w:top w:val="single" w:color="auto" w:sz="6" w:space="0"/>
              <w:left w:val="single" w:color="auto" w:sz="4"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hint="eastAsia" w:ascii="Times New Roman" w:hAnsi="Times New Roman" w:cs="宋体"/>
                <w:color w:val="auto"/>
              </w:rPr>
              <w:t>汽油</w:t>
            </w:r>
          </w:p>
        </w:tc>
        <w:tc>
          <w:tcPr>
            <w:tcW w:w="158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spacing w:val="-10"/>
                <w:kern w:val="0"/>
              </w:rPr>
            </w:pPr>
            <w:r>
              <w:rPr>
                <w:rFonts w:hint="eastAsia" w:ascii="Times New Roman" w:hAnsi="Times New Roman" w:cs="宋体"/>
                <w:color w:val="auto"/>
                <w:lang w:val="zh-CN"/>
              </w:rPr>
              <w:t>易燃液体</w:t>
            </w:r>
          </w:p>
        </w:tc>
        <w:tc>
          <w:tcPr>
            <w:tcW w:w="1326"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ascii="Times New Roman" w:hAnsi="Times New Roman" w:cs="Times New Roman"/>
                <w:color w:val="auto"/>
                <w:lang w:val="zh-CN"/>
              </w:rPr>
              <w:t>200</w:t>
            </w:r>
          </w:p>
        </w:tc>
        <w:tc>
          <w:tcPr>
            <w:tcW w:w="1258"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60</w:t>
            </w:r>
          </w:p>
        </w:tc>
        <w:tc>
          <w:tcPr>
            <w:tcW w:w="1135"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hint="eastAsia" w:ascii="Times New Roman" w:hAnsi="Times New Roman" w:eastAsia="宋体" w:cs="Times New Roman"/>
                <w:color w:val="auto"/>
                <w:kern w:val="0"/>
                <w:lang w:eastAsia="zh-CN"/>
              </w:rPr>
            </w:pPr>
            <w:r>
              <w:rPr>
                <w:rFonts w:ascii="Times New Roman" w:hAnsi="Times New Roman" w:cs="Times New Roman"/>
                <w:color w:val="auto"/>
                <w:kern w:val="0"/>
              </w:rPr>
              <w:t>0.</w:t>
            </w:r>
            <w:r>
              <w:rPr>
                <w:rFonts w:hint="eastAsia" w:ascii="Times New Roman" w:hAnsi="Times New Roman" w:cs="Times New Roman"/>
                <w:color w:val="auto"/>
                <w:kern w:val="0"/>
                <w:lang w:val="en-US" w:eastAsia="zh-CN"/>
              </w:rPr>
              <w:t>3</w:t>
            </w:r>
          </w:p>
        </w:tc>
        <w:tc>
          <w:tcPr>
            <w:tcW w:w="889"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w:t>
            </w:r>
            <w:r>
              <w:rPr>
                <w:rFonts w:ascii="Times New Roman" w:hAnsi="Times New Roman" w:cs="Times New Roman"/>
                <w:color w:val="auto"/>
                <w:lang w:val="zh-CN"/>
              </w:rPr>
              <w:t>1</w:t>
            </w:r>
          </w:p>
        </w:tc>
      </w:tr>
      <w:tr>
        <w:tblPrEx>
          <w:tblCellMar>
            <w:top w:w="0" w:type="dxa"/>
            <w:left w:w="108" w:type="dxa"/>
            <w:bottom w:w="0" w:type="dxa"/>
            <w:right w:w="108" w:type="dxa"/>
          </w:tblCellMar>
        </w:tblPrEx>
        <w:trPr>
          <w:trHeight w:val="490" w:hRule="atLeast"/>
        </w:trPr>
        <w:tc>
          <w:tcPr>
            <w:tcW w:w="763" w:type="dxa"/>
            <w:vMerge w:val="continue"/>
            <w:tcBorders>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p>
        </w:tc>
        <w:tc>
          <w:tcPr>
            <w:tcW w:w="1049" w:type="dxa"/>
            <w:vMerge w:val="continue"/>
            <w:tcBorders>
              <w:left w:val="single" w:color="auto" w:sz="6" w:space="0"/>
              <w:bottom w:val="single" w:color="auto" w:sz="4"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rPr>
            </w:pPr>
          </w:p>
        </w:tc>
        <w:tc>
          <w:tcPr>
            <w:tcW w:w="1134" w:type="dxa"/>
            <w:tcBorders>
              <w:top w:val="single" w:color="auto" w:sz="6" w:space="0"/>
              <w:left w:val="single" w:color="auto" w:sz="4"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hint="eastAsia" w:ascii="Times New Roman" w:hAnsi="Times New Roman" w:cs="宋体"/>
                <w:color w:val="auto"/>
              </w:rPr>
              <w:t>柴油</w:t>
            </w:r>
          </w:p>
        </w:tc>
        <w:tc>
          <w:tcPr>
            <w:tcW w:w="1583"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spacing w:val="-10"/>
                <w:kern w:val="0"/>
              </w:rPr>
            </w:pPr>
            <w:r>
              <w:rPr>
                <w:rFonts w:hint="eastAsia" w:ascii="Times New Roman" w:hAnsi="Times New Roman" w:cs="宋体"/>
                <w:color w:val="auto"/>
                <w:lang w:val="zh-CN"/>
              </w:rPr>
              <w:t>易燃液体</w:t>
            </w:r>
          </w:p>
        </w:tc>
        <w:tc>
          <w:tcPr>
            <w:tcW w:w="1326"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rPr>
            </w:pPr>
            <w:r>
              <w:rPr>
                <w:rFonts w:ascii="Times New Roman" w:hAnsi="Times New Roman" w:cs="Times New Roman"/>
                <w:color w:val="auto"/>
              </w:rPr>
              <w:t>5000</w:t>
            </w:r>
          </w:p>
        </w:tc>
        <w:tc>
          <w:tcPr>
            <w:tcW w:w="1258"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42.5</w:t>
            </w:r>
          </w:p>
        </w:tc>
        <w:tc>
          <w:tcPr>
            <w:tcW w:w="1135"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hint="default" w:ascii="Times New Roman" w:hAnsi="Times New Roman" w:eastAsia="宋体" w:cs="Times New Roman"/>
                <w:color w:val="auto"/>
                <w:kern w:val="0"/>
                <w:lang w:val="en-US" w:eastAsia="zh-CN"/>
              </w:rPr>
            </w:pPr>
            <w:r>
              <w:rPr>
                <w:rFonts w:ascii="Times New Roman" w:hAnsi="Times New Roman" w:cs="Times New Roman"/>
                <w:color w:val="auto"/>
                <w:kern w:val="0"/>
              </w:rPr>
              <w:t>0.0</w:t>
            </w:r>
            <w:r>
              <w:rPr>
                <w:rFonts w:hint="eastAsia" w:ascii="Times New Roman" w:hAnsi="Times New Roman" w:cs="Times New Roman"/>
                <w:color w:val="auto"/>
                <w:kern w:val="0"/>
                <w:lang w:val="en-US" w:eastAsia="zh-CN"/>
              </w:rPr>
              <w:t>085</w:t>
            </w:r>
          </w:p>
        </w:tc>
        <w:tc>
          <w:tcPr>
            <w:tcW w:w="889"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w:t>
            </w:r>
            <w:r>
              <w:rPr>
                <w:rFonts w:ascii="Times New Roman" w:hAnsi="Times New Roman" w:cs="Times New Roman"/>
                <w:color w:val="auto"/>
                <w:lang w:val="zh-CN"/>
              </w:rPr>
              <w:t>1</w:t>
            </w:r>
          </w:p>
        </w:tc>
      </w:tr>
      <w:tr>
        <w:tblPrEx>
          <w:tblCellMar>
            <w:top w:w="0" w:type="dxa"/>
            <w:left w:w="108" w:type="dxa"/>
            <w:bottom w:w="0" w:type="dxa"/>
            <w:right w:w="108" w:type="dxa"/>
          </w:tblCellMar>
        </w:tblPrEx>
        <w:trPr>
          <w:trHeight w:val="508" w:hRule="atLeast"/>
        </w:trPr>
        <w:tc>
          <w:tcPr>
            <w:tcW w:w="1812"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lang w:val="zh-CN"/>
              </w:rPr>
            </w:pPr>
            <w:r>
              <w:rPr>
                <w:rFonts w:hint="eastAsia" w:ascii="Times New Roman" w:hAnsi="Times New Roman" w:cs="宋体"/>
                <w:color w:val="auto"/>
                <w:lang w:val="zh-CN"/>
              </w:rPr>
              <w:t>合计</w:t>
            </w:r>
          </w:p>
        </w:tc>
        <w:tc>
          <w:tcPr>
            <w:tcW w:w="7325" w:type="dxa"/>
            <w:gridSpan w:val="6"/>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spacing w:line="400" w:lineRule="exact"/>
              <w:jc w:val="center"/>
              <w:rPr>
                <w:rFonts w:ascii="Times New Roman" w:hAnsi="Times New Roman" w:cs="Times New Roman"/>
                <w:color w:val="auto"/>
                <w:kern w:val="0"/>
              </w:rPr>
            </w:pPr>
            <w:r>
              <w:rPr>
                <w:rFonts w:ascii="Times New Roman" w:hAnsi="Times New Roman" w:cs="Times New Roman"/>
                <w:color w:val="auto"/>
                <w:kern w:val="0"/>
              </w:rPr>
              <w:t>0.</w:t>
            </w:r>
            <w:r>
              <w:rPr>
                <w:rFonts w:hint="eastAsia" w:ascii="Times New Roman" w:hAnsi="Times New Roman" w:cs="Times New Roman"/>
                <w:color w:val="auto"/>
                <w:kern w:val="0"/>
                <w:lang w:val="en-US" w:eastAsia="zh-CN"/>
              </w:rPr>
              <w:t>3</w:t>
            </w:r>
            <w:r>
              <w:rPr>
                <w:rFonts w:ascii="Times New Roman" w:hAnsi="Times New Roman" w:cs="Times New Roman"/>
                <w:color w:val="auto"/>
              </w:rPr>
              <w:t>+</w:t>
            </w:r>
            <w:r>
              <w:rPr>
                <w:rFonts w:hint="eastAsia" w:ascii="Times New Roman" w:hAnsi="Times New Roman" w:cs="Times New Roman"/>
                <w:color w:val="auto"/>
                <w:kern w:val="0"/>
              </w:rPr>
              <w:t>0.0085</w:t>
            </w:r>
            <w:r>
              <w:rPr>
                <w:rFonts w:ascii="Times New Roman" w:hAnsi="Times New Roman" w:cs="Times New Roman"/>
                <w:color w:val="auto"/>
                <w:kern w:val="0"/>
              </w:rPr>
              <w:t>=0.</w:t>
            </w:r>
            <w:r>
              <w:rPr>
                <w:rFonts w:hint="eastAsia" w:ascii="Times New Roman" w:hAnsi="Times New Roman" w:cs="Times New Roman"/>
                <w:color w:val="auto"/>
                <w:kern w:val="0"/>
                <w:lang w:val="en-US" w:eastAsia="zh-CN"/>
              </w:rPr>
              <w:t>3085</w:t>
            </w:r>
            <w:r>
              <w:rPr>
                <w:rFonts w:hint="eastAsia" w:ascii="Times New Roman" w:hAnsi="Times New Roman" w:cs="宋体"/>
                <w:color w:val="auto"/>
              </w:rPr>
              <w:t>＜</w:t>
            </w:r>
            <w:r>
              <w:rPr>
                <w:rFonts w:ascii="Times New Roman" w:hAnsi="Times New Roman" w:cs="Times New Roman"/>
                <w:color w:val="auto"/>
              </w:rPr>
              <w:t>1</w:t>
            </w:r>
            <w:r>
              <w:rPr>
                <w:rFonts w:hint="eastAsia" w:ascii="Times New Roman" w:hAnsi="Times New Roman" w:cs="宋体"/>
                <w:color w:val="auto"/>
              </w:rPr>
              <w:t>，不构成重大危险源</w:t>
            </w:r>
          </w:p>
        </w:tc>
      </w:tr>
    </w:tbl>
    <w:p>
      <w:pPr>
        <w:tabs>
          <w:tab w:val="left" w:pos="5535"/>
        </w:tabs>
        <w:spacing w:line="600" w:lineRule="exact"/>
        <w:ind w:firstLine="560" w:firstLineChars="200"/>
        <w:rPr>
          <w:rFonts w:ascii="Times New Roman" w:hAnsi="Times New Roman" w:cs="Times New Roman"/>
          <w:b/>
          <w:bCs/>
          <w:color w:val="auto"/>
          <w:sz w:val="28"/>
          <w:szCs w:val="28"/>
        </w:rPr>
      </w:pPr>
      <w:r>
        <w:rPr>
          <w:rFonts w:hint="eastAsia" w:ascii="Times New Roman" w:hAnsi="Times New Roman" w:cs="宋体"/>
          <w:color w:val="auto"/>
          <w:sz w:val="28"/>
          <w:szCs w:val="28"/>
        </w:rPr>
        <w:t>由上表可知，本站油储罐区和加油区均未超过《危险化学品重大危险源辨识》规定的临界量，生产单元及储存单元</w:t>
      </w:r>
      <w:r>
        <w:rPr>
          <w:rFonts w:hint="eastAsia" w:ascii="Times New Roman" w:hAnsi="Times New Roman" w:cs="宋体"/>
          <w:b/>
          <w:bCs/>
          <w:color w:val="auto"/>
          <w:sz w:val="28"/>
          <w:szCs w:val="28"/>
        </w:rPr>
        <w:t>不构成重大危险源。</w:t>
      </w:r>
    </w:p>
    <w:p>
      <w:pPr>
        <w:keepNext/>
        <w:keepLines/>
        <w:spacing w:line="600" w:lineRule="exact"/>
        <w:outlineLvl w:val="1"/>
        <w:rPr>
          <w:rFonts w:ascii="Times New Roman" w:hAnsi="Times New Roman" w:cs="Times New Roman"/>
          <w:b/>
          <w:bCs/>
          <w:color w:val="auto"/>
          <w:sz w:val="28"/>
          <w:szCs w:val="28"/>
        </w:rPr>
      </w:pPr>
      <w:bookmarkStart w:id="65" w:name="_Toc9706"/>
      <w:bookmarkStart w:id="66" w:name="_Toc13406"/>
      <w:bookmarkStart w:id="67" w:name="_Toc32342"/>
      <w:bookmarkStart w:id="68" w:name="_Toc343692253"/>
      <w:bookmarkStart w:id="69" w:name="_Toc2893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65"/>
      <w:bookmarkEnd w:id="66"/>
      <w:bookmarkEnd w:id="67"/>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各类及形式看，主要有火灾、爆炸、电气事故以及中毒等。</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lang w:eastAsia="zh-CN"/>
        </w:rPr>
        <w:t>GB/T13861-2022</w:t>
      </w:r>
      <w:r>
        <w:rPr>
          <w:rFonts w:hint="eastAsia" w:ascii="Times New Roman" w:hAnsi="Times New Roman" w:cs="宋体"/>
          <w:color w:val="auto"/>
          <w:spacing w:val="-4"/>
          <w:sz w:val="28"/>
          <w:szCs w:val="28"/>
        </w:rPr>
        <w:t>）的规定，本项目存在以下四类危险、有害因素。</w:t>
      </w:r>
    </w:p>
    <w:p>
      <w:pPr>
        <w:numPr>
          <w:ilvl w:val="0"/>
          <w:numId w:val="2"/>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的制止。因此，加油站的行为性危险、有害因素多表现在外来人员中。</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本项目标志缺陷主要可能在于未设置警示标志或标志不规范等。</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ascii="Times New Roman" w:hAnsi="Times New Roman" w:cs="Times New Roman"/>
          <w:color w:val="auto"/>
          <w:spacing w:val="-6"/>
          <w:sz w:val="28"/>
          <w:szCs w:val="28"/>
        </w:rPr>
        <w:t>-</w:t>
      </w:r>
      <w:r>
        <w:rPr>
          <w:rFonts w:hint="eastAsia" w:ascii="Times New Roman" w:hAnsi="Times New Roman" w:cs="宋体"/>
          <w:color w:val="auto"/>
          <w:spacing w:val="-6"/>
          <w:sz w:val="28"/>
          <w:szCs w:val="28"/>
        </w:rPr>
        <w:t>急性危害</w:t>
      </w:r>
      <w:r>
        <w:rPr>
          <w:rFonts w:ascii="Times New Roman" w:hAnsi="Times New Roman" w:cs="Times New Roman"/>
          <w:color w:val="auto"/>
          <w:spacing w:val="-6"/>
          <w:sz w:val="28"/>
          <w:szCs w:val="28"/>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ascii="Times New Roman" w:hAnsi="Times New Roman" w:cs="Times New Roman"/>
          <w:color w:val="auto"/>
          <w:spacing w:val="-6"/>
          <w:sz w:val="28"/>
          <w:szCs w:val="28"/>
        </w:rPr>
        <w:t>-</w:t>
      </w:r>
      <w:r>
        <w:rPr>
          <w:rFonts w:hint="eastAsia" w:ascii="Times New Roman" w:hAnsi="Times New Roman" w:cs="宋体"/>
          <w:color w:val="auto"/>
          <w:spacing w:val="-6"/>
          <w:sz w:val="28"/>
          <w:szCs w:val="28"/>
        </w:rPr>
        <w:t>长期危害</w:t>
      </w:r>
      <w:r>
        <w:rPr>
          <w:rFonts w:ascii="Times New Roman" w:hAnsi="Times New Roman" w:cs="Times New Roman"/>
          <w:color w:val="auto"/>
          <w:spacing w:val="-6"/>
          <w:sz w:val="28"/>
          <w:szCs w:val="28"/>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lang w:val="en-US" w:eastAsia="zh-CN"/>
        </w:rPr>
        <w:t>尿素</w:t>
      </w:r>
      <w:r>
        <w:rPr>
          <w:rFonts w:hint="default" w:ascii="Times New Roman" w:hAnsi="Times New Roman" w:cs="宋体"/>
          <w:color w:val="auto"/>
          <w:sz w:val="28"/>
          <w:szCs w:val="28"/>
          <w:lang w:val="en-US" w:eastAsia="zh-CN"/>
        </w:rPr>
        <w:t>遇明火、高热可燃。与次氯酸钠、次氯酸钙反应生成有爆炸性的三氯化氮。</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尿素</w:t>
      </w:r>
      <w:r>
        <w:rPr>
          <w:rFonts w:hint="default" w:ascii="Times New Roman" w:hAnsi="Times New Roman" w:cs="宋体"/>
          <w:color w:val="auto"/>
          <w:sz w:val="28"/>
          <w:szCs w:val="28"/>
          <w:lang w:val="en-US" w:eastAsia="zh-CN"/>
        </w:rPr>
        <w:t>属微毒类</w:t>
      </w:r>
      <w:r>
        <w:rPr>
          <w:rFonts w:hint="eastAsia" w:ascii="Times New Roman" w:hAnsi="Times New Roman" w:cs="宋体"/>
          <w:color w:val="auto"/>
          <w:sz w:val="28"/>
          <w:szCs w:val="28"/>
          <w:lang w:val="en-US" w:eastAsia="zh-CN"/>
        </w:rPr>
        <w:t>物质，</w:t>
      </w:r>
      <w:r>
        <w:rPr>
          <w:rFonts w:hint="default" w:ascii="Times New Roman" w:hAnsi="Times New Roman" w:cs="宋体"/>
          <w:color w:val="auto"/>
          <w:sz w:val="28"/>
          <w:szCs w:val="28"/>
          <w:lang w:val="en-US" w:eastAsia="zh-CN"/>
        </w:rPr>
        <w:t>对眼睛、皮肤和粘膜有刺激作用。受高热分解放出有毒的气体。</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pPr>
        <w:keepNext/>
        <w:keepLines/>
        <w:spacing w:line="600" w:lineRule="exact"/>
        <w:outlineLvl w:val="1"/>
        <w:rPr>
          <w:rFonts w:ascii="Times New Roman" w:hAnsi="Times New Roman" w:cs="Times New Roman"/>
          <w:b/>
          <w:bCs/>
          <w:color w:val="auto"/>
          <w:sz w:val="28"/>
          <w:szCs w:val="28"/>
        </w:rPr>
      </w:pPr>
      <w:bookmarkStart w:id="70" w:name="_Toc17404"/>
      <w:bookmarkStart w:id="71" w:name="_Toc1602"/>
      <w:bookmarkStart w:id="72" w:name="_Toc20706"/>
      <w:bookmarkStart w:id="73" w:name="_Toc16859"/>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70"/>
      <w:bookmarkEnd w:id="71"/>
      <w:bookmarkEnd w:id="72"/>
      <w:bookmarkEnd w:id="73"/>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通过对该企业提供的有关资料的分析，结合现场调研和类比企业装置现场调查、了解的资料分析，按照《企业职工伤亡事故分类》</w:t>
      </w:r>
      <w:r>
        <w:rPr>
          <w:rFonts w:ascii="Times New Roman" w:hAnsi="Times New Roman" w:cs="Times New Roman"/>
          <w:color w:val="auto"/>
          <w:spacing w:val="-8"/>
          <w:sz w:val="28"/>
          <w:szCs w:val="28"/>
        </w:rPr>
        <w:t>GB6441-1986</w:t>
      </w:r>
      <w:r>
        <w:rPr>
          <w:rFonts w:hint="eastAsia" w:ascii="Times New Roman" w:hAnsi="Times New Roman" w:cs="宋体"/>
          <w:color w:val="auto"/>
          <w:spacing w:val="-8"/>
          <w:sz w:val="28"/>
          <w:szCs w:val="28"/>
        </w:rPr>
        <w:t>的规定，对本项目存在危险因素归纳汇总。各单元危险性具体分析见</w:t>
      </w:r>
      <w:r>
        <w:rPr>
          <w:rFonts w:hint="eastAsia" w:ascii="Times New Roman" w:hAnsi="Times New Roman" w:cs="宋体"/>
          <w:color w:val="auto"/>
          <w:spacing w:val="-8"/>
          <w:sz w:val="28"/>
          <w:szCs w:val="28"/>
          <w:lang w:val="en-US" w:eastAsia="zh-CN"/>
        </w:rPr>
        <w:t>危险性</w:t>
      </w:r>
      <w:r>
        <w:rPr>
          <w:rFonts w:hint="eastAsia" w:ascii="Times New Roman" w:hAnsi="Times New Roman" w:cs="宋体"/>
          <w:color w:val="auto"/>
          <w:spacing w:val="-8"/>
          <w:sz w:val="28"/>
          <w:szCs w:val="28"/>
        </w:rPr>
        <w:t>分析</w:t>
      </w:r>
      <w:r>
        <w:rPr>
          <w:rFonts w:hint="eastAsia" w:ascii="Times New Roman" w:hAnsi="Times New Roman" w:cs="宋体"/>
          <w:color w:val="auto"/>
          <w:spacing w:val="-8"/>
          <w:sz w:val="28"/>
          <w:szCs w:val="28"/>
          <w:lang w:val="en-US" w:eastAsia="zh-CN"/>
        </w:rPr>
        <w:t>评价</w:t>
      </w:r>
      <w:r>
        <w:rPr>
          <w:rFonts w:hint="eastAsia" w:ascii="Times New Roman" w:hAnsi="Times New Roman" w:cs="宋体"/>
          <w:color w:val="auto"/>
          <w:spacing w:val="-8"/>
          <w:sz w:val="28"/>
          <w:szCs w:val="28"/>
        </w:rPr>
        <w:t>。</w:t>
      </w:r>
    </w:p>
    <w:p>
      <w:pPr>
        <w:widowControl/>
        <w:spacing w:line="600" w:lineRule="exact"/>
        <w:outlineLvl w:val="2"/>
        <w:rPr>
          <w:rFonts w:ascii="Times New Roman" w:hAnsi="Times New Roman" w:cs="Times New Roman"/>
          <w:b/>
          <w:bCs/>
          <w:color w:val="auto"/>
          <w:kern w:val="0"/>
          <w:sz w:val="28"/>
          <w:szCs w:val="28"/>
        </w:rPr>
      </w:pPr>
      <w:bookmarkStart w:id="74" w:name="_Toc12873"/>
      <w:bookmarkStart w:id="75" w:name="_Toc16083"/>
      <w:bookmarkStart w:id="76" w:name="_Toc9570"/>
      <w:r>
        <w:rPr>
          <w:rFonts w:ascii="Times New Roman" w:hAnsi="Times New Roman" w:cs="Times New Roman"/>
          <w:b/>
          <w:bCs/>
          <w:color w:val="auto"/>
          <w:kern w:val="0"/>
          <w:sz w:val="28"/>
          <w:szCs w:val="28"/>
        </w:rPr>
        <w:t>3.5.1</w:t>
      </w:r>
      <w:r>
        <w:rPr>
          <w:rFonts w:hint="eastAsia" w:ascii="Times New Roman" w:hAnsi="Times New Roman" w:cs="宋体"/>
          <w:b/>
          <w:bCs/>
          <w:color w:val="auto"/>
          <w:kern w:val="0"/>
          <w:sz w:val="28"/>
          <w:szCs w:val="28"/>
        </w:rPr>
        <w:t>火灾、爆炸危险因素</w:t>
      </w:r>
      <w:bookmarkEnd w:id="74"/>
      <w:bookmarkEnd w:id="75"/>
      <w:bookmarkEnd w:id="76"/>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汽油具有燃烧、爆炸性、且其闪点低，自燃温度低、又属挥发性物质。柴油为易燃物质，可能发生火灾事故。其发生火灾、爆炸可能性有：</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、泄漏：</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）储罐因长期使用，罐体腐蚀而产生穿孔、破裂，从而大量泄漏；</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）管道因长期使用，管壁腐蚀而产生穿孔、破裂；</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）管道焊接处焊接质量差发生裂缝而产生泄漏；</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）管道、法兰连接处垫子长期使用老化发生泄漏；</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）加油机管道连接不牢而发生泄漏；</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6</w:t>
      </w:r>
      <w:r>
        <w:rPr>
          <w:rFonts w:hint="eastAsia" w:ascii="Times New Roman" w:hAnsi="Times New Roman" w:cs="宋体"/>
          <w:color w:val="auto"/>
          <w:sz w:val="28"/>
          <w:szCs w:val="28"/>
        </w:rPr>
        <w:t>）储罐受外界热辐射的影响，罐体温度过高，从而从呼吸管中呼出大量油气；</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7</w:t>
      </w:r>
      <w:r>
        <w:rPr>
          <w:rFonts w:hint="eastAsia" w:ascii="Times New Roman" w:hAnsi="Times New Roman" w:cs="宋体"/>
          <w:color w:val="auto"/>
          <w:sz w:val="28"/>
          <w:szCs w:val="28"/>
        </w:rPr>
        <w:t>）卸油、加油过程中的油气挥发；</w:t>
      </w:r>
    </w:p>
    <w:p>
      <w:pPr>
        <w:spacing w:line="600" w:lineRule="exact"/>
        <w:ind w:firstLine="544" w:firstLineChars="200"/>
        <w:rPr>
          <w:rFonts w:ascii="Times New Roman" w:hAnsi="Times New Roman" w:cs="Times New Roman"/>
          <w:color w:val="auto"/>
          <w:spacing w:val="-4"/>
        </w:rPr>
      </w:pPr>
      <w:r>
        <w:rPr>
          <w:rFonts w:hint="eastAsia" w:ascii="Times New Roman" w:hAnsi="Times New Roman" w:cs="宋体"/>
          <w:color w:val="auto"/>
          <w:spacing w:val="-4"/>
          <w:sz w:val="28"/>
          <w:szCs w:val="28"/>
        </w:rPr>
        <w:t>（</w:t>
      </w:r>
      <w:r>
        <w:rPr>
          <w:rFonts w:ascii="Times New Roman" w:hAnsi="Times New Roman" w:cs="Times New Roman"/>
          <w:color w:val="auto"/>
          <w:spacing w:val="-4"/>
          <w:sz w:val="28"/>
          <w:szCs w:val="28"/>
        </w:rPr>
        <w:t>8</w:t>
      </w:r>
      <w:r>
        <w:rPr>
          <w:rFonts w:hint="eastAsia" w:ascii="Times New Roman" w:hAnsi="Times New Roman" w:cs="宋体"/>
          <w:color w:val="auto"/>
          <w:spacing w:val="-4"/>
          <w:sz w:val="28"/>
          <w:szCs w:val="28"/>
        </w:rPr>
        <w:t>）车辆碰撞事故、加油车辆带枪启动、卸油车辆滑行等导致油品泄漏。</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、点火源</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）设备、管道、加油枪发生故障，出现磨擦、撞击等而产生火花。</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）电气绝缘失效，接触不良，过载、超压、短路引起电火花。</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）燃爆场合的防爆电气失效或接入非防爆电气等。</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）静电，包括液体流动产生的静电和人体静电；导除静电不良，发生静电放电。</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）防雷系统失效，出现雷电火花。</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6</w:t>
      </w:r>
      <w:r>
        <w:rPr>
          <w:rFonts w:hint="eastAsia" w:ascii="Times New Roman" w:hAnsi="Times New Roman" w:cs="宋体"/>
          <w:color w:val="auto"/>
          <w:sz w:val="28"/>
          <w:szCs w:val="28"/>
        </w:rPr>
        <w:t>）电缆、导线、其他电器设备接触不良发热升温；电缆、导线和其他电器设备过载、过流发热升温。</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、人的不安全行为</w:t>
      </w:r>
    </w:p>
    <w:p>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操作人员的违章作业，检修人员的违章行为。如违章用火动火，检修用的电焊、气焊、砂轮打磨、敲击、焚烧、清除杂物；外来人员违章带入火源，如吸烟、点打火机；手机、无线电话、对讲机等流散杂电能源发生火花等。</w:t>
      </w:r>
    </w:p>
    <w:p>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lang w:val="en-US" w:eastAsia="zh-CN"/>
        </w:rPr>
        <w:t>4、尿素</w:t>
      </w:r>
      <w:r>
        <w:rPr>
          <w:rFonts w:hint="default" w:ascii="Times New Roman" w:hAnsi="Times New Roman" w:cs="宋体"/>
          <w:color w:val="auto"/>
          <w:sz w:val="28"/>
          <w:szCs w:val="28"/>
          <w:lang w:val="en-US" w:eastAsia="zh-CN"/>
        </w:rPr>
        <w:t>遇明火、高热可燃。与次氯酸钠、次氯酸钙反应生成有爆炸性的三氯化氮。</w:t>
      </w:r>
    </w:p>
    <w:p>
      <w:pPr>
        <w:keepNext/>
        <w:keepLines/>
        <w:spacing w:line="600" w:lineRule="exact"/>
        <w:outlineLvl w:val="2"/>
        <w:rPr>
          <w:rFonts w:ascii="Times New Roman" w:hAnsi="Times New Roman" w:cs="Times New Roman"/>
          <w:b/>
          <w:bCs/>
          <w:color w:val="auto"/>
          <w:sz w:val="28"/>
          <w:szCs w:val="28"/>
        </w:rPr>
      </w:pPr>
      <w:bookmarkStart w:id="77" w:name="_Toc2329"/>
      <w:bookmarkStart w:id="78" w:name="_Toc25363"/>
      <w:bookmarkStart w:id="79" w:name="_Toc11288"/>
      <w:r>
        <w:rPr>
          <w:rFonts w:ascii="Times New Roman" w:hAnsi="Times New Roman" w:cs="Times New Roman"/>
          <w:b/>
          <w:bCs/>
          <w:color w:val="auto"/>
          <w:sz w:val="28"/>
          <w:szCs w:val="28"/>
        </w:rPr>
        <w:t>3.5.2</w:t>
      </w:r>
      <w:r>
        <w:rPr>
          <w:rFonts w:hint="eastAsia" w:ascii="Times New Roman" w:hAnsi="Times New Roman" w:cs="宋体"/>
          <w:b/>
          <w:bCs/>
          <w:color w:val="auto"/>
          <w:sz w:val="28"/>
          <w:szCs w:val="28"/>
        </w:rPr>
        <w:t>电气伤害</w:t>
      </w:r>
      <w:bookmarkEnd w:id="77"/>
      <w:bookmarkEnd w:id="78"/>
      <w:bookmarkEnd w:id="79"/>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电气伤害主要包括触电和电弧灼伤。</w:t>
      </w:r>
    </w:p>
    <w:p>
      <w:pPr>
        <w:adjustRightIn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项目中有用电设备，人体接触高、低压电源会造成触电伤害，雷击也可能产生类似的后果。如果设备开关本体缺陷、设备保护接地失效或操作失误，个人思想麻痹，防护缺陷，操作高压开关不使用绝缘工具，或非专业人员违章操作等，易发生人员触电事故。而电气布线及用电设备容易产生绝缘性能降低，甚至外壳带电，特别在多雨、潮湿、高温季节可能造成人身触电事故。</w:t>
      </w:r>
    </w:p>
    <w:p>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电弧灼伤主要表现在违章操作如带负荷送电或停电，绝缘损坏或人为造成短路，引发电弧可能造成电灼伤事故。电焊作业亦会引起电弧灼伤事故。</w:t>
      </w:r>
    </w:p>
    <w:p>
      <w:pPr>
        <w:keepNext/>
        <w:keepLines/>
        <w:spacing w:line="600" w:lineRule="exact"/>
        <w:outlineLvl w:val="2"/>
        <w:rPr>
          <w:rFonts w:ascii="Times New Roman" w:hAnsi="Times New Roman" w:cs="Times New Roman"/>
          <w:b/>
          <w:bCs/>
          <w:color w:val="auto"/>
          <w:sz w:val="28"/>
          <w:szCs w:val="28"/>
        </w:rPr>
      </w:pPr>
      <w:bookmarkStart w:id="80" w:name="_Toc29009"/>
      <w:bookmarkStart w:id="81" w:name="_Toc21419"/>
      <w:bookmarkStart w:id="82" w:name="_Toc25905"/>
      <w:r>
        <w:rPr>
          <w:rFonts w:ascii="Times New Roman" w:hAnsi="Times New Roman" w:cs="Times New Roman"/>
          <w:b/>
          <w:bCs/>
          <w:color w:val="auto"/>
          <w:sz w:val="28"/>
          <w:szCs w:val="28"/>
        </w:rPr>
        <w:t>3.5.3</w:t>
      </w:r>
      <w:r>
        <w:rPr>
          <w:rFonts w:hint="eastAsia" w:ascii="Times New Roman" w:hAnsi="Times New Roman" w:cs="宋体"/>
          <w:b/>
          <w:bCs/>
          <w:color w:val="auto"/>
          <w:sz w:val="28"/>
          <w:szCs w:val="28"/>
        </w:rPr>
        <w:t>车辆伤害</w:t>
      </w:r>
      <w:bookmarkEnd w:id="80"/>
      <w:bookmarkEnd w:id="81"/>
      <w:bookmarkEnd w:id="82"/>
    </w:p>
    <w:p>
      <w:pPr>
        <w:adjustRightIn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车辆伤害指企业机动车辆在行驶中引起的人体坠落和物体倒塌、飞落、挤压伤亡事故，站内加油、卸油汽车来往频繁，有可能因道路缺陷、安全标志不明或缺失、车辆故障、车辆违章行驶、驾驶员思想麻痹、加油员引导失当等原因，引发车辆伤害事故。</w:t>
      </w:r>
    </w:p>
    <w:p>
      <w:pPr>
        <w:keepNext/>
        <w:keepLines/>
        <w:spacing w:line="600" w:lineRule="exact"/>
        <w:outlineLvl w:val="2"/>
        <w:rPr>
          <w:rFonts w:ascii="Times New Roman" w:hAnsi="Times New Roman" w:cs="Times New Roman"/>
          <w:b/>
          <w:bCs/>
          <w:color w:val="auto"/>
          <w:sz w:val="28"/>
          <w:szCs w:val="28"/>
        </w:rPr>
      </w:pPr>
      <w:bookmarkStart w:id="83" w:name="_Toc27058"/>
      <w:bookmarkStart w:id="84" w:name="_Toc1386"/>
      <w:bookmarkStart w:id="85" w:name="_Toc13349"/>
      <w:r>
        <w:rPr>
          <w:rFonts w:ascii="Times New Roman" w:hAnsi="Times New Roman" w:cs="Times New Roman"/>
          <w:b/>
          <w:bCs/>
          <w:color w:val="auto"/>
          <w:sz w:val="28"/>
          <w:szCs w:val="28"/>
        </w:rPr>
        <w:t>3.5.4</w:t>
      </w:r>
      <w:r>
        <w:rPr>
          <w:rFonts w:hint="eastAsia" w:ascii="Times New Roman" w:hAnsi="Times New Roman" w:cs="宋体"/>
          <w:b/>
          <w:bCs/>
          <w:color w:val="auto"/>
          <w:sz w:val="28"/>
          <w:szCs w:val="28"/>
        </w:rPr>
        <w:t>中毒和窒息</w:t>
      </w:r>
      <w:bookmarkEnd w:id="83"/>
      <w:bookmarkEnd w:id="84"/>
      <w:bookmarkEnd w:id="85"/>
    </w:p>
    <w:p>
      <w:pPr>
        <w:autoSpaceDE w:val="0"/>
        <w:autoSpaceDN w:val="0"/>
        <w:adjustRightInd w:val="0"/>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宋体"/>
          <w:color w:val="auto"/>
          <w:kern w:val="0"/>
          <w:sz w:val="28"/>
          <w:szCs w:val="28"/>
        </w:rPr>
        <w:t>汽油是一种有机溶剂，对神经系统具有较高的亲和力和毒害作用，人体经呼吸道长期吸入一定浓度的汽油后，可引起慢性中毒。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pPr>
        <w:autoSpaceDE w:val="0"/>
        <w:autoSpaceDN w:val="0"/>
        <w:adjustRightIn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kern w:val="0"/>
          <w:sz w:val="28"/>
          <w:szCs w:val="28"/>
        </w:rPr>
        <w:t>皮肤接触柴油可引起接触性皮炎，油性痤疮，吸入可引起性肺炎。能经胎盘进入胎儿血中。柴油废气可引起眼、鼻刺激症状，头晕及头痛。</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）项目经营储存的油品物质如在非正常经营、储存情况过程中大量可燃气体泄漏，形成局部高浓度环境，应急处理人员未带防护面具进入现场，可能造成应急人员中毒。</w:t>
      </w:r>
    </w:p>
    <w:p>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）人员进入受限空间作业，如进入储罐内进行清洗和维护作业，如果未进行有效的置换或通风，不按照操作规程作业，可能造成人员中毒和窒息。</w:t>
      </w:r>
    </w:p>
    <w:p>
      <w:pPr>
        <w:spacing w:line="600" w:lineRule="exact"/>
        <w:ind w:firstLine="560" w:firstLineChars="200"/>
        <w:rPr>
          <w:rFonts w:hint="eastAsia" w:ascii="Times New Roman" w:hAnsi="Times New Roman" w:eastAsia="宋体" w:cs="Times New Roman"/>
          <w:color w:val="auto"/>
          <w:sz w:val="28"/>
          <w:szCs w:val="28"/>
          <w:lang w:eastAsia="zh-CN"/>
        </w:rPr>
      </w:pP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项目经营的尿素</w:t>
      </w:r>
      <w:r>
        <w:rPr>
          <w:rFonts w:hint="default" w:ascii="Times New Roman" w:hAnsi="Times New Roman" w:cs="宋体"/>
          <w:color w:val="auto"/>
          <w:sz w:val="28"/>
          <w:szCs w:val="28"/>
          <w:lang w:val="en-US" w:eastAsia="zh-CN"/>
        </w:rPr>
        <w:t>属微毒类</w:t>
      </w:r>
      <w:r>
        <w:rPr>
          <w:rFonts w:hint="eastAsia" w:ascii="Times New Roman" w:hAnsi="Times New Roman" w:cs="宋体"/>
          <w:color w:val="auto"/>
          <w:sz w:val="28"/>
          <w:szCs w:val="28"/>
          <w:lang w:val="en-US" w:eastAsia="zh-CN"/>
        </w:rPr>
        <w:t>物质，</w:t>
      </w:r>
      <w:r>
        <w:rPr>
          <w:rFonts w:hint="default" w:ascii="Times New Roman" w:hAnsi="Times New Roman" w:cs="宋体"/>
          <w:color w:val="auto"/>
          <w:sz w:val="28"/>
          <w:szCs w:val="28"/>
          <w:lang w:val="en-US" w:eastAsia="zh-CN"/>
        </w:rPr>
        <w:t>对眼睛、皮肤和粘膜有刺激作用。受高热分解放出有毒的气体。</w:t>
      </w:r>
    </w:p>
    <w:p>
      <w:pPr>
        <w:keepNext/>
        <w:keepLines/>
        <w:spacing w:line="600" w:lineRule="exact"/>
        <w:outlineLvl w:val="2"/>
        <w:rPr>
          <w:rFonts w:ascii="Times New Roman" w:hAnsi="Times New Roman" w:cs="Times New Roman"/>
          <w:b/>
          <w:bCs/>
          <w:color w:val="auto"/>
          <w:sz w:val="28"/>
          <w:szCs w:val="28"/>
        </w:rPr>
      </w:pPr>
      <w:bookmarkStart w:id="86" w:name="_Toc1652"/>
      <w:bookmarkStart w:id="87" w:name="_Toc16056"/>
      <w:bookmarkStart w:id="88" w:name="_Toc23042"/>
      <w:bookmarkStart w:id="89" w:name="_Toc18545"/>
      <w:r>
        <w:rPr>
          <w:rFonts w:ascii="Times New Roman" w:hAnsi="Times New Roman" w:cs="Times New Roman"/>
          <w:b/>
          <w:bCs/>
          <w:color w:val="auto"/>
          <w:sz w:val="28"/>
          <w:szCs w:val="28"/>
        </w:rPr>
        <w:t>3.5.5</w:t>
      </w:r>
      <w:r>
        <w:rPr>
          <w:rFonts w:hint="eastAsia" w:ascii="Times New Roman" w:hAnsi="Times New Roman" w:cs="宋体"/>
          <w:b/>
          <w:bCs/>
          <w:color w:val="auto"/>
          <w:sz w:val="28"/>
          <w:szCs w:val="28"/>
        </w:rPr>
        <w:t>高处坠落</w:t>
      </w:r>
      <w:bookmarkEnd w:id="86"/>
      <w:bookmarkEnd w:id="87"/>
      <w:bookmarkEnd w:id="88"/>
      <w:bookmarkEnd w:id="89"/>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高处坠落是指作业人员在高处作业中发生坠落造成的伤亡事故，如从设备上、高处平台坠落下来。对此要求登高作业人员必须系安全带；高处作业平台加装必要的防护栏；高处施工点下面加装安全网；上下梯子应设置扶手及护栏；现场工作人员必须戴安全帽，非工作人员远离现场等。</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该项目存在高</w:t>
      </w:r>
      <w:r>
        <w:rPr>
          <w:rFonts w:ascii="Times New Roman" w:hAnsi="Times New Roman" w:cs="Times New Roman"/>
          <w:color w:val="auto"/>
          <w:sz w:val="28"/>
          <w:szCs w:val="28"/>
        </w:rPr>
        <w:t>2m</w:t>
      </w:r>
      <w:r>
        <w:rPr>
          <w:rFonts w:hint="eastAsia" w:ascii="Times New Roman" w:hAnsi="Times New Roman" w:cs="宋体"/>
          <w:color w:val="auto"/>
          <w:sz w:val="28"/>
          <w:szCs w:val="28"/>
        </w:rPr>
        <w:t>及以上的操作巡检作业，如罩棚检维修作业、站房装修改造作业等，在施工或检修时需搭设脚手架或采用其它方式进行高处作业，操作人员巡检或检修人员进行作业时，可能由于平台护栏缺陷、临时脚手架缺陷；高处作业未使用防护用品，思想麻痹、身体、精神状态不良等发生高处坠落事故。造成高处坠落的主要因素是：</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）没有按要求使用安全带。</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）高处作业时安全防护设施损坏。</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）使用安全保护装置不完善或在缺乏安全设备、设施上进行作业。</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）工作责任心不强，主观判断失误。</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）作业人员疏忽大意，疲劳过度。</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6</w:t>
      </w:r>
      <w:r>
        <w:rPr>
          <w:rFonts w:hint="eastAsia" w:ascii="Times New Roman" w:hAnsi="Times New Roman" w:cs="宋体"/>
          <w:color w:val="auto"/>
          <w:sz w:val="28"/>
          <w:szCs w:val="28"/>
        </w:rPr>
        <w:t>）高处作业安全管理不到位。</w:t>
      </w:r>
    </w:p>
    <w:p>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w:t>
      </w:r>
      <w:r>
        <w:rPr>
          <w:rFonts w:ascii="Times New Roman" w:hAnsi="Times New Roman" w:cs="Times New Roman"/>
          <w:color w:val="auto"/>
          <w:sz w:val="28"/>
          <w:szCs w:val="28"/>
        </w:rPr>
        <w:t>7</w:t>
      </w:r>
      <w:r>
        <w:rPr>
          <w:rFonts w:hint="eastAsia" w:ascii="Times New Roman" w:hAnsi="Times New Roman" w:cs="宋体"/>
          <w:color w:val="auto"/>
          <w:sz w:val="28"/>
          <w:szCs w:val="28"/>
        </w:rPr>
        <w:t>）没有按要求穿防滑性能良好的软底鞋等。</w:t>
      </w:r>
    </w:p>
    <w:p>
      <w:pPr>
        <w:keepNext/>
        <w:keepLines/>
        <w:spacing w:line="600" w:lineRule="exact"/>
        <w:outlineLvl w:val="1"/>
        <w:rPr>
          <w:rFonts w:ascii="Times New Roman" w:hAnsi="Times New Roman" w:cs="Times New Roman"/>
          <w:b/>
          <w:bCs/>
          <w:color w:val="auto"/>
          <w:sz w:val="28"/>
          <w:szCs w:val="28"/>
        </w:rPr>
      </w:pPr>
      <w:bookmarkStart w:id="90" w:name="_Toc3570"/>
      <w:bookmarkStart w:id="91" w:name="_Toc258"/>
      <w:bookmarkStart w:id="92" w:name="_Toc24976"/>
      <w:bookmarkStart w:id="93" w:name="_Toc5241"/>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90"/>
      <w:bookmarkEnd w:id="91"/>
      <w:bookmarkEnd w:id="92"/>
      <w:bookmarkEnd w:id="93"/>
    </w:p>
    <w:p>
      <w:pPr>
        <w:spacing w:line="600" w:lineRule="exact"/>
        <w:ind w:firstLine="560" w:firstLineChars="200"/>
        <w:rPr>
          <w:rFonts w:ascii="Times New Roman" w:hAnsi="Times New Roman" w:cs="Times New Roman"/>
          <w:color w:val="auto"/>
          <w:sz w:val="28"/>
          <w:szCs w:val="28"/>
        </w:rPr>
      </w:pPr>
      <w:bookmarkStart w:id="94" w:name="_Toc10194"/>
      <w:bookmarkStart w:id="95" w:name="_Toc31394"/>
      <w:r>
        <w:rPr>
          <w:rFonts w:ascii="Times New Roman" w:hAnsi="Times New Roman" w:cs="Times New Roman"/>
          <w:color w:val="auto"/>
          <w:sz w:val="28"/>
          <w:szCs w:val="28"/>
        </w:rPr>
        <w:t>1</w:t>
      </w:r>
      <w:r>
        <w:rPr>
          <w:rFonts w:hint="eastAsia" w:ascii="Times New Roman" w:hAnsi="Times New Roman" w:cs="宋体"/>
          <w:color w:val="auto"/>
          <w:sz w:val="28"/>
          <w:szCs w:val="28"/>
        </w:rPr>
        <w:t>、地震</w:t>
      </w:r>
    </w:p>
    <w:p>
      <w:pPr>
        <w:tabs>
          <w:tab w:val="left" w:pos="1050"/>
        </w:tabs>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val="zh-CN"/>
        </w:rPr>
        <w:t>地震可能造成建（构）筑物、设备设施、电力设施等的破坏，严重时可导致次生灾害，该项目所在区域地震烈度为</w:t>
      </w:r>
      <w:r>
        <w:rPr>
          <w:rFonts w:hint="eastAsia" w:ascii="宋体" w:hAnsi="宋体" w:cs="宋体"/>
          <w:color w:val="auto"/>
          <w:sz w:val="28"/>
          <w:szCs w:val="28"/>
          <w:lang w:val="zh-CN"/>
        </w:rPr>
        <w:t>Ⅵ</w:t>
      </w:r>
      <w:r>
        <w:rPr>
          <w:rFonts w:hint="eastAsia" w:ascii="Times New Roman" w:hAnsi="Times New Roman" w:cs="宋体"/>
          <w:color w:val="auto"/>
          <w:sz w:val="28"/>
          <w:szCs w:val="28"/>
          <w:lang w:val="zh-CN"/>
        </w:rPr>
        <w:t>度，地震的威胁较小。</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、雷击</w:t>
      </w:r>
    </w:p>
    <w:p>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宋体"/>
          <w:color w:val="auto"/>
          <w:sz w:val="28"/>
          <w:szCs w:val="28"/>
        </w:rPr>
        <w:t>该项目位于雷击多发区，</w:t>
      </w:r>
      <w:r>
        <w:rPr>
          <w:rFonts w:hint="eastAsia" w:ascii="Times New Roman" w:hAnsi="Times New Roman" w:cs="宋体"/>
          <w:color w:val="auto"/>
          <w:sz w:val="28"/>
          <w:szCs w:val="28"/>
          <w:lang w:val="zh-CN"/>
        </w:rPr>
        <w:t>项目建成后，建（构）筑物容易遭受雷击，造成建（构）筑物、设备等的的损坏。</w:t>
      </w:r>
    </w:p>
    <w:p>
      <w:pPr>
        <w:spacing w:line="600" w:lineRule="exact"/>
        <w:ind w:firstLine="560" w:firstLineChars="200"/>
        <w:rPr>
          <w:rFonts w:ascii="Times New Roman" w:hAnsi="Times New Roman" w:cs="Times New Roman"/>
          <w:color w:val="auto"/>
        </w:rPr>
      </w:pPr>
      <w:r>
        <w:rPr>
          <w:rFonts w:ascii="Times New Roman" w:hAnsi="Times New Roman" w:cs="Times New Roman"/>
          <w:color w:val="auto"/>
          <w:sz w:val="28"/>
          <w:szCs w:val="28"/>
        </w:rPr>
        <w:t>3</w:t>
      </w:r>
      <w:r>
        <w:rPr>
          <w:rFonts w:hint="eastAsia" w:ascii="Times New Roman" w:hAnsi="Times New Roman" w:cs="宋体"/>
          <w:color w:val="auto"/>
          <w:sz w:val="28"/>
          <w:szCs w:val="28"/>
        </w:rPr>
        <w:t>、暴雨、洪水</w:t>
      </w:r>
    </w:p>
    <w:p>
      <w:pPr>
        <w:widowControl/>
        <w:spacing w:line="600" w:lineRule="exact"/>
        <w:ind w:firstLine="552" w:firstLineChars="200"/>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突然的大规模降水可能导致排水不畅，油罐固定不牢暴雨可能造成浮罐，拉断管线。</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、高气温</w:t>
      </w:r>
    </w:p>
    <w:p>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宋体"/>
          <w:color w:val="auto"/>
          <w:sz w:val="28"/>
          <w:szCs w:val="28"/>
          <w:lang w:val="zh-CN"/>
        </w:rPr>
        <w:t>所在区域极端最高气温为</w:t>
      </w:r>
      <w:r>
        <w:rPr>
          <w:rFonts w:hint="eastAsia" w:ascii="Times New Roman" w:hAnsi="Times New Roman" w:cs="Times New Roman"/>
          <w:color w:val="auto"/>
          <w:sz w:val="28"/>
          <w:szCs w:val="28"/>
          <w:lang w:val="en-US" w:eastAsia="zh-CN"/>
        </w:rPr>
        <w:t>41.8</w:t>
      </w:r>
      <w:r>
        <w:rPr>
          <w:rFonts w:hint="eastAsia" w:ascii="宋体" w:hAnsi="宋体" w:cs="宋体"/>
          <w:color w:val="auto"/>
          <w:sz w:val="28"/>
          <w:szCs w:val="28"/>
          <w:lang w:val="zh-CN"/>
        </w:rPr>
        <w:t>℃</w:t>
      </w:r>
      <w:r>
        <w:rPr>
          <w:rFonts w:hint="eastAsia" w:ascii="Times New Roman" w:hAnsi="Times New Roman" w:cs="宋体"/>
          <w:color w:val="auto"/>
          <w:sz w:val="28"/>
          <w:szCs w:val="28"/>
          <w:lang w:val="zh-CN"/>
        </w:rPr>
        <w:t>。高气温可能导致人员中暑。</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5</w:t>
      </w:r>
      <w:r>
        <w:rPr>
          <w:rFonts w:hint="eastAsia" w:ascii="Times New Roman" w:hAnsi="Times New Roman" w:cs="宋体"/>
          <w:color w:val="auto"/>
          <w:sz w:val="28"/>
          <w:szCs w:val="28"/>
        </w:rPr>
        <w:t>、低气温</w:t>
      </w:r>
    </w:p>
    <w:p>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宋体"/>
          <w:color w:val="auto"/>
          <w:sz w:val="28"/>
          <w:szCs w:val="28"/>
          <w:lang w:val="zh-CN"/>
        </w:rPr>
        <w:t>所在区域极端最低气温</w:t>
      </w:r>
      <w:r>
        <w:rPr>
          <w:rFonts w:ascii="Times New Roman" w:hAnsi="Times New Roman" w:cs="Times New Roman"/>
          <w:color w:val="auto"/>
          <w:spacing w:val="-4"/>
          <w:kern w:val="0"/>
          <w:sz w:val="28"/>
          <w:szCs w:val="28"/>
        </w:rPr>
        <w:t>-</w:t>
      </w:r>
      <w:r>
        <w:rPr>
          <w:rFonts w:hint="eastAsia" w:ascii="Times New Roman" w:hAnsi="Times New Roman" w:cs="Times New Roman"/>
          <w:color w:val="auto"/>
          <w:spacing w:val="-4"/>
          <w:kern w:val="0"/>
          <w:sz w:val="28"/>
          <w:szCs w:val="28"/>
          <w:lang w:val="en-US" w:eastAsia="zh-CN"/>
        </w:rPr>
        <w:t>10.9</w:t>
      </w:r>
      <w:r>
        <w:rPr>
          <w:rFonts w:hint="eastAsia" w:ascii="宋体" w:hAnsi="宋体" w:cs="宋体"/>
          <w:color w:val="auto"/>
          <w:sz w:val="28"/>
          <w:szCs w:val="28"/>
          <w:lang w:val="zh-CN"/>
        </w:rPr>
        <w:t>℃</w:t>
      </w:r>
      <w:r>
        <w:rPr>
          <w:rFonts w:hint="eastAsia" w:ascii="Times New Roman" w:hAnsi="Times New Roman" w:cs="宋体"/>
          <w:color w:val="auto"/>
          <w:sz w:val="28"/>
          <w:szCs w:val="28"/>
          <w:lang w:val="zh-CN"/>
        </w:rPr>
        <w:t>。低气温和潮湿空气可能造成屋顶结冰压塌建筑，造成事故；同时，地面结冰，容易造成人员滑倒跌伤等。</w:t>
      </w:r>
    </w:p>
    <w:p>
      <w:pPr>
        <w:keepNext/>
        <w:keepLines/>
        <w:spacing w:line="600" w:lineRule="exact"/>
        <w:outlineLvl w:val="1"/>
        <w:rPr>
          <w:rFonts w:ascii="Times New Roman" w:hAnsi="Times New Roman" w:cs="Times New Roman"/>
          <w:b/>
          <w:bCs/>
          <w:color w:val="auto"/>
          <w:sz w:val="28"/>
          <w:szCs w:val="28"/>
        </w:rPr>
      </w:pPr>
      <w:bookmarkStart w:id="96" w:name="_Toc16155"/>
      <w:bookmarkStart w:id="97" w:name="_Toc500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94"/>
      <w:bookmarkEnd w:id="95"/>
      <w:bookmarkEnd w:id="96"/>
      <w:bookmarkEnd w:id="97"/>
    </w:p>
    <w:p>
      <w:pPr>
        <w:keepNext/>
        <w:keepLines/>
        <w:spacing w:line="600" w:lineRule="exact"/>
        <w:outlineLvl w:val="2"/>
        <w:rPr>
          <w:rFonts w:ascii="Times New Roman" w:hAnsi="Times New Roman" w:cs="Times New Roman"/>
          <w:b/>
          <w:bCs/>
          <w:color w:val="auto"/>
          <w:sz w:val="28"/>
          <w:szCs w:val="28"/>
        </w:rPr>
      </w:pPr>
      <w:bookmarkStart w:id="98" w:name="_Toc14200"/>
      <w:bookmarkStart w:id="99" w:name="_Toc28615"/>
      <w:bookmarkStart w:id="100"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98"/>
      <w:bookmarkEnd w:id="99"/>
      <w:bookmarkEnd w:id="100"/>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尿素等</w:t>
      </w:r>
      <w:r>
        <w:rPr>
          <w:rFonts w:hint="eastAsia" w:ascii="Times New Roman" w:hAnsi="Times New Roman" w:cs="宋体"/>
          <w:color w:val="auto"/>
          <w:sz w:val="28"/>
          <w:szCs w:val="28"/>
        </w:rPr>
        <w:t>物质即使在正常的生产过程中也会有微量的泄漏，长期低浓度接触这些物质可能对人体造成不良影响，可能导致神经衰弱综合征、皮肤过敏、损害。</w:t>
      </w:r>
    </w:p>
    <w:p>
      <w:pPr>
        <w:keepNext/>
        <w:keepLines/>
        <w:spacing w:line="600" w:lineRule="exact"/>
        <w:outlineLvl w:val="2"/>
        <w:rPr>
          <w:rFonts w:ascii="Times New Roman" w:hAnsi="Times New Roman" w:cs="Times New Roman"/>
          <w:b/>
          <w:bCs/>
          <w:color w:val="auto"/>
          <w:sz w:val="28"/>
          <w:szCs w:val="28"/>
        </w:rPr>
      </w:pPr>
      <w:bookmarkStart w:id="101" w:name="_Toc19293"/>
      <w:bookmarkStart w:id="102" w:name="_Toc20651"/>
      <w:bookmarkStart w:id="103" w:name="_Toc13751"/>
      <w:bookmarkStart w:id="104"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101"/>
      <w:bookmarkEnd w:id="102"/>
      <w:bookmarkEnd w:id="103"/>
      <w:bookmarkEnd w:id="104"/>
    </w:p>
    <w:p>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加油站经营中的噪声一般来自于大型车辆的启动、运行的噪声。</w:t>
      </w:r>
    </w:p>
    <w:p>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68"/>
    <w:bookmarkEnd w:id="69"/>
    <w:p>
      <w:pPr>
        <w:keepNext/>
        <w:keepLines/>
        <w:spacing w:line="580" w:lineRule="exact"/>
        <w:outlineLvl w:val="1"/>
        <w:rPr>
          <w:rFonts w:ascii="Times New Roman" w:hAnsi="Times New Roman" w:cs="Times New Roman"/>
          <w:b/>
          <w:bCs/>
          <w:color w:val="auto"/>
          <w:sz w:val="28"/>
          <w:szCs w:val="28"/>
        </w:rPr>
      </w:pPr>
      <w:bookmarkStart w:id="105" w:name="_Toc23701"/>
      <w:bookmarkStart w:id="106" w:name="_Toc31633"/>
      <w:bookmarkStart w:id="107" w:name="_Toc18812"/>
      <w:bookmarkStart w:id="108" w:name="_Toc8607"/>
      <w:bookmarkStart w:id="109" w:name="_Toc22089"/>
      <w:bookmarkStart w:id="110"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105"/>
      <w:bookmarkEnd w:id="106"/>
      <w:bookmarkEnd w:id="107"/>
      <w:bookmarkEnd w:id="108"/>
    </w:p>
    <w:p>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3-6</w:t>
      </w:r>
      <w:r>
        <w:rPr>
          <w:rFonts w:hint="eastAsia" w:ascii="Times New Roman" w:hAnsi="Times New Roman" w:cs="宋体"/>
          <w:color w:val="auto"/>
          <w:sz w:val="28"/>
          <w:szCs w:val="28"/>
        </w:rPr>
        <w:t>。</w:t>
      </w:r>
    </w:p>
    <w:p>
      <w:pPr>
        <w:spacing w:line="580" w:lineRule="exact"/>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 xml:space="preserve">3-6  </w:t>
      </w:r>
      <w:r>
        <w:rPr>
          <w:rFonts w:hint="eastAsia" w:ascii="Times New Roman" w:hAnsi="Times New Roman" w:cs="宋体"/>
          <w:b/>
          <w:bCs/>
          <w:color w:val="auto"/>
          <w:sz w:val="24"/>
          <w:szCs w:val="24"/>
        </w:rPr>
        <w:t>主要危险和有害因素</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79"/>
        <w:gridCol w:w="2497"/>
        <w:gridCol w:w="3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8"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79"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497"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06"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8" w:type="dxa"/>
            <w:vAlign w:val="center"/>
          </w:tcPr>
          <w:p>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79"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火灾、爆炸</w:t>
            </w:r>
          </w:p>
        </w:tc>
        <w:tc>
          <w:tcPr>
            <w:tcW w:w="2497"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06"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加油罩棚区（含油罐）、卸油区、配电间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8" w:type="dxa"/>
            <w:vAlign w:val="center"/>
          </w:tcPr>
          <w:p>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79"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电气伤害</w:t>
            </w:r>
          </w:p>
        </w:tc>
        <w:tc>
          <w:tcPr>
            <w:tcW w:w="2497"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6"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配电间、电气设备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8" w:type="dxa"/>
            <w:vAlign w:val="center"/>
          </w:tcPr>
          <w:p>
            <w:pPr>
              <w:spacing w:line="320" w:lineRule="exact"/>
              <w:jc w:val="center"/>
              <w:rPr>
                <w:rFonts w:ascii="Times New Roman" w:hAnsi="Times New Roman" w:cs="Times New Roman"/>
                <w:color w:val="auto"/>
              </w:rPr>
            </w:pPr>
            <w:r>
              <w:rPr>
                <w:rFonts w:ascii="Times New Roman" w:hAnsi="Times New Roman" w:cs="Times New Roman"/>
                <w:color w:val="auto"/>
              </w:rPr>
              <w:t>3</w:t>
            </w:r>
          </w:p>
        </w:tc>
        <w:tc>
          <w:tcPr>
            <w:tcW w:w="1879"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车辆伤害</w:t>
            </w:r>
          </w:p>
        </w:tc>
        <w:tc>
          <w:tcPr>
            <w:tcW w:w="2497"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人员伤亡或设备损坏</w:t>
            </w:r>
          </w:p>
        </w:tc>
        <w:tc>
          <w:tcPr>
            <w:tcW w:w="3906"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加油站场内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8" w:type="dxa"/>
            <w:vAlign w:val="center"/>
          </w:tcPr>
          <w:p>
            <w:pPr>
              <w:spacing w:line="320" w:lineRule="exact"/>
              <w:jc w:val="center"/>
              <w:rPr>
                <w:rFonts w:ascii="Times New Roman" w:hAnsi="Times New Roman" w:eastAsia="Times New Roman" w:cs="Times New Roman"/>
                <w:color w:val="auto"/>
              </w:rPr>
            </w:pPr>
            <w:r>
              <w:rPr>
                <w:rFonts w:ascii="Times New Roman" w:hAnsi="Times New Roman" w:cs="Times New Roman"/>
                <w:color w:val="auto"/>
              </w:rPr>
              <w:t>4</w:t>
            </w:r>
          </w:p>
        </w:tc>
        <w:tc>
          <w:tcPr>
            <w:tcW w:w="1879"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中毒和窒息</w:t>
            </w:r>
          </w:p>
        </w:tc>
        <w:tc>
          <w:tcPr>
            <w:tcW w:w="2497"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6"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储罐装置、加油机、卸油口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8" w:type="dxa"/>
            <w:vAlign w:val="center"/>
          </w:tcPr>
          <w:p>
            <w:pPr>
              <w:spacing w:line="320" w:lineRule="exact"/>
              <w:jc w:val="center"/>
              <w:rPr>
                <w:rFonts w:ascii="Times New Roman" w:hAnsi="Times New Roman" w:eastAsia="Times New Roman" w:cs="Times New Roman"/>
                <w:color w:val="auto"/>
              </w:rPr>
            </w:pPr>
            <w:r>
              <w:rPr>
                <w:rFonts w:ascii="Times New Roman" w:hAnsi="Times New Roman" w:cs="Times New Roman"/>
                <w:color w:val="auto"/>
              </w:rPr>
              <w:t>5</w:t>
            </w:r>
          </w:p>
        </w:tc>
        <w:tc>
          <w:tcPr>
            <w:tcW w:w="1879"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高处坠落</w:t>
            </w:r>
          </w:p>
        </w:tc>
        <w:tc>
          <w:tcPr>
            <w:tcW w:w="2497"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人员伤亡或设备损坏</w:t>
            </w:r>
          </w:p>
        </w:tc>
        <w:tc>
          <w:tcPr>
            <w:tcW w:w="3906"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罩棚、站房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38" w:type="dxa"/>
            <w:vAlign w:val="center"/>
          </w:tcPr>
          <w:p>
            <w:pPr>
              <w:spacing w:line="320" w:lineRule="exact"/>
              <w:jc w:val="center"/>
              <w:rPr>
                <w:rFonts w:ascii="Times New Roman" w:hAnsi="Times New Roman" w:eastAsia="Times New Roman" w:cs="Times New Roman"/>
                <w:color w:val="auto"/>
              </w:rPr>
            </w:pPr>
            <w:r>
              <w:rPr>
                <w:rFonts w:ascii="Times New Roman" w:hAnsi="Times New Roman" w:cs="Times New Roman"/>
                <w:color w:val="auto"/>
              </w:rPr>
              <w:t>6</w:t>
            </w:r>
          </w:p>
        </w:tc>
        <w:tc>
          <w:tcPr>
            <w:tcW w:w="1879"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环境、自然因素</w:t>
            </w:r>
          </w:p>
        </w:tc>
        <w:tc>
          <w:tcPr>
            <w:tcW w:w="2497"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06" w:type="dxa"/>
            <w:vAlign w:val="center"/>
          </w:tcPr>
          <w:p>
            <w:pPr>
              <w:spacing w:line="320" w:lineRule="exact"/>
              <w:jc w:val="center"/>
              <w:rPr>
                <w:rFonts w:ascii="Times New Roman" w:hAnsi="Times New Roman" w:cs="Times New Roman"/>
                <w:color w:val="auto"/>
              </w:rPr>
            </w:pPr>
            <w:r>
              <w:rPr>
                <w:rFonts w:hint="eastAsia" w:ascii="Times New Roman" w:hAnsi="Times New Roman" w:cs="宋体"/>
                <w:color w:val="auto"/>
              </w:rPr>
              <w:t>经营作业场所</w:t>
            </w:r>
          </w:p>
        </w:tc>
      </w:tr>
    </w:tbl>
    <w:p>
      <w:pPr>
        <w:keepNext/>
        <w:keepLines/>
        <w:spacing w:line="600" w:lineRule="exact"/>
        <w:outlineLvl w:val="1"/>
        <w:rPr>
          <w:rFonts w:ascii="Times New Roman" w:hAnsi="Times New Roman" w:cs="Times New Roman"/>
          <w:b/>
          <w:bCs/>
          <w:color w:val="auto"/>
          <w:sz w:val="28"/>
          <w:szCs w:val="28"/>
        </w:rPr>
      </w:pPr>
      <w:bookmarkStart w:id="111" w:name="_Toc7354"/>
      <w:bookmarkStart w:id="112" w:name="_Toc30431"/>
      <w:bookmarkStart w:id="113" w:name="_Toc1204"/>
      <w:bookmarkStart w:id="114" w:name="_Toc28553"/>
      <w:bookmarkStart w:id="115" w:name="_Toc5240"/>
      <w:bookmarkStart w:id="116" w:name="_Toc30502"/>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111"/>
      <w:bookmarkEnd w:id="112"/>
      <w:bookmarkEnd w:id="113"/>
      <w:bookmarkEnd w:id="114"/>
      <w:bookmarkEnd w:id="115"/>
      <w:bookmarkEnd w:id="116"/>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3-7</w:t>
      </w:r>
      <w:r>
        <w:rPr>
          <w:rFonts w:hint="eastAsia" w:ascii="Times New Roman" w:hAnsi="Times New Roman" w:cs="宋体"/>
          <w:color w:val="auto"/>
          <w:sz w:val="28"/>
          <w:szCs w:val="28"/>
        </w:rPr>
        <w:t>：</w:t>
      </w:r>
    </w:p>
    <w:p>
      <w:pPr>
        <w:autoSpaceDE w:val="0"/>
        <w:autoSpaceDN w:val="0"/>
        <w:adjustRightInd w:val="0"/>
        <w:snapToGrid w:val="0"/>
        <w:spacing w:line="600" w:lineRule="exact"/>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br w:type="page"/>
      </w: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 xml:space="preserve">3-7  </w:t>
      </w:r>
      <w:r>
        <w:rPr>
          <w:rFonts w:hint="eastAsia" w:ascii="Times New Roman" w:hAnsi="Times New Roman" w:cs="宋体"/>
          <w:b/>
          <w:bCs/>
          <w:color w:val="auto"/>
          <w:sz w:val="24"/>
          <w:szCs w:val="24"/>
        </w:rPr>
        <w:t>爆炸危险区域划分图</w:t>
      </w:r>
    </w:p>
    <w:tbl>
      <w:tblPr>
        <w:tblStyle w:val="20"/>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630"/>
        <w:gridCol w:w="3430"/>
        <w:gridCol w:w="4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6" w:hRule="atLeast"/>
          <w:tblHeader/>
          <w:jc w:val="center"/>
        </w:trPr>
        <w:tc>
          <w:tcPr>
            <w:tcW w:w="1630" w:type="dxa"/>
            <w:vAlign w:val="center"/>
          </w:tcPr>
          <w:p>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430" w:type="dxa"/>
            <w:vAlign w:val="center"/>
          </w:tcPr>
          <w:p>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18" w:type="dxa"/>
            <w:vAlign w:val="center"/>
          </w:tcPr>
          <w:p>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1" w:hRule="atLeast"/>
          <w:tblHeader/>
          <w:jc w:val="center"/>
        </w:trPr>
        <w:tc>
          <w:tcPr>
            <w:tcW w:w="1630" w:type="dxa"/>
            <w:vAlign w:val="center"/>
          </w:tcPr>
          <w:p>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430" w:type="dxa"/>
            <w:vAlign w:val="center"/>
          </w:tcPr>
          <w:p>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18" w:type="dxa"/>
            <w:vAlign w:val="center"/>
          </w:tcPr>
          <w:p>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98" w:hRule="atLeast"/>
          <w:tblHeader/>
          <w:jc w:val="center"/>
        </w:trPr>
        <w:tc>
          <w:tcPr>
            <w:tcW w:w="1630" w:type="dxa"/>
            <w:vAlign w:val="center"/>
          </w:tcPr>
          <w:p>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430" w:type="dxa"/>
            <w:vAlign w:val="center"/>
          </w:tcPr>
          <w:p>
            <w:pPr>
              <w:adjustRightInd w:val="0"/>
              <w:snapToGrid w:val="0"/>
              <w:rPr>
                <w:rFonts w:ascii="Times New Roman" w:hAnsi="Times New Roman" w:cs="Times New Roman"/>
                <w:color w:val="auto"/>
              </w:rPr>
            </w:pPr>
          </w:p>
          <w:p>
            <w:pPr>
              <w:adjustRightInd w:val="0"/>
              <w:snapToGrid w:val="0"/>
              <w:rPr>
                <w:rFonts w:ascii="Times New Roman" w:hAnsi="Times New Roman" w:cs="Times New Roman"/>
                <w:color w:val="auto"/>
              </w:rPr>
            </w:pPr>
          </w:p>
          <w:p>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5" o:title=""/>
                  <o:lock v:ext="edit" aspectratio="t"/>
                  <w10:wrap type="topAndBottom"/>
                </v:shape>
                <o:OLEObject Type="Embed" ProgID="Msxml2.SAXXMLReader.5.0" ShapeID="Picture 66" DrawAspect="Content" ObjectID="_1468075725" r:id="rId14">
                  <o:LockedField>false</o:LockedField>
                </o:OLEObject>
              </w:pict>
            </w:r>
          </w:p>
        </w:tc>
        <w:tc>
          <w:tcPr>
            <w:tcW w:w="4718" w:type="dxa"/>
            <w:vAlign w:val="center"/>
          </w:tcPr>
          <w:p>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23" w:hRule="atLeast"/>
          <w:tblHeader/>
          <w:jc w:val="center"/>
        </w:trPr>
        <w:tc>
          <w:tcPr>
            <w:tcW w:w="1630" w:type="dxa"/>
            <w:vAlign w:val="center"/>
          </w:tcPr>
          <w:p>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430" w:type="dxa"/>
            <w:vAlign w:val="center"/>
          </w:tcPr>
          <w:p>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2021840" cy="1113790"/>
                  <wp:effectExtent l="0" t="0" r="10160" b="381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6"/>
                          <a:srcRect t="5914" r="19711" b="25301"/>
                          <a:stretch>
                            <a:fillRect/>
                          </a:stretch>
                        </pic:blipFill>
                        <pic:spPr>
                          <a:xfrm>
                            <a:off x="0" y="0"/>
                            <a:ext cx="2021840" cy="1113790"/>
                          </a:xfrm>
                          <a:prstGeom prst="rect">
                            <a:avLst/>
                          </a:prstGeom>
                          <a:noFill/>
                          <a:ln>
                            <a:noFill/>
                          </a:ln>
                        </pic:spPr>
                      </pic:pic>
                    </a:graphicData>
                  </a:graphic>
                </wp:anchor>
              </w:drawing>
            </w:r>
          </w:p>
        </w:tc>
        <w:tc>
          <w:tcPr>
            <w:tcW w:w="4718" w:type="dxa"/>
            <w:vAlign w:val="center"/>
          </w:tcPr>
          <w:p>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25" w:hRule="atLeast"/>
          <w:tblHeader/>
          <w:jc w:val="center"/>
        </w:trPr>
        <w:tc>
          <w:tcPr>
            <w:tcW w:w="1630" w:type="dxa"/>
            <w:vAlign w:val="center"/>
          </w:tcPr>
          <w:p>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430" w:type="dxa"/>
            <w:vAlign w:val="center"/>
          </w:tcPr>
          <w:p>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12065" b="31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7"/>
                          <a:stretch>
                            <a:fillRect/>
                          </a:stretch>
                        </pic:blipFill>
                        <pic:spPr>
                          <a:xfrm>
                            <a:off x="0" y="0"/>
                            <a:ext cx="2223135" cy="1317625"/>
                          </a:xfrm>
                          <a:prstGeom prst="rect">
                            <a:avLst/>
                          </a:prstGeom>
                          <a:noFill/>
                          <a:ln>
                            <a:noFill/>
                          </a:ln>
                        </pic:spPr>
                      </pic:pic>
                    </a:graphicData>
                  </a:graphic>
                </wp:anchor>
              </w:drawing>
            </w:r>
          </w:p>
        </w:tc>
        <w:tc>
          <w:tcPr>
            <w:tcW w:w="4718" w:type="dxa"/>
            <w:vAlign w:val="center"/>
          </w:tcPr>
          <w:p>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pPr>
        <w:keepNext/>
        <w:keepLines/>
        <w:spacing w:line="600" w:lineRule="exact"/>
        <w:outlineLvl w:val="1"/>
        <w:rPr>
          <w:rFonts w:ascii="Times New Roman" w:hAnsi="Times New Roman" w:cs="Times New Roman"/>
          <w:b/>
          <w:bCs/>
          <w:color w:val="auto"/>
          <w:sz w:val="28"/>
          <w:szCs w:val="28"/>
        </w:rPr>
      </w:pPr>
      <w:bookmarkStart w:id="117" w:name="_Toc1703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109"/>
      <w:bookmarkEnd w:id="110"/>
      <w:bookmarkEnd w:id="117"/>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安装潜油泵过程中将油罐注水抽出，造成油罐及操作井口油气积聚。在当天无动火作业计划、没有办理动火作业票的情况下，施工人员擅自变更作业地点，在靠近油罐口的区域内进行动火作业，造成闪爆。</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高的雨蓬引燃，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的雨棚镀锌钢柱板、两台电脑加油机、雨蓬内射灯和部分线路、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干粉灭火机，延误了扑灭初起火灾的最佳时间。三是安全管理不严，管理不到位，职工安全意识淡薄，安全生产责任制和安全操作规程不落实。</w:t>
      </w:r>
    </w:p>
    <w:p>
      <w:pPr>
        <w:spacing w:line="600" w:lineRule="exact"/>
        <w:outlineLvl w:val="0"/>
        <w:rPr>
          <w:rFonts w:ascii="Times New Roman" w:hAnsi="Times New Roman" w:cs="Times New Roman"/>
          <w:b/>
          <w:bCs/>
          <w:color w:val="auto"/>
          <w:kern w:val="36"/>
          <w:sz w:val="28"/>
          <w:szCs w:val="28"/>
        </w:rPr>
      </w:pPr>
      <w:bookmarkStart w:id="118" w:name="_Toc8100"/>
      <w:bookmarkStart w:id="119" w:name="_Toc10015"/>
      <w:r>
        <w:rPr>
          <w:rFonts w:ascii="Times New Roman" w:hAnsi="Times New Roman" w:cs="Times New Roman"/>
          <w:b/>
          <w:bCs/>
          <w:color w:val="auto"/>
          <w:kern w:val="36"/>
          <w:sz w:val="28"/>
          <w:szCs w:val="28"/>
        </w:rPr>
        <w:br w:type="page"/>
      </w:r>
      <w:bookmarkStart w:id="120" w:name="_Toc25369"/>
      <w:r>
        <w:rPr>
          <w:rFonts w:ascii="Times New Roman" w:hAnsi="Times New Roman" w:cs="Times New Roman"/>
          <w:b/>
          <w:bCs/>
          <w:color w:val="auto"/>
          <w:kern w:val="36"/>
          <w:sz w:val="28"/>
          <w:szCs w:val="28"/>
        </w:rPr>
        <w:t xml:space="preserve">4 </w:t>
      </w:r>
      <w:r>
        <w:rPr>
          <w:rFonts w:hint="eastAsia" w:ascii="Times New Roman" w:hAnsi="Times New Roman" w:cs="宋体"/>
          <w:b/>
          <w:bCs/>
          <w:color w:val="auto"/>
          <w:kern w:val="36"/>
          <w:sz w:val="28"/>
          <w:szCs w:val="28"/>
        </w:rPr>
        <w:t>评价单元的确定及评价方法选择</w:t>
      </w:r>
      <w:bookmarkEnd w:id="118"/>
      <w:bookmarkEnd w:id="119"/>
      <w:bookmarkEnd w:id="120"/>
    </w:p>
    <w:p>
      <w:pPr>
        <w:keepNext/>
        <w:keepLines/>
        <w:spacing w:line="600" w:lineRule="exact"/>
        <w:outlineLvl w:val="1"/>
        <w:rPr>
          <w:rFonts w:ascii="Times New Roman" w:hAnsi="Times New Roman" w:cs="Times New Roman"/>
          <w:b/>
          <w:bCs/>
          <w:color w:val="auto"/>
          <w:sz w:val="28"/>
          <w:szCs w:val="28"/>
        </w:rPr>
      </w:pPr>
      <w:bookmarkStart w:id="121" w:name="_Toc22396"/>
      <w:bookmarkStart w:id="122" w:name="_Toc15700"/>
      <w:bookmarkStart w:id="123" w:name="_Toc343692259"/>
      <w:r>
        <w:rPr>
          <w:rFonts w:ascii="Times New Roman" w:hAnsi="Times New Roman" w:cs="Times New Roman"/>
          <w:b/>
          <w:bCs/>
          <w:color w:val="auto"/>
          <w:sz w:val="28"/>
          <w:szCs w:val="28"/>
        </w:rPr>
        <w:t xml:space="preserve">4.1 </w:t>
      </w:r>
      <w:r>
        <w:rPr>
          <w:rFonts w:hint="eastAsia" w:ascii="Times New Roman" w:hAnsi="Times New Roman" w:cs="宋体"/>
          <w:b/>
          <w:bCs/>
          <w:color w:val="auto"/>
          <w:sz w:val="28"/>
          <w:szCs w:val="28"/>
        </w:rPr>
        <w:t>评价单元的确定</w:t>
      </w:r>
      <w:bookmarkEnd w:id="121"/>
      <w:bookmarkEnd w:id="122"/>
      <w:bookmarkEnd w:id="123"/>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以装置功能为主划分评价单元。</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根据评价单元划分的原则，结合本项目装置自身的工艺特点，按照各工序的不同危险性，总体上划分为以下</w:t>
      </w:r>
      <w:r>
        <w:rPr>
          <w:rFonts w:ascii="Times New Roman" w:hAnsi="Times New Roman" w:cs="Times New Roman"/>
          <w:color w:val="auto"/>
          <w:sz w:val="28"/>
          <w:szCs w:val="28"/>
        </w:rPr>
        <w:t>6</w:t>
      </w:r>
      <w:r>
        <w:rPr>
          <w:rFonts w:hint="eastAsia" w:ascii="Times New Roman" w:hAnsi="Times New Roman" w:cs="宋体"/>
          <w:color w:val="auto"/>
          <w:sz w:val="28"/>
          <w:szCs w:val="28"/>
        </w:rPr>
        <w:t>个单元，见表</w:t>
      </w:r>
      <w:r>
        <w:rPr>
          <w:rFonts w:ascii="Times New Roman" w:hAnsi="Times New Roman" w:cs="Times New Roman"/>
          <w:color w:val="auto"/>
          <w:sz w:val="28"/>
          <w:szCs w:val="28"/>
        </w:rPr>
        <w:t>4-1</w:t>
      </w:r>
      <w:r>
        <w:rPr>
          <w:rFonts w:hint="eastAsia" w:ascii="Times New Roman" w:hAnsi="Times New Roman" w:cs="宋体"/>
          <w:color w:val="auto"/>
          <w:sz w:val="28"/>
          <w:szCs w:val="28"/>
        </w:rPr>
        <w:t>。</w:t>
      </w:r>
    </w:p>
    <w:p>
      <w:pPr>
        <w:jc w:val="center"/>
        <w:rPr>
          <w:rFonts w:ascii="Times New Roman" w:hAnsi="Times New Roman" w:cs="Times New Roman"/>
          <w:color w:val="auto"/>
          <w:lang w:val="zh-CN"/>
        </w:rPr>
      </w:pPr>
      <w:r>
        <w:rPr>
          <w:rFonts w:hint="eastAsia" w:ascii="Times New Roman" w:hAnsi="Times New Roman" w:cs="宋体"/>
          <w:color w:val="auto"/>
          <w:lang w:val="zh-CN"/>
        </w:rPr>
        <w:t>表</w:t>
      </w:r>
      <w:r>
        <w:rPr>
          <w:rFonts w:ascii="Times New Roman" w:hAnsi="Times New Roman" w:cs="Times New Roman"/>
          <w:color w:val="auto"/>
          <w:lang w:val="zh-CN"/>
        </w:rPr>
        <w:t xml:space="preserve">4-1  </w:t>
      </w:r>
      <w:r>
        <w:rPr>
          <w:rFonts w:hint="eastAsia" w:ascii="Times New Roman" w:hAnsi="Times New Roman" w:cs="宋体"/>
          <w:color w:val="auto"/>
          <w:lang w:val="zh-CN"/>
        </w:rPr>
        <w:t>评价单元划分一览表</w:t>
      </w:r>
    </w:p>
    <w:tbl>
      <w:tblPr>
        <w:tblStyle w:val="2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149"/>
        <w:gridCol w:w="1664"/>
        <w:gridCol w:w="3692"/>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54" w:type="dxa"/>
            <w:vAlign w:val="center"/>
          </w:tcPr>
          <w:p>
            <w:pPr>
              <w:spacing w:line="280" w:lineRule="exact"/>
              <w:jc w:val="center"/>
              <w:rPr>
                <w:rFonts w:ascii="Times New Roman" w:hAnsi="Times New Roman" w:cs="Times New Roman"/>
                <w:color w:val="auto"/>
              </w:rPr>
            </w:pPr>
            <w:bookmarkStart w:id="124" w:name="_Toc343692260"/>
            <w:bookmarkStart w:id="125" w:name="_Toc23955"/>
            <w:r>
              <w:rPr>
                <w:rFonts w:hint="eastAsia" w:ascii="Times New Roman" w:hAnsi="Times New Roman" w:cs="宋体"/>
                <w:color w:val="auto"/>
              </w:rPr>
              <w:t>序号</w:t>
            </w:r>
          </w:p>
        </w:tc>
        <w:tc>
          <w:tcPr>
            <w:tcW w:w="2813"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评价单元</w:t>
            </w:r>
          </w:p>
        </w:tc>
        <w:tc>
          <w:tcPr>
            <w:tcW w:w="3692"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评价的主要对象</w:t>
            </w:r>
          </w:p>
        </w:tc>
        <w:tc>
          <w:tcPr>
            <w:tcW w:w="2127" w:type="dxa"/>
            <w:vAlign w:val="center"/>
          </w:tcPr>
          <w:p>
            <w:pPr>
              <w:spacing w:line="280" w:lineRule="exact"/>
              <w:jc w:val="center"/>
              <w:rPr>
                <w:rFonts w:ascii="Times New Roman" w:hAnsi="Times New Roman" w:eastAsia="Times New Roman" w:cs="Times New Roman"/>
                <w:color w:val="auto"/>
              </w:rPr>
            </w:pPr>
            <w:r>
              <w:rPr>
                <w:rFonts w:hint="eastAsia" w:ascii="Times New Roman" w:hAnsi="Times New Roman" w:cs="宋体"/>
                <w:color w:val="auto"/>
              </w:rPr>
              <w:t>采用的评价方法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54"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1</w:t>
            </w:r>
          </w:p>
        </w:tc>
        <w:tc>
          <w:tcPr>
            <w:tcW w:w="2813"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站址及外部距离</w:t>
            </w:r>
          </w:p>
        </w:tc>
        <w:tc>
          <w:tcPr>
            <w:tcW w:w="3692"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站内设施与周边环境安全距离</w:t>
            </w:r>
          </w:p>
        </w:tc>
        <w:tc>
          <w:tcPr>
            <w:tcW w:w="21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54"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2</w:t>
            </w:r>
          </w:p>
        </w:tc>
        <w:tc>
          <w:tcPr>
            <w:tcW w:w="2813"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平面布置</w:t>
            </w:r>
          </w:p>
        </w:tc>
        <w:tc>
          <w:tcPr>
            <w:tcW w:w="3692"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站内平面布置、设施之间的安全距离</w:t>
            </w:r>
          </w:p>
        </w:tc>
        <w:tc>
          <w:tcPr>
            <w:tcW w:w="21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54"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3</w:t>
            </w:r>
          </w:p>
        </w:tc>
        <w:tc>
          <w:tcPr>
            <w:tcW w:w="2813"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工艺设施</w:t>
            </w:r>
          </w:p>
        </w:tc>
        <w:tc>
          <w:tcPr>
            <w:tcW w:w="3692"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油罐、加油机、工艺管道、液位报警、防渗措施等</w:t>
            </w:r>
          </w:p>
        </w:tc>
        <w:tc>
          <w:tcPr>
            <w:tcW w:w="21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危险度评价</w:t>
            </w:r>
          </w:p>
          <w:p>
            <w:pPr>
              <w:spacing w:line="280" w:lineRule="exact"/>
              <w:jc w:val="center"/>
              <w:rPr>
                <w:rFonts w:ascii="Times New Roman" w:hAnsi="Times New Roman" w:cs="Times New Roman"/>
                <w:b/>
                <w:bCs/>
                <w:color w:val="auto"/>
              </w:rPr>
            </w:pPr>
            <w:r>
              <w:rPr>
                <w:rFonts w:hint="eastAsia" w:ascii="Times New Roman" w:hAnsi="Times New Roman" w:cs="宋体"/>
                <w:color w:val="auto"/>
              </w:rPr>
              <w:t>作业条件危险性评价</w:t>
            </w:r>
          </w:p>
          <w:p>
            <w:pPr>
              <w:spacing w:line="280" w:lineRule="exact"/>
              <w:jc w:val="center"/>
              <w:rPr>
                <w:rFonts w:ascii="Times New Roman" w:hAnsi="Times New Roman" w:cs="Times New Roman"/>
                <w:color w:val="auto"/>
              </w:rPr>
            </w:pPr>
            <w:r>
              <w:rPr>
                <w:rFonts w:hint="eastAsia" w:ascii="Times New Roman" w:hAnsi="Times New Roman" w:cs="宋体"/>
                <w:color w:val="auto"/>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54" w:type="dxa"/>
            <w:vMerge w:val="restart"/>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4</w:t>
            </w:r>
          </w:p>
        </w:tc>
        <w:tc>
          <w:tcPr>
            <w:tcW w:w="1149" w:type="dxa"/>
            <w:vMerge w:val="restart"/>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公用工程、辅助设施</w:t>
            </w:r>
          </w:p>
        </w:tc>
        <w:tc>
          <w:tcPr>
            <w:tcW w:w="1664"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消防、给排水</w:t>
            </w:r>
          </w:p>
        </w:tc>
        <w:tc>
          <w:tcPr>
            <w:tcW w:w="3692"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灭火器材、给排水系统</w:t>
            </w:r>
          </w:p>
        </w:tc>
        <w:tc>
          <w:tcPr>
            <w:tcW w:w="21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54" w:type="dxa"/>
            <w:vMerge w:val="continue"/>
            <w:vAlign w:val="center"/>
          </w:tcPr>
          <w:p>
            <w:pPr>
              <w:spacing w:line="280" w:lineRule="exact"/>
              <w:jc w:val="center"/>
              <w:rPr>
                <w:rFonts w:ascii="Times New Roman" w:hAnsi="Times New Roman" w:cs="Times New Roman"/>
                <w:color w:val="auto"/>
              </w:rPr>
            </w:pPr>
          </w:p>
        </w:tc>
        <w:tc>
          <w:tcPr>
            <w:tcW w:w="1149" w:type="dxa"/>
            <w:vMerge w:val="continue"/>
            <w:vAlign w:val="center"/>
          </w:tcPr>
          <w:p>
            <w:pPr>
              <w:spacing w:line="280" w:lineRule="exact"/>
              <w:jc w:val="center"/>
              <w:rPr>
                <w:rFonts w:ascii="Times New Roman" w:hAnsi="Times New Roman" w:cs="Times New Roman"/>
                <w:color w:val="auto"/>
              </w:rPr>
            </w:pPr>
          </w:p>
        </w:tc>
        <w:tc>
          <w:tcPr>
            <w:tcW w:w="1664"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电气、紧急切断</w:t>
            </w:r>
          </w:p>
        </w:tc>
        <w:tc>
          <w:tcPr>
            <w:tcW w:w="3692"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供配电、防雷防静电、紧急切断系统</w:t>
            </w:r>
          </w:p>
        </w:tc>
        <w:tc>
          <w:tcPr>
            <w:tcW w:w="21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54"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5</w:t>
            </w:r>
          </w:p>
        </w:tc>
        <w:tc>
          <w:tcPr>
            <w:tcW w:w="2813"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采暖通风、建（构）筑物</w:t>
            </w:r>
          </w:p>
        </w:tc>
        <w:tc>
          <w:tcPr>
            <w:tcW w:w="3692"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采暖通风、建（构）筑物、绿化</w:t>
            </w:r>
          </w:p>
        </w:tc>
        <w:tc>
          <w:tcPr>
            <w:tcW w:w="21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54" w:type="dxa"/>
            <w:vAlign w:val="center"/>
          </w:tcPr>
          <w:p>
            <w:pPr>
              <w:spacing w:line="280" w:lineRule="exact"/>
              <w:jc w:val="center"/>
              <w:rPr>
                <w:rFonts w:ascii="Times New Roman" w:hAnsi="Times New Roman" w:cs="Times New Roman"/>
                <w:color w:val="auto"/>
              </w:rPr>
            </w:pPr>
            <w:r>
              <w:rPr>
                <w:rFonts w:ascii="Times New Roman" w:hAnsi="Times New Roman" w:cs="Times New Roman"/>
                <w:color w:val="auto"/>
              </w:rPr>
              <w:t>6</w:t>
            </w:r>
          </w:p>
        </w:tc>
        <w:tc>
          <w:tcPr>
            <w:tcW w:w="2813" w:type="dxa"/>
            <w:gridSpan w:val="2"/>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安全管理单元</w:t>
            </w:r>
          </w:p>
        </w:tc>
        <w:tc>
          <w:tcPr>
            <w:tcW w:w="3692" w:type="dxa"/>
            <w:vAlign w:val="center"/>
          </w:tcPr>
          <w:p>
            <w:pPr>
              <w:spacing w:line="280" w:lineRule="exact"/>
              <w:rPr>
                <w:rFonts w:ascii="Times New Roman" w:hAnsi="Times New Roman" w:cs="Times New Roman"/>
                <w:color w:val="auto"/>
              </w:rPr>
            </w:pPr>
            <w:r>
              <w:rPr>
                <w:rFonts w:hint="eastAsia" w:ascii="Times New Roman" w:hAnsi="Times New Roman" w:cs="宋体"/>
                <w:color w:val="auto"/>
              </w:rPr>
              <w:t>法律法规符合性、安全管理组织机构、安全管理责任制、安全管理制度及操作规程、应急救援预案</w:t>
            </w:r>
          </w:p>
        </w:tc>
        <w:tc>
          <w:tcPr>
            <w:tcW w:w="2127" w:type="dxa"/>
            <w:vAlign w:val="center"/>
          </w:tcPr>
          <w:p>
            <w:pPr>
              <w:spacing w:line="280" w:lineRule="exact"/>
              <w:jc w:val="center"/>
              <w:rPr>
                <w:rFonts w:ascii="Times New Roman" w:hAnsi="Times New Roman" w:cs="Times New Roman"/>
                <w:color w:val="auto"/>
              </w:rPr>
            </w:pPr>
            <w:r>
              <w:rPr>
                <w:rFonts w:hint="eastAsia" w:ascii="Times New Roman" w:hAnsi="Times New Roman" w:cs="宋体"/>
                <w:color w:val="auto"/>
              </w:rPr>
              <w:t>安全检查表</w:t>
            </w:r>
          </w:p>
        </w:tc>
      </w:tr>
    </w:tbl>
    <w:p>
      <w:pPr>
        <w:keepNext/>
        <w:keepLines/>
        <w:spacing w:line="600" w:lineRule="exact"/>
        <w:outlineLvl w:val="1"/>
        <w:rPr>
          <w:rFonts w:ascii="Times New Roman" w:hAnsi="Times New Roman" w:cs="Times New Roman"/>
          <w:b/>
          <w:bCs/>
          <w:color w:val="auto"/>
          <w:sz w:val="28"/>
          <w:szCs w:val="28"/>
        </w:rPr>
      </w:pPr>
      <w:bookmarkStart w:id="126" w:name="_Toc1615"/>
      <w:r>
        <w:rPr>
          <w:rFonts w:ascii="Times New Roman" w:hAnsi="Times New Roman" w:cs="Times New Roman"/>
          <w:b/>
          <w:bCs/>
          <w:color w:val="auto"/>
          <w:sz w:val="28"/>
          <w:szCs w:val="28"/>
        </w:rPr>
        <w:t xml:space="preserve">4.2 </w:t>
      </w:r>
      <w:r>
        <w:rPr>
          <w:rFonts w:hint="eastAsia" w:ascii="Times New Roman" w:hAnsi="Times New Roman" w:cs="宋体"/>
          <w:b/>
          <w:bCs/>
          <w:color w:val="auto"/>
          <w:sz w:val="28"/>
          <w:szCs w:val="28"/>
        </w:rPr>
        <w:t>评价方法简介</w:t>
      </w:r>
      <w:bookmarkEnd w:id="124"/>
      <w:bookmarkEnd w:id="125"/>
      <w:bookmarkEnd w:id="126"/>
    </w:p>
    <w:p>
      <w:pPr>
        <w:keepNext/>
        <w:keepLines/>
        <w:spacing w:line="600" w:lineRule="exact"/>
        <w:outlineLvl w:val="2"/>
        <w:rPr>
          <w:rFonts w:ascii="Times New Roman" w:hAnsi="Times New Roman" w:cs="Times New Roman"/>
          <w:b/>
          <w:bCs/>
          <w:color w:val="auto"/>
          <w:sz w:val="28"/>
          <w:szCs w:val="28"/>
        </w:rPr>
      </w:pPr>
      <w:bookmarkStart w:id="127" w:name="_Toc436"/>
      <w:r>
        <w:rPr>
          <w:rFonts w:ascii="Times New Roman" w:hAnsi="Times New Roman" w:cs="Times New Roman"/>
          <w:b/>
          <w:bCs/>
          <w:color w:val="auto"/>
          <w:sz w:val="28"/>
          <w:szCs w:val="28"/>
        </w:rPr>
        <w:t>4.2.1</w:t>
      </w:r>
      <w:r>
        <w:rPr>
          <w:rFonts w:hint="eastAsia" w:ascii="Times New Roman" w:hAnsi="Times New Roman" w:cs="宋体"/>
          <w:b/>
          <w:bCs/>
          <w:color w:val="auto"/>
          <w:sz w:val="28"/>
          <w:szCs w:val="28"/>
        </w:rPr>
        <w:t>作业条件危险性评价法</w:t>
      </w:r>
      <w:bookmarkEnd w:id="127"/>
    </w:p>
    <w:p>
      <w:pPr>
        <w:spacing w:line="600" w:lineRule="exact"/>
        <w:rPr>
          <w:rFonts w:ascii="Times New Roman" w:hAnsi="Times New Roman" w:cs="Times New Roman"/>
          <w:b/>
          <w:bCs/>
          <w:color w:val="auto"/>
          <w:sz w:val="28"/>
          <w:szCs w:val="28"/>
        </w:rPr>
      </w:pPr>
      <w:r>
        <w:rPr>
          <w:rFonts w:ascii="Times New Roman" w:hAnsi="Times New Roman" w:cs="Times New Roman"/>
          <w:b/>
          <w:bCs/>
          <w:color w:val="auto"/>
          <w:sz w:val="28"/>
          <w:szCs w:val="28"/>
        </w:rPr>
        <w:t>4.2.1.1</w:t>
      </w:r>
      <w:r>
        <w:rPr>
          <w:rFonts w:hint="eastAsia" w:ascii="Times New Roman" w:hAnsi="Times New Roman" w:cs="宋体"/>
          <w:b/>
          <w:bCs/>
          <w:color w:val="auto"/>
          <w:sz w:val="28"/>
          <w:szCs w:val="28"/>
        </w:rPr>
        <w:t>评价方法简介</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作业条件危险性评价法是一种简单易行的评价操作人员在具有潜在危险性环境中作业时的危险性的半定量评价方法。</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作业条件危险性评价法用与系统风险有关的三种因素指标值之积来评价操作人员伤亡风险大小，这三种因素是</w:t>
      </w:r>
      <w:r>
        <w:rPr>
          <w:rFonts w:ascii="Times New Roman" w:hAnsi="Times New Roman" w:cs="Times New Roman"/>
          <w:color w:val="auto"/>
          <w:sz w:val="28"/>
          <w:szCs w:val="28"/>
        </w:rPr>
        <w:t>L</w:t>
      </w:r>
      <w:r>
        <w:rPr>
          <w:rFonts w:hint="eastAsia" w:ascii="Times New Roman" w:hAnsi="Times New Roman" w:cs="宋体"/>
          <w:color w:val="auto"/>
          <w:sz w:val="28"/>
          <w:szCs w:val="28"/>
        </w:rPr>
        <w:t>：事故发生的可能性；</w:t>
      </w:r>
      <w:r>
        <w:rPr>
          <w:rFonts w:ascii="Times New Roman" w:hAnsi="Times New Roman" w:cs="Times New Roman"/>
          <w:color w:val="auto"/>
          <w:sz w:val="28"/>
          <w:szCs w:val="28"/>
        </w:rPr>
        <w:t>E</w:t>
      </w:r>
      <w:r>
        <w:rPr>
          <w:rFonts w:hint="eastAsia" w:ascii="Times New Roman" w:hAnsi="Times New Roman" w:cs="宋体"/>
          <w:color w:val="auto"/>
          <w:sz w:val="28"/>
          <w:szCs w:val="28"/>
        </w:rPr>
        <w:t>：人员暴露于危险环境中的频繁程度；</w:t>
      </w:r>
      <w:r>
        <w:rPr>
          <w:rFonts w:ascii="Times New Roman" w:hAnsi="Times New Roman" w:cs="Times New Roman"/>
          <w:color w:val="auto"/>
          <w:sz w:val="28"/>
          <w:szCs w:val="28"/>
        </w:rPr>
        <w:t>C</w:t>
      </w:r>
      <w:r>
        <w:rPr>
          <w:rFonts w:hint="eastAsia" w:ascii="Times New Roman" w:hAnsi="Times New Roman" w:cs="宋体"/>
          <w:color w:val="auto"/>
          <w:sz w:val="28"/>
          <w:szCs w:val="28"/>
        </w:rPr>
        <w:t>：一旦发生事故可能造成的后果。给三种因素的不同等级分别确定不同的分值，再以三个分值的乘积</w:t>
      </w:r>
      <w:r>
        <w:rPr>
          <w:rFonts w:ascii="Times New Roman" w:hAnsi="Times New Roman" w:cs="Times New Roman"/>
          <w:color w:val="auto"/>
          <w:sz w:val="28"/>
          <w:szCs w:val="28"/>
        </w:rPr>
        <w:t>D</w:t>
      </w:r>
      <w:r>
        <w:rPr>
          <w:rFonts w:hint="eastAsia" w:ascii="Times New Roman" w:hAnsi="Times New Roman" w:cs="宋体"/>
          <w:color w:val="auto"/>
          <w:sz w:val="28"/>
          <w:szCs w:val="28"/>
        </w:rPr>
        <w:t>来评价作业条件危险性的大小。即：</w:t>
      </w:r>
      <w:r>
        <w:rPr>
          <w:rFonts w:ascii="Times New Roman" w:hAnsi="Times New Roman" w:cs="Times New Roman"/>
          <w:color w:val="auto"/>
          <w:sz w:val="28"/>
          <w:szCs w:val="28"/>
        </w:rPr>
        <w:t>D</w:t>
      </w:r>
      <w:r>
        <w:rPr>
          <w:rFonts w:hint="eastAsia" w:ascii="Times New Roman" w:hAnsi="Times New Roman" w:cs="宋体"/>
          <w:color w:val="auto"/>
          <w:sz w:val="28"/>
          <w:szCs w:val="28"/>
        </w:rPr>
        <w:t>＝</w:t>
      </w:r>
      <w:r>
        <w:rPr>
          <w:rFonts w:ascii="Times New Roman" w:hAnsi="Times New Roman" w:cs="Times New Roman"/>
          <w:color w:val="auto"/>
          <w:sz w:val="28"/>
          <w:szCs w:val="28"/>
        </w:rPr>
        <w:t>L×E×C</w:t>
      </w:r>
      <w:r>
        <w:rPr>
          <w:rFonts w:hint="eastAsia" w:ascii="Times New Roman" w:hAnsi="Times New Roman" w:cs="宋体"/>
          <w:color w:val="auto"/>
          <w:sz w:val="28"/>
          <w:szCs w:val="28"/>
        </w:rPr>
        <w:t>。</w:t>
      </w:r>
    </w:p>
    <w:p>
      <w:pPr>
        <w:spacing w:line="600" w:lineRule="exact"/>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r>
        <w:rPr>
          <w:rFonts w:ascii="Times New Roman" w:hAnsi="Times New Roman" w:cs="Times New Roman"/>
          <w:b/>
          <w:bCs/>
          <w:color w:val="auto"/>
          <w:sz w:val="28"/>
          <w:szCs w:val="28"/>
        </w:rPr>
        <w:t>4.2.1.2</w:t>
      </w:r>
      <w:r>
        <w:rPr>
          <w:rFonts w:hint="eastAsia" w:ascii="Times New Roman" w:hAnsi="Times New Roman" w:cs="宋体"/>
          <w:b/>
          <w:bCs/>
          <w:color w:val="auto"/>
          <w:sz w:val="28"/>
          <w:szCs w:val="28"/>
        </w:rPr>
        <w:t>评价步骤</w:t>
      </w:r>
    </w:p>
    <w:p>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评价步骤为：</w:t>
      </w:r>
    </w:p>
    <w:p>
      <w:pPr>
        <w:spacing w:line="600" w:lineRule="exact"/>
        <w:ind w:firstLine="57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、以类比作业条件比较为基础，由熟悉作业条件的人员组成评价小组；</w:t>
      </w:r>
    </w:p>
    <w:p>
      <w:pPr>
        <w:spacing w:line="600" w:lineRule="exact"/>
        <w:ind w:firstLine="570"/>
        <w:rPr>
          <w:rFonts w:ascii="Times New Roman" w:hAnsi="Times New Roman" w:cs="Times New Roman"/>
          <w:color w:val="auto"/>
          <w:spacing w:val="-8"/>
          <w:sz w:val="28"/>
          <w:szCs w:val="28"/>
        </w:rPr>
      </w:pPr>
      <w:r>
        <w:rPr>
          <w:rFonts w:ascii="Times New Roman" w:hAnsi="Times New Roman" w:cs="Times New Roman"/>
          <w:color w:val="auto"/>
          <w:spacing w:val="-8"/>
          <w:sz w:val="28"/>
          <w:szCs w:val="28"/>
        </w:rPr>
        <w:t>2</w:t>
      </w:r>
      <w:r>
        <w:rPr>
          <w:rFonts w:hint="eastAsia" w:ascii="Times New Roman" w:hAnsi="Times New Roman" w:cs="宋体"/>
          <w:color w:val="auto"/>
          <w:spacing w:val="-8"/>
          <w:sz w:val="28"/>
          <w:szCs w:val="28"/>
        </w:rPr>
        <w:t>、由评价小组成员按照标准给</w:t>
      </w:r>
      <w:r>
        <w:rPr>
          <w:rFonts w:ascii="Times New Roman" w:hAnsi="Times New Roman" w:cs="Times New Roman"/>
          <w:color w:val="auto"/>
          <w:spacing w:val="-8"/>
          <w:sz w:val="28"/>
          <w:szCs w:val="28"/>
        </w:rPr>
        <w:t>L</w:t>
      </w:r>
      <w:r>
        <w:rPr>
          <w:rFonts w:hint="eastAsia" w:ascii="Times New Roman" w:hAnsi="Times New Roman" w:cs="宋体"/>
          <w:color w:val="auto"/>
          <w:spacing w:val="-8"/>
          <w:sz w:val="28"/>
          <w:szCs w:val="28"/>
        </w:rPr>
        <w:t>、</w:t>
      </w:r>
      <w:r>
        <w:rPr>
          <w:rFonts w:ascii="Times New Roman" w:hAnsi="Times New Roman" w:cs="Times New Roman"/>
          <w:color w:val="auto"/>
          <w:spacing w:val="-8"/>
          <w:sz w:val="28"/>
          <w:szCs w:val="28"/>
        </w:rPr>
        <w:t>E</w:t>
      </w:r>
      <w:r>
        <w:rPr>
          <w:rFonts w:hint="eastAsia" w:ascii="Times New Roman" w:hAnsi="Times New Roman" w:cs="宋体"/>
          <w:color w:val="auto"/>
          <w:spacing w:val="-8"/>
          <w:sz w:val="28"/>
          <w:szCs w:val="28"/>
        </w:rPr>
        <w:t>、</w:t>
      </w:r>
      <w:r>
        <w:rPr>
          <w:rFonts w:ascii="Times New Roman" w:hAnsi="Times New Roman" w:cs="Times New Roman"/>
          <w:color w:val="auto"/>
          <w:spacing w:val="-8"/>
          <w:sz w:val="28"/>
          <w:szCs w:val="28"/>
        </w:rPr>
        <w:t>C</w:t>
      </w:r>
      <w:r>
        <w:rPr>
          <w:rFonts w:hint="eastAsia" w:ascii="Times New Roman" w:hAnsi="Times New Roman" w:cs="宋体"/>
          <w:color w:val="auto"/>
          <w:spacing w:val="-8"/>
          <w:sz w:val="28"/>
          <w:szCs w:val="28"/>
        </w:rPr>
        <w:t>分别打分，取各组的平均值作为</w:t>
      </w:r>
      <w:r>
        <w:rPr>
          <w:rFonts w:ascii="Times New Roman" w:hAnsi="Times New Roman" w:cs="Times New Roman"/>
          <w:color w:val="auto"/>
          <w:spacing w:val="-8"/>
          <w:sz w:val="28"/>
          <w:szCs w:val="28"/>
        </w:rPr>
        <w:t>L</w:t>
      </w:r>
      <w:r>
        <w:rPr>
          <w:rFonts w:hint="eastAsia" w:ascii="Times New Roman" w:hAnsi="Times New Roman" w:cs="宋体"/>
          <w:color w:val="auto"/>
          <w:spacing w:val="-8"/>
          <w:sz w:val="28"/>
          <w:szCs w:val="28"/>
        </w:rPr>
        <w:t>、</w:t>
      </w:r>
      <w:r>
        <w:rPr>
          <w:rFonts w:ascii="Times New Roman" w:hAnsi="Times New Roman" w:cs="Times New Roman"/>
          <w:color w:val="auto"/>
          <w:spacing w:val="-8"/>
          <w:sz w:val="28"/>
          <w:szCs w:val="28"/>
        </w:rPr>
        <w:t>E</w:t>
      </w:r>
      <w:r>
        <w:rPr>
          <w:rFonts w:hint="eastAsia" w:ascii="Times New Roman" w:hAnsi="Times New Roman" w:cs="宋体"/>
          <w:color w:val="auto"/>
          <w:spacing w:val="-8"/>
          <w:sz w:val="28"/>
          <w:szCs w:val="28"/>
        </w:rPr>
        <w:t>、</w:t>
      </w:r>
      <w:r>
        <w:rPr>
          <w:rFonts w:ascii="Times New Roman" w:hAnsi="Times New Roman" w:cs="Times New Roman"/>
          <w:color w:val="auto"/>
          <w:spacing w:val="-8"/>
          <w:sz w:val="28"/>
          <w:szCs w:val="28"/>
        </w:rPr>
        <w:t>C</w:t>
      </w:r>
      <w:r>
        <w:rPr>
          <w:rFonts w:hint="eastAsia" w:ascii="Times New Roman" w:hAnsi="Times New Roman" w:cs="宋体"/>
          <w:color w:val="auto"/>
          <w:spacing w:val="-8"/>
          <w:sz w:val="28"/>
          <w:szCs w:val="28"/>
        </w:rPr>
        <w:t>的计算分值，用计算的危险性分值</w:t>
      </w:r>
      <w:r>
        <w:rPr>
          <w:rFonts w:ascii="Times New Roman" w:hAnsi="Times New Roman" w:cs="Times New Roman"/>
          <w:color w:val="auto"/>
          <w:spacing w:val="-8"/>
          <w:sz w:val="28"/>
          <w:szCs w:val="28"/>
        </w:rPr>
        <w:t>D</w:t>
      </w:r>
      <w:r>
        <w:rPr>
          <w:rFonts w:hint="eastAsia" w:ascii="Times New Roman" w:hAnsi="Times New Roman" w:cs="宋体"/>
          <w:color w:val="auto"/>
          <w:spacing w:val="-8"/>
          <w:sz w:val="28"/>
          <w:szCs w:val="28"/>
        </w:rPr>
        <w:t>来评价作业条件的危险性等级。</w:t>
      </w:r>
    </w:p>
    <w:p>
      <w:pPr>
        <w:spacing w:line="600" w:lineRule="exact"/>
        <w:rPr>
          <w:rFonts w:ascii="Times New Roman" w:hAnsi="Times New Roman" w:cs="Times New Roman"/>
          <w:b/>
          <w:bCs/>
          <w:color w:val="auto"/>
          <w:sz w:val="28"/>
          <w:szCs w:val="28"/>
        </w:rPr>
      </w:pPr>
      <w:r>
        <w:rPr>
          <w:rFonts w:ascii="Times New Roman" w:hAnsi="Times New Roman" w:cs="Times New Roman"/>
          <w:b/>
          <w:bCs/>
          <w:color w:val="auto"/>
          <w:sz w:val="28"/>
          <w:szCs w:val="28"/>
        </w:rPr>
        <w:t>4.2.1.3</w:t>
      </w:r>
      <w:r>
        <w:rPr>
          <w:rFonts w:hint="eastAsia" w:ascii="Times New Roman" w:hAnsi="Times New Roman" w:cs="宋体"/>
          <w:b/>
          <w:bCs/>
          <w:color w:val="auto"/>
          <w:sz w:val="28"/>
          <w:szCs w:val="28"/>
        </w:rPr>
        <w:t>赋分标准</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、事故发生的可能性（</w:t>
      </w:r>
      <w:r>
        <w:rPr>
          <w:rFonts w:ascii="Times New Roman" w:hAnsi="Times New Roman" w:cs="Times New Roman"/>
          <w:color w:val="auto"/>
          <w:sz w:val="28"/>
          <w:szCs w:val="28"/>
        </w:rPr>
        <w:t>L</w:t>
      </w:r>
      <w:r>
        <w:rPr>
          <w:rFonts w:hint="eastAsia" w:ascii="Times New Roman" w:hAnsi="Times New Roman" w:cs="宋体"/>
          <w:color w:val="auto"/>
          <w:sz w:val="28"/>
          <w:szCs w:val="28"/>
        </w:rPr>
        <w:t>）</w:t>
      </w:r>
    </w:p>
    <w:p>
      <w:pPr>
        <w:spacing w:line="600" w:lineRule="exact"/>
        <w:ind w:firstLine="570"/>
        <w:rPr>
          <w:rFonts w:ascii="Times New Roman" w:hAnsi="Times New Roman" w:cs="Times New Roman"/>
          <w:b/>
          <w:bCs/>
          <w:color w:val="auto"/>
          <w:sz w:val="28"/>
          <w:szCs w:val="28"/>
        </w:rPr>
      </w:pPr>
      <w:r>
        <w:rPr>
          <w:rFonts w:hint="eastAsia" w:ascii="Times New Roman" w:hAnsi="Times New Roman" w:cs="宋体"/>
          <w:color w:val="auto"/>
          <w:sz w:val="28"/>
          <w:szCs w:val="28"/>
        </w:rPr>
        <w:t>事故发生的可能性用概率来表示时，绝对不可能发生的事故频率为</w:t>
      </w:r>
      <w:r>
        <w:rPr>
          <w:rFonts w:ascii="Times New Roman" w:hAnsi="Times New Roman" w:cs="Times New Roman"/>
          <w:color w:val="auto"/>
          <w:sz w:val="28"/>
          <w:szCs w:val="28"/>
        </w:rPr>
        <w:t>0</w:t>
      </w:r>
      <w:r>
        <w:rPr>
          <w:rFonts w:hint="eastAsia" w:ascii="Times New Roman" w:hAnsi="Times New Roman" w:cs="宋体"/>
          <w:color w:val="auto"/>
          <w:sz w:val="28"/>
          <w:szCs w:val="28"/>
        </w:rPr>
        <w:t>，而必然发生的事故概率为</w:t>
      </w:r>
      <w:r>
        <w:rPr>
          <w:rFonts w:ascii="Times New Roman" w:hAnsi="Times New Roman" w:cs="Times New Roman"/>
          <w:color w:val="auto"/>
          <w:sz w:val="28"/>
          <w:szCs w:val="28"/>
        </w:rPr>
        <w:t>1</w:t>
      </w:r>
      <w:r>
        <w:rPr>
          <w:rFonts w:hint="eastAsia" w:ascii="Times New Roman" w:hAnsi="Times New Roman" w:cs="宋体"/>
          <w:color w:val="auto"/>
          <w:sz w:val="28"/>
          <w:szCs w:val="28"/>
        </w:rPr>
        <w:t>。然而，从系统安全的角度考虑，绝对不发生的事故是不可能的，所以人为地将发生事故的可能性极小的分值定为</w:t>
      </w:r>
      <w:r>
        <w:rPr>
          <w:rFonts w:ascii="Times New Roman" w:hAnsi="Times New Roman" w:cs="Times New Roman"/>
          <w:color w:val="auto"/>
          <w:sz w:val="28"/>
          <w:szCs w:val="28"/>
        </w:rPr>
        <w:t>0.1</w:t>
      </w:r>
      <w:r>
        <w:rPr>
          <w:rFonts w:hint="eastAsia" w:ascii="Times New Roman" w:hAnsi="Times New Roman" w:cs="宋体"/>
          <w:color w:val="auto"/>
          <w:sz w:val="28"/>
          <w:szCs w:val="28"/>
        </w:rPr>
        <w:t>，而必然要发生的事故的分值定为</w:t>
      </w:r>
      <w:r>
        <w:rPr>
          <w:rFonts w:ascii="Times New Roman" w:hAnsi="Times New Roman" w:cs="Times New Roman"/>
          <w:color w:val="auto"/>
          <w:sz w:val="28"/>
          <w:szCs w:val="28"/>
        </w:rPr>
        <w:t>10</w:t>
      </w:r>
      <w:r>
        <w:rPr>
          <w:rFonts w:hint="eastAsia" w:ascii="Times New Roman" w:hAnsi="Times New Roman" w:cs="宋体"/>
          <w:color w:val="auto"/>
          <w:sz w:val="28"/>
          <w:szCs w:val="28"/>
        </w:rPr>
        <w:t>，以此为基础介于这两者之间的指定为若干中间值。见表</w:t>
      </w:r>
      <w:r>
        <w:rPr>
          <w:rFonts w:ascii="Times New Roman" w:hAnsi="Times New Roman" w:cs="Times New Roman"/>
          <w:color w:val="auto"/>
          <w:sz w:val="28"/>
          <w:szCs w:val="28"/>
        </w:rPr>
        <w:t>4-2</w:t>
      </w:r>
      <w:r>
        <w:rPr>
          <w:rFonts w:hint="eastAsia" w:ascii="Times New Roman" w:hAnsi="Times New Roman" w:cs="宋体"/>
          <w:color w:val="auto"/>
          <w:sz w:val="28"/>
          <w:szCs w:val="28"/>
        </w:rPr>
        <w:t>。</w:t>
      </w:r>
    </w:p>
    <w:p>
      <w:pPr>
        <w:spacing w:line="600" w:lineRule="exact"/>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 xml:space="preserve">4-2  </w:t>
      </w:r>
      <w:r>
        <w:rPr>
          <w:rFonts w:hint="eastAsia" w:ascii="Times New Roman" w:hAnsi="Times New Roman" w:cs="宋体"/>
          <w:b/>
          <w:bCs/>
          <w:color w:val="auto"/>
          <w:sz w:val="24"/>
          <w:szCs w:val="24"/>
          <w:lang w:val="zh-CN"/>
        </w:rPr>
        <w:t>事故发生的可能性（</w:t>
      </w:r>
      <w:r>
        <w:rPr>
          <w:rFonts w:ascii="Times New Roman" w:hAnsi="Times New Roman" w:cs="Times New Roman"/>
          <w:b/>
          <w:bCs/>
          <w:color w:val="auto"/>
          <w:sz w:val="24"/>
          <w:szCs w:val="24"/>
          <w:lang w:val="zh-CN"/>
        </w:rPr>
        <w:t>L</w:t>
      </w:r>
      <w:r>
        <w:rPr>
          <w:rFonts w:hint="eastAsia" w:ascii="Times New Roman" w:hAnsi="Times New Roman" w:cs="宋体"/>
          <w:b/>
          <w:bCs/>
          <w:color w:val="auto"/>
          <w:sz w:val="24"/>
          <w:szCs w:val="24"/>
          <w:lang w:val="zh-CN"/>
        </w:rPr>
        <w:t>）</w:t>
      </w:r>
    </w:p>
    <w:tbl>
      <w:tblPr>
        <w:tblStyle w:val="20"/>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377"/>
        <w:gridCol w:w="1130"/>
        <w:gridCol w:w="3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1232" w:type="dxa"/>
            <w:vAlign w:val="center"/>
          </w:tcPr>
          <w:p>
            <w:pPr>
              <w:jc w:val="center"/>
              <w:rPr>
                <w:rFonts w:ascii="Times New Roman" w:hAnsi="Times New Roman" w:cs="Times New Roman"/>
                <w:color w:val="auto"/>
              </w:rPr>
            </w:pPr>
            <w:r>
              <w:rPr>
                <w:rFonts w:hint="eastAsia" w:ascii="Times New Roman" w:hAnsi="Times New Roman" w:cs="宋体"/>
                <w:color w:val="auto"/>
              </w:rPr>
              <w:t>分数值</w:t>
            </w:r>
          </w:p>
        </w:tc>
        <w:tc>
          <w:tcPr>
            <w:tcW w:w="3377" w:type="dxa"/>
            <w:vAlign w:val="center"/>
          </w:tcPr>
          <w:p>
            <w:pPr>
              <w:jc w:val="center"/>
              <w:rPr>
                <w:rFonts w:ascii="Times New Roman" w:hAnsi="Times New Roman" w:cs="Times New Roman"/>
                <w:color w:val="auto"/>
              </w:rPr>
            </w:pPr>
            <w:r>
              <w:rPr>
                <w:rFonts w:hint="eastAsia" w:ascii="Times New Roman" w:hAnsi="Times New Roman" w:cs="宋体"/>
                <w:color w:val="auto"/>
              </w:rPr>
              <w:t>事故发生的可能性</w:t>
            </w:r>
          </w:p>
        </w:tc>
        <w:tc>
          <w:tcPr>
            <w:tcW w:w="1130" w:type="dxa"/>
            <w:vAlign w:val="center"/>
          </w:tcPr>
          <w:p>
            <w:pPr>
              <w:jc w:val="center"/>
              <w:rPr>
                <w:rFonts w:ascii="Times New Roman" w:hAnsi="Times New Roman" w:cs="Times New Roman"/>
                <w:color w:val="auto"/>
              </w:rPr>
            </w:pPr>
            <w:r>
              <w:rPr>
                <w:rFonts w:hint="eastAsia" w:ascii="Times New Roman" w:hAnsi="Times New Roman" w:cs="宋体"/>
                <w:color w:val="auto"/>
              </w:rPr>
              <w:t>分数值</w:t>
            </w:r>
          </w:p>
        </w:tc>
        <w:tc>
          <w:tcPr>
            <w:tcW w:w="3479" w:type="dxa"/>
            <w:vAlign w:val="center"/>
          </w:tcPr>
          <w:p>
            <w:pPr>
              <w:jc w:val="center"/>
              <w:rPr>
                <w:rFonts w:ascii="Times New Roman" w:hAnsi="Times New Roman" w:cs="Times New Roman"/>
                <w:color w:val="auto"/>
              </w:rPr>
            </w:pPr>
            <w:r>
              <w:rPr>
                <w:rFonts w:hint="eastAsia" w:ascii="Times New Roman" w:hAnsi="Times New Roman" w:cs="宋体"/>
                <w:color w:val="auto"/>
              </w:rPr>
              <w:t>事故发生的可能性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1232" w:type="dxa"/>
            <w:vAlign w:val="center"/>
          </w:tcPr>
          <w:p>
            <w:pPr>
              <w:jc w:val="center"/>
              <w:rPr>
                <w:rFonts w:ascii="Times New Roman" w:hAnsi="Times New Roman" w:cs="Times New Roman"/>
                <w:color w:val="auto"/>
              </w:rPr>
            </w:pPr>
            <w:r>
              <w:rPr>
                <w:rFonts w:ascii="Times New Roman" w:hAnsi="Times New Roman" w:cs="Times New Roman"/>
                <w:color w:val="auto"/>
              </w:rPr>
              <w:t>10</w:t>
            </w:r>
          </w:p>
        </w:tc>
        <w:tc>
          <w:tcPr>
            <w:tcW w:w="3377" w:type="dxa"/>
            <w:vAlign w:val="center"/>
          </w:tcPr>
          <w:p>
            <w:pPr>
              <w:jc w:val="center"/>
              <w:rPr>
                <w:rFonts w:ascii="Times New Roman" w:hAnsi="Times New Roman" w:cs="Times New Roman"/>
                <w:color w:val="auto"/>
              </w:rPr>
            </w:pPr>
            <w:r>
              <w:rPr>
                <w:rFonts w:hint="eastAsia" w:ascii="Times New Roman" w:hAnsi="Times New Roman" w:cs="宋体"/>
                <w:color w:val="auto"/>
              </w:rPr>
              <w:t>完全可以预料到</w:t>
            </w:r>
          </w:p>
        </w:tc>
        <w:tc>
          <w:tcPr>
            <w:tcW w:w="1130" w:type="dxa"/>
            <w:vAlign w:val="center"/>
          </w:tcPr>
          <w:p>
            <w:pPr>
              <w:jc w:val="center"/>
              <w:rPr>
                <w:rFonts w:ascii="Times New Roman" w:hAnsi="Times New Roman" w:cs="Times New Roman"/>
                <w:color w:val="auto"/>
              </w:rPr>
            </w:pPr>
            <w:r>
              <w:rPr>
                <w:rFonts w:ascii="Times New Roman" w:hAnsi="Times New Roman" w:cs="Times New Roman"/>
                <w:color w:val="auto"/>
              </w:rPr>
              <w:t>0.5</w:t>
            </w:r>
          </w:p>
        </w:tc>
        <w:tc>
          <w:tcPr>
            <w:tcW w:w="3479" w:type="dxa"/>
            <w:vAlign w:val="center"/>
          </w:tcPr>
          <w:p>
            <w:pPr>
              <w:jc w:val="center"/>
              <w:rPr>
                <w:rFonts w:ascii="Times New Roman" w:hAnsi="Times New Roman" w:cs="Times New Roman"/>
                <w:color w:val="auto"/>
              </w:rPr>
            </w:pPr>
            <w:r>
              <w:rPr>
                <w:rFonts w:hint="eastAsia" w:ascii="Times New Roman" w:hAnsi="Times New Roman" w:cs="宋体"/>
                <w:color w:val="auto"/>
              </w:rPr>
              <w:t>极不可能，可以设想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1232" w:type="dxa"/>
            <w:vAlign w:val="center"/>
          </w:tcPr>
          <w:p>
            <w:pPr>
              <w:jc w:val="center"/>
              <w:rPr>
                <w:rFonts w:ascii="Times New Roman" w:hAnsi="Times New Roman" w:cs="Times New Roman"/>
                <w:color w:val="auto"/>
              </w:rPr>
            </w:pPr>
            <w:r>
              <w:rPr>
                <w:rFonts w:ascii="Times New Roman" w:hAnsi="Times New Roman" w:cs="Times New Roman"/>
                <w:color w:val="auto"/>
              </w:rPr>
              <w:t>5</w:t>
            </w:r>
          </w:p>
        </w:tc>
        <w:tc>
          <w:tcPr>
            <w:tcW w:w="3377" w:type="dxa"/>
            <w:vAlign w:val="center"/>
          </w:tcPr>
          <w:p>
            <w:pPr>
              <w:jc w:val="center"/>
              <w:rPr>
                <w:rFonts w:ascii="Times New Roman" w:hAnsi="Times New Roman" w:cs="Times New Roman"/>
                <w:color w:val="auto"/>
              </w:rPr>
            </w:pPr>
            <w:r>
              <w:rPr>
                <w:rFonts w:hint="eastAsia" w:ascii="Times New Roman" w:hAnsi="Times New Roman" w:cs="宋体"/>
                <w:color w:val="auto"/>
              </w:rPr>
              <w:t>相当可能</w:t>
            </w:r>
          </w:p>
        </w:tc>
        <w:tc>
          <w:tcPr>
            <w:tcW w:w="1130" w:type="dxa"/>
            <w:vAlign w:val="center"/>
          </w:tcPr>
          <w:p>
            <w:pPr>
              <w:jc w:val="center"/>
              <w:rPr>
                <w:rFonts w:ascii="Times New Roman" w:hAnsi="Times New Roman" w:cs="Times New Roman"/>
                <w:color w:val="auto"/>
              </w:rPr>
            </w:pPr>
            <w:r>
              <w:rPr>
                <w:rFonts w:ascii="Times New Roman" w:hAnsi="Times New Roman" w:cs="Times New Roman"/>
                <w:color w:val="auto"/>
              </w:rPr>
              <w:t>0.2</w:t>
            </w:r>
          </w:p>
        </w:tc>
        <w:tc>
          <w:tcPr>
            <w:tcW w:w="3479" w:type="dxa"/>
            <w:vAlign w:val="center"/>
          </w:tcPr>
          <w:p>
            <w:pPr>
              <w:jc w:val="center"/>
              <w:rPr>
                <w:rFonts w:ascii="Times New Roman" w:hAnsi="Times New Roman" w:cs="Times New Roman"/>
                <w:color w:val="auto"/>
              </w:rPr>
            </w:pPr>
            <w:r>
              <w:rPr>
                <w:rFonts w:hint="eastAsia" w:ascii="Times New Roman" w:hAnsi="Times New Roman" w:cs="宋体"/>
                <w:color w:val="auto"/>
              </w:rPr>
              <w:t>极不可能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1232" w:type="dxa"/>
            <w:vAlign w:val="center"/>
          </w:tcPr>
          <w:p>
            <w:pPr>
              <w:jc w:val="center"/>
              <w:rPr>
                <w:rFonts w:ascii="Times New Roman" w:hAnsi="Times New Roman" w:cs="Times New Roman"/>
                <w:color w:val="auto"/>
              </w:rPr>
            </w:pPr>
            <w:r>
              <w:rPr>
                <w:rFonts w:ascii="Times New Roman" w:hAnsi="Times New Roman" w:cs="Times New Roman"/>
                <w:color w:val="auto"/>
              </w:rPr>
              <w:t>3</w:t>
            </w:r>
          </w:p>
        </w:tc>
        <w:tc>
          <w:tcPr>
            <w:tcW w:w="3377" w:type="dxa"/>
            <w:vAlign w:val="center"/>
          </w:tcPr>
          <w:p>
            <w:pPr>
              <w:jc w:val="center"/>
              <w:rPr>
                <w:rFonts w:ascii="Times New Roman" w:hAnsi="Times New Roman" w:cs="Times New Roman"/>
                <w:color w:val="auto"/>
              </w:rPr>
            </w:pPr>
            <w:r>
              <w:rPr>
                <w:rFonts w:hint="eastAsia" w:ascii="Times New Roman" w:hAnsi="Times New Roman" w:cs="宋体"/>
                <w:color w:val="auto"/>
              </w:rPr>
              <w:t>可能，但不经常</w:t>
            </w:r>
          </w:p>
        </w:tc>
        <w:tc>
          <w:tcPr>
            <w:tcW w:w="1130" w:type="dxa"/>
            <w:vAlign w:val="center"/>
          </w:tcPr>
          <w:p>
            <w:pPr>
              <w:jc w:val="center"/>
              <w:rPr>
                <w:rFonts w:ascii="Times New Roman" w:hAnsi="Times New Roman" w:cs="Times New Roman"/>
                <w:color w:val="auto"/>
              </w:rPr>
            </w:pPr>
            <w:r>
              <w:rPr>
                <w:rFonts w:ascii="Times New Roman" w:hAnsi="Times New Roman" w:cs="Times New Roman"/>
                <w:color w:val="auto"/>
              </w:rPr>
              <w:t>0.1</w:t>
            </w:r>
          </w:p>
        </w:tc>
        <w:tc>
          <w:tcPr>
            <w:tcW w:w="3479" w:type="dxa"/>
            <w:vAlign w:val="center"/>
          </w:tcPr>
          <w:p>
            <w:pPr>
              <w:jc w:val="center"/>
              <w:rPr>
                <w:rFonts w:ascii="Times New Roman" w:hAnsi="Times New Roman" w:cs="Times New Roman"/>
                <w:color w:val="auto"/>
              </w:rPr>
            </w:pPr>
            <w:r>
              <w:rPr>
                <w:rFonts w:hint="eastAsia" w:ascii="Times New Roman" w:hAnsi="Times New Roman" w:cs="宋体"/>
                <w:color w:val="auto"/>
              </w:rPr>
              <w:t>实际不可能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exact"/>
          <w:jc w:val="center"/>
        </w:trPr>
        <w:tc>
          <w:tcPr>
            <w:tcW w:w="1232" w:type="dxa"/>
            <w:vAlign w:val="center"/>
          </w:tcPr>
          <w:p>
            <w:pPr>
              <w:jc w:val="center"/>
              <w:rPr>
                <w:rFonts w:ascii="Times New Roman" w:hAnsi="Times New Roman" w:cs="Times New Roman"/>
                <w:color w:val="auto"/>
              </w:rPr>
            </w:pPr>
            <w:r>
              <w:rPr>
                <w:rFonts w:ascii="Times New Roman" w:hAnsi="Times New Roman" w:cs="Times New Roman"/>
                <w:color w:val="auto"/>
              </w:rPr>
              <w:t>1</w:t>
            </w:r>
          </w:p>
        </w:tc>
        <w:tc>
          <w:tcPr>
            <w:tcW w:w="3377" w:type="dxa"/>
            <w:vAlign w:val="center"/>
          </w:tcPr>
          <w:p>
            <w:pPr>
              <w:jc w:val="center"/>
              <w:rPr>
                <w:rFonts w:ascii="Times New Roman" w:hAnsi="Times New Roman" w:cs="Times New Roman"/>
                <w:color w:val="auto"/>
              </w:rPr>
            </w:pPr>
            <w:r>
              <w:rPr>
                <w:rFonts w:hint="eastAsia" w:ascii="Times New Roman" w:hAnsi="Times New Roman" w:cs="宋体"/>
                <w:color w:val="auto"/>
              </w:rPr>
              <w:t>可能性小，完全意外</w:t>
            </w:r>
          </w:p>
        </w:tc>
        <w:tc>
          <w:tcPr>
            <w:tcW w:w="1130" w:type="dxa"/>
            <w:vAlign w:val="center"/>
          </w:tcPr>
          <w:p>
            <w:pPr>
              <w:jc w:val="center"/>
              <w:rPr>
                <w:rFonts w:ascii="Times New Roman" w:hAnsi="Times New Roman" w:cs="Times New Roman"/>
                <w:color w:val="auto"/>
              </w:rPr>
            </w:pPr>
          </w:p>
        </w:tc>
        <w:tc>
          <w:tcPr>
            <w:tcW w:w="3479" w:type="dxa"/>
            <w:vAlign w:val="center"/>
          </w:tcPr>
          <w:p>
            <w:pPr>
              <w:jc w:val="center"/>
              <w:rPr>
                <w:rFonts w:ascii="Times New Roman" w:hAnsi="Times New Roman" w:cs="Times New Roman"/>
                <w:color w:val="auto"/>
              </w:rPr>
            </w:pPr>
          </w:p>
        </w:tc>
      </w:tr>
    </w:tbl>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、人员暴露于危险环境的频繁程度（</w:t>
      </w:r>
      <w:r>
        <w:rPr>
          <w:rFonts w:ascii="Times New Roman" w:hAnsi="Times New Roman" w:cs="Times New Roman"/>
          <w:color w:val="auto"/>
          <w:sz w:val="28"/>
          <w:szCs w:val="28"/>
        </w:rPr>
        <w:t>E</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人员暴露于危险环境中的时间越多，受到伤害的可能性越大，相应的危险性也越大。规定人员连续出现在危险环境的情况分值为</w:t>
      </w:r>
      <w:r>
        <w:rPr>
          <w:rFonts w:ascii="Times New Roman" w:hAnsi="Times New Roman" w:cs="Times New Roman"/>
          <w:color w:val="auto"/>
          <w:sz w:val="28"/>
          <w:szCs w:val="28"/>
        </w:rPr>
        <w:t>10</w:t>
      </w:r>
      <w:r>
        <w:rPr>
          <w:rFonts w:hint="eastAsia" w:ascii="Times New Roman" w:hAnsi="Times New Roman" w:cs="宋体"/>
          <w:color w:val="auto"/>
          <w:sz w:val="28"/>
          <w:szCs w:val="28"/>
        </w:rPr>
        <w:t>，而非常罕见地出现在危险环境中的情况分值为</w:t>
      </w:r>
      <w:r>
        <w:rPr>
          <w:rFonts w:ascii="Times New Roman" w:hAnsi="Times New Roman" w:cs="Times New Roman"/>
          <w:color w:val="auto"/>
          <w:sz w:val="28"/>
          <w:szCs w:val="28"/>
        </w:rPr>
        <w:t>0.5</w:t>
      </w:r>
      <w:r>
        <w:rPr>
          <w:rFonts w:hint="eastAsia" w:ascii="Times New Roman" w:hAnsi="Times New Roman" w:cs="宋体"/>
          <w:color w:val="auto"/>
          <w:sz w:val="28"/>
          <w:szCs w:val="28"/>
        </w:rPr>
        <w:t>，介于两者之间的各种情况规定若干个中间值。见表</w:t>
      </w:r>
      <w:r>
        <w:rPr>
          <w:rFonts w:ascii="Times New Roman" w:hAnsi="Times New Roman" w:cs="Times New Roman"/>
          <w:color w:val="auto"/>
          <w:sz w:val="28"/>
          <w:szCs w:val="28"/>
        </w:rPr>
        <w:t>4-3</w:t>
      </w:r>
      <w:r>
        <w:rPr>
          <w:rFonts w:hint="eastAsia" w:ascii="Times New Roman" w:hAnsi="Times New Roman" w:cs="宋体"/>
          <w:color w:val="auto"/>
          <w:sz w:val="28"/>
          <w:szCs w:val="28"/>
        </w:rPr>
        <w:t>。</w:t>
      </w:r>
    </w:p>
    <w:p>
      <w:pPr>
        <w:spacing w:line="600" w:lineRule="exact"/>
        <w:jc w:val="center"/>
        <w:rPr>
          <w:rFonts w:hint="eastAsia" w:ascii="Times New Roman" w:hAnsi="Times New Roman" w:cs="宋体"/>
          <w:color w:val="auto"/>
          <w:lang w:val="zh-CN"/>
        </w:rPr>
      </w:pPr>
    </w:p>
    <w:p>
      <w:pPr>
        <w:spacing w:line="600" w:lineRule="exact"/>
        <w:jc w:val="center"/>
        <w:rPr>
          <w:rFonts w:ascii="Times New Roman" w:hAnsi="Times New Roman" w:cs="Times New Roman"/>
          <w:b/>
          <w:bCs/>
          <w:color w:val="auto"/>
          <w:sz w:val="24"/>
          <w:szCs w:val="24"/>
          <w:lang w:val="zh-CN"/>
        </w:rPr>
      </w:pP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 xml:space="preserve">4-3  </w:t>
      </w:r>
      <w:r>
        <w:rPr>
          <w:rFonts w:hint="eastAsia" w:ascii="Times New Roman" w:hAnsi="Times New Roman" w:cs="宋体"/>
          <w:b/>
          <w:bCs/>
          <w:color w:val="auto"/>
          <w:sz w:val="24"/>
          <w:szCs w:val="24"/>
          <w:lang w:val="zh-CN"/>
        </w:rPr>
        <w:t>人员暴露于危险环境的频繁程度（</w:t>
      </w:r>
      <w:r>
        <w:rPr>
          <w:rFonts w:ascii="Times New Roman" w:hAnsi="Times New Roman" w:cs="Times New Roman"/>
          <w:b/>
          <w:bCs/>
          <w:color w:val="auto"/>
          <w:sz w:val="24"/>
          <w:szCs w:val="24"/>
          <w:lang w:val="zh-CN"/>
        </w:rPr>
        <w:t>E</w:t>
      </w:r>
      <w:r>
        <w:rPr>
          <w:rFonts w:hint="eastAsia" w:ascii="Times New Roman" w:hAnsi="Times New Roman" w:cs="宋体"/>
          <w:b/>
          <w:bCs/>
          <w:color w:val="auto"/>
          <w:sz w:val="24"/>
          <w:szCs w:val="24"/>
          <w:lang w:val="zh-CN"/>
        </w:rPr>
        <w:t>）</w:t>
      </w:r>
    </w:p>
    <w:tbl>
      <w:tblPr>
        <w:tblStyle w:val="20"/>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3092"/>
        <w:gridCol w:w="1233"/>
        <w:gridCol w:w="3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1393" w:type="dxa"/>
            <w:vAlign w:val="center"/>
          </w:tcPr>
          <w:p>
            <w:pPr>
              <w:spacing w:line="260" w:lineRule="exact"/>
              <w:jc w:val="center"/>
              <w:rPr>
                <w:rFonts w:ascii="Times New Roman" w:hAnsi="Times New Roman" w:cs="Times New Roman"/>
                <w:color w:val="auto"/>
              </w:rPr>
            </w:pPr>
            <w:r>
              <w:rPr>
                <w:rFonts w:hint="eastAsia" w:ascii="Times New Roman" w:hAnsi="Times New Roman" w:cs="宋体"/>
                <w:color w:val="auto"/>
              </w:rPr>
              <w:t>分数值</w:t>
            </w:r>
          </w:p>
        </w:tc>
        <w:tc>
          <w:tcPr>
            <w:tcW w:w="3092" w:type="dxa"/>
            <w:vAlign w:val="center"/>
          </w:tcPr>
          <w:p>
            <w:pPr>
              <w:spacing w:line="260" w:lineRule="exact"/>
              <w:jc w:val="center"/>
              <w:rPr>
                <w:rFonts w:ascii="Times New Roman" w:hAnsi="Times New Roman" w:cs="Times New Roman"/>
                <w:color w:val="auto"/>
              </w:rPr>
            </w:pPr>
            <w:r>
              <w:rPr>
                <w:rFonts w:hint="eastAsia" w:ascii="Times New Roman" w:hAnsi="Times New Roman" w:cs="宋体"/>
                <w:color w:val="auto"/>
              </w:rPr>
              <w:t>　人员暴露于危险</w:t>
            </w:r>
          </w:p>
          <w:p>
            <w:pPr>
              <w:spacing w:line="260" w:lineRule="exact"/>
              <w:jc w:val="center"/>
              <w:rPr>
                <w:rFonts w:ascii="Times New Roman" w:hAnsi="Times New Roman" w:cs="Times New Roman"/>
                <w:color w:val="auto"/>
              </w:rPr>
            </w:pPr>
            <w:r>
              <w:rPr>
                <w:rFonts w:hint="eastAsia" w:ascii="Times New Roman" w:hAnsi="Times New Roman" w:cs="宋体"/>
                <w:color w:val="auto"/>
              </w:rPr>
              <w:t>　环境的频繁程度</w:t>
            </w:r>
          </w:p>
        </w:tc>
        <w:tc>
          <w:tcPr>
            <w:tcW w:w="1233" w:type="dxa"/>
            <w:vAlign w:val="center"/>
          </w:tcPr>
          <w:p>
            <w:pPr>
              <w:spacing w:line="260" w:lineRule="exact"/>
              <w:jc w:val="center"/>
              <w:rPr>
                <w:rFonts w:ascii="Times New Roman" w:hAnsi="Times New Roman" w:cs="Times New Roman"/>
                <w:color w:val="auto"/>
              </w:rPr>
            </w:pPr>
            <w:r>
              <w:rPr>
                <w:rFonts w:hint="eastAsia" w:ascii="Times New Roman" w:hAnsi="Times New Roman" w:cs="宋体"/>
                <w:color w:val="auto"/>
              </w:rPr>
              <w:t>分数值</w:t>
            </w:r>
          </w:p>
        </w:tc>
        <w:tc>
          <w:tcPr>
            <w:tcW w:w="3583" w:type="dxa"/>
            <w:vAlign w:val="center"/>
          </w:tcPr>
          <w:p>
            <w:pPr>
              <w:spacing w:line="260" w:lineRule="exact"/>
              <w:jc w:val="center"/>
              <w:rPr>
                <w:rFonts w:ascii="Times New Roman" w:hAnsi="Times New Roman" w:cs="Times New Roman"/>
                <w:color w:val="auto"/>
              </w:rPr>
            </w:pPr>
            <w:r>
              <w:rPr>
                <w:rFonts w:hint="eastAsia" w:ascii="Times New Roman" w:hAnsi="Times New Roman" w:cs="宋体"/>
                <w:color w:val="auto"/>
              </w:rPr>
              <w:t>　人员暴露于危险</w:t>
            </w:r>
          </w:p>
          <w:p>
            <w:pPr>
              <w:spacing w:line="260" w:lineRule="exact"/>
              <w:jc w:val="center"/>
              <w:rPr>
                <w:rFonts w:ascii="Times New Roman" w:hAnsi="Times New Roman" w:cs="Times New Roman"/>
                <w:color w:val="auto"/>
              </w:rPr>
            </w:pPr>
            <w:r>
              <w:rPr>
                <w:rFonts w:hint="eastAsia" w:ascii="Times New Roman" w:hAnsi="Times New Roman" w:cs="宋体"/>
                <w:color w:val="auto"/>
              </w:rPr>
              <w:t>环境的频繁程度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1393" w:type="dxa"/>
            <w:vAlign w:val="center"/>
          </w:tcPr>
          <w:p>
            <w:pPr>
              <w:jc w:val="center"/>
              <w:rPr>
                <w:rFonts w:ascii="Times New Roman" w:hAnsi="Times New Roman" w:cs="Times New Roman"/>
                <w:color w:val="auto"/>
              </w:rPr>
            </w:pPr>
            <w:r>
              <w:rPr>
                <w:rFonts w:ascii="Times New Roman" w:hAnsi="Times New Roman" w:cs="Times New Roman"/>
                <w:color w:val="auto"/>
              </w:rPr>
              <w:t>10</w:t>
            </w:r>
          </w:p>
        </w:tc>
        <w:tc>
          <w:tcPr>
            <w:tcW w:w="3092" w:type="dxa"/>
            <w:vAlign w:val="center"/>
          </w:tcPr>
          <w:p>
            <w:pPr>
              <w:jc w:val="center"/>
              <w:rPr>
                <w:rFonts w:ascii="Times New Roman" w:hAnsi="Times New Roman" w:cs="Times New Roman"/>
                <w:color w:val="auto"/>
              </w:rPr>
            </w:pPr>
            <w:r>
              <w:rPr>
                <w:rFonts w:hint="eastAsia" w:ascii="Times New Roman" w:hAnsi="Times New Roman" w:cs="宋体"/>
                <w:color w:val="auto"/>
              </w:rPr>
              <w:t>连续暴露</w:t>
            </w:r>
          </w:p>
        </w:tc>
        <w:tc>
          <w:tcPr>
            <w:tcW w:w="1233" w:type="dxa"/>
            <w:vAlign w:val="center"/>
          </w:tcPr>
          <w:p>
            <w:pPr>
              <w:jc w:val="center"/>
              <w:rPr>
                <w:rFonts w:ascii="Times New Roman" w:hAnsi="Times New Roman" w:cs="Times New Roman"/>
                <w:color w:val="auto"/>
              </w:rPr>
            </w:pPr>
            <w:r>
              <w:rPr>
                <w:rFonts w:ascii="Times New Roman" w:hAnsi="Times New Roman" w:cs="Times New Roman"/>
                <w:color w:val="auto"/>
              </w:rPr>
              <w:t>2</w:t>
            </w:r>
          </w:p>
        </w:tc>
        <w:tc>
          <w:tcPr>
            <w:tcW w:w="3583" w:type="dxa"/>
            <w:vAlign w:val="center"/>
          </w:tcPr>
          <w:p>
            <w:pPr>
              <w:jc w:val="center"/>
              <w:rPr>
                <w:rFonts w:ascii="Times New Roman" w:hAnsi="Times New Roman" w:cs="Times New Roman"/>
                <w:color w:val="auto"/>
              </w:rPr>
            </w:pPr>
            <w:r>
              <w:rPr>
                <w:rFonts w:hint="eastAsia" w:ascii="Times New Roman" w:hAnsi="Times New Roman" w:cs="宋体"/>
                <w:color w:val="auto"/>
              </w:rPr>
              <w:t>每月一次暴露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1393" w:type="dxa"/>
            <w:vAlign w:val="center"/>
          </w:tcPr>
          <w:p>
            <w:pPr>
              <w:jc w:val="center"/>
              <w:rPr>
                <w:rFonts w:ascii="Times New Roman" w:hAnsi="Times New Roman" w:cs="Times New Roman"/>
                <w:color w:val="auto"/>
              </w:rPr>
            </w:pPr>
            <w:r>
              <w:rPr>
                <w:rFonts w:ascii="Times New Roman" w:hAnsi="Times New Roman" w:cs="Times New Roman"/>
                <w:color w:val="auto"/>
              </w:rPr>
              <w:t>6</w:t>
            </w:r>
          </w:p>
        </w:tc>
        <w:tc>
          <w:tcPr>
            <w:tcW w:w="3092" w:type="dxa"/>
            <w:vAlign w:val="center"/>
          </w:tcPr>
          <w:p>
            <w:pPr>
              <w:jc w:val="center"/>
              <w:rPr>
                <w:rFonts w:ascii="Times New Roman" w:hAnsi="Times New Roman" w:cs="Times New Roman"/>
                <w:color w:val="auto"/>
              </w:rPr>
            </w:pPr>
            <w:r>
              <w:rPr>
                <w:rFonts w:hint="eastAsia" w:ascii="Times New Roman" w:hAnsi="Times New Roman" w:cs="宋体"/>
                <w:color w:val="auto"/>
              </w:rPr>
              <w:t>每天工作时间暴露</w:t>
            </w:r>
          </w:p>
        </w:tc>
        <w:tc>
          <w:tcPr>
            <w:tcW w:w="1233" w:type="dxa"/>
            <w:vAlign w:val="center"/>
          </w:tcPr>
          <w:p>
            <w:pPr>
              <w:jc w:val="center"/>
              <w:rPr>
                <w:rFonts w:ascii="Times New Roman" w:hAnsi="Times New Roman" w:cs="Times New Roman"/>
                <w:color w:val="auto"/>
              </w:rPr>
            </w:pPr>
            <w:r>
              <w:rPr>
                <w:rFonts w:ascii="Times New Roman" w:hAnsi="Times New Roman" w:cs="Times New Roman"/>
                <w:color w:val="auto"/>
              </w:rPr>
              <w:t>1</w:t>
            </w:r>
          </w:p>
        </w:tc>
        <w:tc>
          <w:tcPr>
            <w:tcW w:w="3583" w:type="dxa"/>
            <w:vAlign w:val="center"/>
          </w:tcPr>
          <w:p>
            <w:pPr>
              <w:jc w:val="center"/>
              <w:rPr>
                <w:rFonts w:ascii="Times New Roman" w:hAnsi="Times New Roman" w:cs="Times New Roman"/>
                <w:color w:val="auto"/>
              </w:rPr>
            </w:pPr>
            <w:r>
              <w:rPr>
                <w:rFonts w:hint="eastAsia" w:ascii="Times New Roman" w:hAnsi="Times New Roman" w:cs="宋体"/>
                <w:color w:val="auto"/>
              </w:rPr>
              <w:t>每年几次暴露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1393" w:type="dxa"/>
            <w:vAlign w:val="center"/>
          </w:tcPr>
          <w:p>
            <w:pPr>
              <w:jc w:val="center"/>
              <w:rPr>
                <w:rFonts w:ascii="Times New Roman" w:hAnsi="Times New Roman" w:cs="Times New Roman"/>
                <w:color w:val="auto"/>
              </w:rPr>
            </w:pPr>
            <w:r>
              <w:rPr>
                <w:rFonts w:ascii="Times New Roman" w:hAnsi="Times New Roman" w:cs="Times New Roman"/>
                <w:color w:val="auto"/>
              </w:rPr>
              <w:t>3</w:t>
            </w:r>
          </w:p>
        </w:tc>
        <w:tc>
          <w:tcPr>
            <w:tcW w:w="3092" w:type="dxa"/>
            <w:vAlign w:val="center"/>
          </w:tcPr>
          <w:p>
            <w:pPr>
              <w:jc w:val="center"/>
              <w:rPr>
                <w:rFonts w:ascii="Times New Roman" w:hAnsi="Times New Roman" w:cs="Times New Roman"/>
                <w:color w:val="auto"/>
              </w:rPr>
            </w:pPr>
            <w:r>
              <w:rPr>
                <w:rFonts w:hint="eastAsia" w:ascii="Times New Roman" w:hAnsi="Times New Roman" w:cs="宋体"/>
                <w:color w:val="auto"/>
              </w:rPr>
              <w:t>每周一次，或偶然暴露</w:t>
            </w:r>
          </w:p>
        </w:tc>
        <w:tc>
          <w:tcPr>
            <w:tcW w:w="1233" w:type="dxa"/>
            <w:vAlign w:val="center"/>
          </w:tcPr>
          <w:p>
            <w:pPr>
              <w:jc w:val="center"/>
              <w:rPr>
                <w:rFonts w:ascii="Times New Roman" w:hAnsi="Times New Roman" w:cs="Times New Roman"/>
                <w:color w:val="auto"/>
              </w:rPr>
            </w:pPr>
            <w:r>
              <w:rPr>
                <w:rFonts w:ascii="Times New Roman" w:hAnsi="Times New Roman" w:cs="Times New Roman"/>
                <w:color w:val="auto"/>
              </w:rPr>
              <w:t>0.5</w:t>
            </w:r>
          </w:p>
        </w:tc>
        <w:tc>
          <w:tcPr>
            <w:tcW w:w="3583" w:type="dxa"/>
            <w:vAlign w:val="center"/>
          </w:tcPr>
          <w:p>
            <w:pPr>
              <w:jc w:val="center"/>
              <w:rPr>
                <w:rFonts w:ascii="Times New Roman" w:hAnsi="Times New Roman" w:cs="Times New Roman"/>
                <w:color w:val="auto"/>
              </w:rPr>
            </w:pPr>
            <w:r>
              <w:rPr>
                <w:rFonts w:hint="eastAsia" w:ascii="Times New Roman" w:hAnsi="Times New Roman" w:cs="宋体"/>
                <w:color w:val="auto"/>
              </w:rPr>
              <w:t>非常罕见的暴露</w:t>
            </w:r>
          </w:p>
        </w:tc>
      </w:tr>
    </w:tbl>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、发生事故可能造成的后果（</w:t>
      </w:r>
      <w:r>
        <w:rPr>
          <w:rFonts w:ascii="Times New Roman" w:hAnsi="Times New Roman" w:cs="Times New Roman"/>
          <w:color w:val="auto"/>
          <w:sz w:val="28"/>
          <w:szCs w:val="28"/>
        </w:rPr>
        <w:t>C</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事故造成的人员伤亡和财产损失的范围变化很大，所以规定分数值为</w:t>
      </w:r>
      <w:r>
        <w:rPr>
          <w:rFonts w:ascii="Times New Roman" w:hAnsi="Times New Roman" w:cs="Times New Roman"/>
          <w:color w:val="auto"/>
          <w:sz w:val="28"/>
          <w:szCs w:val="28"/>
        </w:rPr>
        <w:t>1</w:t>
      </w:r>
      <w:r>
        <w:rPr>
          <w:rFonts w:hint="eastAsia" w:ascii="Times New Roman" w:hAnsi="Times New Roman" w:cs="宋体"/>
          <w:color w:val="auto"/>
          <w:sz w:val="28"/>
          <w:szCs w:val="28"/>
        </w:rPr>
        <w:t>－</w:t>
      </w:r>
      <w:r>
        <w:rPr>
          <w:rFonts w:ascii="Times New Roman" w:hAnsi="Times New Roman" w:cs="Times New Roman"/>
          <w:color w:val="auto"/>
          <w:sz w:val="28"/>
          <w:szCs w:val="28"/>
        </w:rPr>
        <w:t>100</w:t>
      </w:r>
      <w:r>
        <w:rPr>
          <w:rFonts w:hint="eastAsia" w:ascii="Times New Roman" w:hAnsi="Times New Roman" w:cs="宋体"/>
          <w:color w:val="auto"/>
          <w:sz w:val="28"/>
          <w:szCs w:val="28"/>
        </w:rPr>
        <w:t>。把需要治疗的轻微伤害或较小财产损失的分数值规定为</w:t>
      </w:r>
      <w:r>
        <w:rPr>
          <w:rFonts w:ascii="Times New Roman" w:hAnsi="Times New Roman" w:cs="Times New Roman"/>
          <w:color w:val="auto"/>
          <w:sz w:val="28"/>
          <w:szCs w:val="28"/>
        </w:rPr>
        <w:t>1</w:t>
      </w:r>
      <w:r>
        <w:rPr>
          <w:rFonts w:hint="eastAsia" w:ascii="Times New Roman" w:hAnsi="Times New Roman" w:cs="宋体"/>
          <w:color w:val="auto"/>
          <w:sz w:val="28"/>
          <w:szCs w:val="28"/>
        </w:rPr>
        <w:t>，造成多人死亡或重大财产损失的分数值规定为</w:t>
      </w:r>
      <w:r>
        <w:rPr>
          <w:rFonts w:ascii="Times New Roman" w:hAnsi="Times New Roman" w:cs="Times New Roman"/>
          <w:color w:val="auto"/>
          <w:sz w:val="28"/>
          <w:szCs w:val="28"/>
        </w:rPr>
        <w:t>100</w:t>
      </w:r>
      <w:r>
        <w:rPr>
          <w:rFonts w:hint="eastAsia" w:ascii="Times New Roman" w:hAnsi="Times New Roman" w:cs="宋体"/>
          <w:color w:val="auto"/>
          <w:sz w:val="28"/>
          <w:szCs w:val="28"/>
        </w:rPr>
        <w:t>，介于两者之间的情况规定若干个中间值。见表</w:t>
      </w:r>
      <w:r>
        <w:rPr>
          <w:rFonts w:ascii="Times New Roman" w:hAnsi="Times New Roman" w:cs="Times New Roman"/>
          <w:color w:val="auto"/>
          <w:sz w:val="28"/>
          <w:szCs w:val="28"/>
        </w:rPr>
        <w:t>4-4</w:t>
      </w:r>
      <w:r>
        <w:rPr>
          <w:rFonts w:hint="eastAsia" w:ascii="Times New Roman" w:hAnsi="Times New Roman" w:cs="宋体"/>
          <w:color w:val="auto"/>
          <w:sz w:val="28"/>
          <w:szCs w:val="28"/>
        </w:rPr>
        <w:t>。</w:t>
      </w:r>
    </w:p>
    <w:p>
      <w:pPr>
        <w:spacing w:line="600" w:lineRule="exact"/>
        <w:jc w:val="center"/>
        <w:rPr>
          <w:rFonts w:ascii="Times New Roman" w:hAnsi="Times New Roman" w:cs="Times New Roman"/>
          <w:b/>
          <w:bCs/>
          <w:color w:val="auto"/>
          <w:sz w:val="24"/>
          <w:szCs w:val="24"/>
          <w:lang w:val="zh-CN"/>
        </w:rPr>
      </w:pP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 xml:space="preserve">4-4  </w:t>
      </w:r>
      <w:r>
        <w:rPr>
          <w:rFonts w:hint="eastAsia" w:ascii="Times New Roman" w:hAnsi="Times New Roman" w:cs="宋体"/>
          <w:b/>
          <w:bCs/>
          <w:color w:val="auto"/>
          <w:sz w:val="24"/>
          <w:szCs w:val="24"/>
          <w:lang w:val="zh-CN"/>
        </w:rPr>
        <w:t>发生事故可能造成的后果（</w:t>
      </w:r>
      <w:r>
        <w:rPr>
          <w:rFonts w:ascii="Times New Roman" w:hAnsi="Times New Roman" w:cs="Times New Roman"/>
          <w:b/>
          <w:bCs/>
          <w:color w:val="auto"/>
          <w:sz w:val="24"/>
          <w:szCs w:val="24"/>
          <w:lang w:val="zh-CN"/>
        </w:rPr>
        <w:t>C</w:t>
      </w:r>
      <w:r>
        <w:rPr>
          <w:rFonts w:hint="eastAsia" w:ascii="Times New Roman" w:hAnsi="Times New Roman" w:cs="宋体"/>
          <w:b/>
          <w:bCs/>
          <w:color w:val="auto"/>
          <w:sz w:val="24"/>
          <w:szCs w:val="24"/>
          <w:lang w:val="zh-CN"/>
        </w:rPr>
        <w:t>）</w:t>
      </w:r>
    </w:p>
    <w:tbl>
      <w:tblPr>
        <w:tblStyle w:val="20"/>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3805"/>
        <w:gridCol w:w="1087"/>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087" w:type="dxa"/>
            <w:vAlign w:val="center"/>
          </w:tcPr>
          <w:p>
            <w:pPr>
              <w:jc w:val="center"/>
              <w:rPr>
                <w:rFonts w:ascii="Times New Roman" w:hAnsi="Times New Roman" w:cs="Times New Roman"/>
                <w:color w:val="auto"/>
              </w:rPr>
            </w:pPr>
            <w:r>
              <w:rPr>
                <w:rFonts w:hint="eastAsia" w:ascii="Times New Roman" w:hAnsi="Times New Roman" w:cs="宋体"/>
                <w:color w:val="auto"/>
              </w:rPr>
              <w:t>分数值</w:t>
            </w:r>
          </w:p>
        </w:tc>
        <w:tc>
          <w:tcPr>
            <w:tcW w:w="3805" w:type="dxa"/>
            <w:vAlign w:val="center"/>
          </w:tcPr>
          <w:p>
            <w:pPr>
              <w:jc w:val="center"/>
              <w:rPr>
                <w:rFonts w:ascii="Times New Roman" w:hAnsi="Times New Roman" w:cs="Times New Roman"/>
                <w:color w:val="auto"/>
              </w:rPr>
            </w:pPr>
            <w:r>
              <w:rPr>
                <w:rFonts w:hint="eastAsia" w:ascii="Times New Roman" w:hAnsi="Times New Roman" w:cs="宋体"/>
                <w:color w:val="auto"/>
              </w:rPr>
              <w:t>发生事故可能造成的后果</w:t>
            </w:r>
          </w:p>
        </w:tc>
        <w:tc>
          <w:tcPr>
            <w:tcW w:w="1087" w:type="dxa"/>
            <w:vAlign w:val="center"/>
          </w:tcPr>
          <w:p>
            <w:pPr>
              <w:jc w:val="center"/>
              <w:rPr>
                <w:rFonts w:ascii="Times New Roman" w:hAnsi="Times New Roman" w:cs="Times New Roman"/>
                <w:color w:val="auto"/>
              </w:rPr>
            </w:pPr>
            <w:r>
              <w:rPr>
                <w:rFonts w:hint="eastAsia" w:ascii="Times New Roman" w:hAnsi="Times New Roman" w:cs="宋体"/>
                <w:color w:val="auto"/>
              </w:rPr>
              <w:t>分数值</w:t>
            </w:r>
          </w:p>
        </w:tc>
        <w:tc>
          <w:tcPr>
            <w:tcW w:w="3262" w:type="dxa"/>
            <w:vAlign w:val="center"/>
          </w:tcPr>
          <w:p>
            <w:pPr>
              <w:jc w:val="center"/>
              <w:rPr>
                <w:rFonts w:ascii="Times New Roman" w:hAnsi="Times New Roman" w:cs="Times New Roman"/>
                <w:color w:val="auto"/>
              </w:rPr>
            </w:pPr>
            <w:r>
              <w:rPr>
                <w:rFonts w:hint="eastAsia" w:ascii="Times New Roman" w:hAnsi="Times New Roman" w:cs="宋体"/>
                <w:color w:val="auto"/>
              </w:rPr>
              <w:t>发生事故可能造成的后果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087" w:type="dxa"/>
            <w:vAlign w:val="center"/>
          </w:tcPr>
          <w:p>
            <w:pPr>
              <w:jc w:val="center"/>
              <w:rPr>
                <w:rFonts w:ascii="Times New Roman" w:hAnsi="Times New Roman" w:cs="Times New Roman"/>
                <w:color w:val="auto"/>
              </w:rPr>
            </w:pPr>
            <w:r>
              <w:rPr>
                <w:rFonts w:ascii="Times New Roman" w:hAnsi="Times New Roman" w:cs="Times New Roman"/>
                <w:color w:val="auto"/>
              </w:rPr>
              <w:t>100</w:t>
            </w:r>
          </w:p>
        </w:tc>
        <w:tc>
          <w:tcPr>
            <w:tcW w:w="3805" w:type="dxa"/>
            <w:vAlign w:val="center"/>
          </w:tcPr>
          <w:p>
            <w:pPr>
              <w:jc w:val="center"/>
              <w:rPr>
                <w:rFonts w:ascii="Times New Roman" w:hAnsi="Times New Roman" w:cs="Times New Roman"/>
                <w:color w:val="auto"/>
              </w:rPr>
            </w:pPr>
            <w:r>
              <w:rPr>
                <w:rFonts w:hint="eastAsia" w:ascii="Times New Roman" w:hAnsi="Times New Roman" w:cs="宋体"/>
                <w:color w:val="auto"/>
              </w:rPr>
              <w:t>大灾难，多人死亡或重大财产损失</w:t>
            </w:r>
          </w:p>
        </w:tc>
        <w:tc>
          <w:tcPr>
            <w:tcW w:w="1087" w:type="dxa"/>
            <w:vAlign w:val="center"/>
          </w:tcPr>
          <w:p>
            <w:pPr>
              <w:jc w:val="center"/>
              <w:rPr>
                <w:rFonts w:ascii="Times New Roman" w:hAnsi="Times New Roman" w:cs="Times New Roman"/>
                <w:color w:val="auto"/>
              </w:rPr>
            </w:pPr>
            <w:r>
              <w:rPr>
                <w:rFonts w:ascii="Times New Roman" w:hAnsi="Times New Roman" w:cs="Times New Roman"/>
                <w:color w:val="auto"/>
              </w:rPr>
              <w:t>7</w:t>
            </w:r>
          </w:p>
        </w:tc>
        <w:tc>
          <w:tcPr>
            <w:tcW w:w="3262" w:type="dxa"/>
            <w:vAlign w:val="center"/>
          </w:tcPr>
          <w:p>
            <w:pPr>
              <w:jc w:val="center"/>
              <w:rPr>
                <w:rFonts w:ascii="Times New Roman" w:hAnsi="Times New Roman" w:cs="Times New Roman"/>
                <w:color w:val="auto"/>
              </w:rPr>
            </w:pPr>
            <w:r>
              <w:rPr>
                <w:rFonts w:hint="eastAsia" w:ascii="Times New Roman" w:hAnsi="Times New Roman" w:cs="宋体"/>
                <w:color w:val="auto"/>
              </w:rPr>
              <w:t>严重，重伤或较小的财产损失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087" w:type="dxa"/>
            <w:vAlign w:val="center"/>
          </w:tcPr>
          <w:p>
            <w:pPr>
              <w:jc w:val="center"/>
              <w:rPr>
                <w:rFonts w:ascii="Times New Roman" w:hAnsi="Times New Roman" w:cs="Times New Roman"/>
                <w:color w:val="auto"/>
              </w:rPr>
            </w:pPr>
            <w:r>
              <w:rPr>
                <w:rFonts w:ascii="Times New Roman" w:hAnsi="Times New Roman" w:cs="Times New Roman"/>
                <w:color w:val="auto"/>
              </w:rPr>
              <w:t>40</w:t>
            </w:r>
          </w:p>
        </w:tc>
        <w:tc>
          <w:tcPr>
            <w:tcW w:w="3805" w:type="dxa"/>
            <w:vAlign w:val="center"/>
          </w:tcPr>
          <w:p>
            <w:pPr>
              <w:jc w:val="center"/>
              <w:rPr>
                <w:rFonts w:ascii="Times New Roman" w:hAnsi="Times New Roman" w:cs="Times New Roman"/>
                <w:color w:val="auto"/>
              </w:rPr>
            </w:pPr>
            <w:r>
              <w:rPr>
                <w:rFonts w:hint="eastAsia" w:ascii="Times New Roman" w:hAnsi="Times New Roman" w:cs="宋体"/>
                <w:color w:val="auto"/>
              </w:rPr>
              <w:t>灾难，数人死亡或很大财产损失</w:t>
            </w:r>
          </w:p>
        </w:tc>
        <w:tc>
          <w:tcPr>
            <w:tcW w:w="1087" w:type="dxa"/>
            <w:vAlign w:val="center"/>
          </w:tcPr>
          <w:p>
            <w:pPr>
              <w:jc w:val="center"/>
              <w:rPr>
                <w:rFonts w:ascii="Times New Roman" w:hAnsi="Times New Roman" w:cs="Times New Roman"/>
                <w:color w:val="auto"/>
              </w:rPr>
            </w:pPr>
            <w:r>
              <w:rPr>
                <w:rFonts w:ascii="Times New Roman" w:hAnsi="Times New Roman" w:cs="Times New Roman"/>
                <w:color w:val="auto"/>
              </w:rPr>
              <w:t>3</w:t>
            </w:r>
          </w:p>
        </w:tc>
        <w:tc>
          <w:tcPr>
            <w:tcW w:w="3262" w:type="dxa"/>
            <w:vAlign w:val="center"/>
          </w:tcPr>
          <w:p>
            <w:pPr>
              <w:jc w:val="center"/>
              <w:rPr>
                <w:rFonts w:ascii="Times New Roman" w:hAnsi="Times New Roman" w:cs="Times New Roman"/>
                <w:color w:val="auto"/>
              </w:rPr>
            </w:pPr>
            <w:r>
              <w:rPr>
                <w:rFonts w:hint="eastAsia" w:ascii="Times New Roman" w:hAnsi="Times New Roman" w:cs="宋体"/>
                <w:color w:val="auto"/>
              </w:rPr>
              <w:t>重大，致残或很小的财产损失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87" w:type="dxa"/>
            <w:vAlign w:val="center"/>
          </w:tcPr>
          <w:p>
            <w:pPr>
              <w:spacing w:line="400" w:lineRule="exact"/>
              <w:jc w:val="center"/>
              <w:rPr>
                <w:rFonts w:ascii="Times New Roman" w:hAnsi="Times New Roman" w:cs="Times New Roman"/>
                <w:color w:val="auto"/>
              </w:rPr>
            </w:pPr>
            <w:r>
              <w:rPr>
                <w:rFonts w:ascii="Times New Roman" w:hAnsi="Times New Roman" w:cs="Times New Roman"/>
                <w:color w:val="auto"/>
              </w:rPr>
              <w:t>15</w:t>
            </w:r>
          </w:p>
        </w:tc>
        <w:tc>
          <w:tcPr>
            <w:tcW w:w="3805" w:type="dxa"/>
            <w:vAlign w:val="center"/>
          </w:tcPr>
          <w:p>
            <w:pPr>
              <w:spacing w:line="400" w:lineRule="exact"/>
              <w:jc w:val="center"/>
              <w:rPr>
                <w:rFonts w:ascii="Times New Roman" w:hAnsi="Times New Roman" w:cs="Times New Roman"/>
                <w:color w:val="auto"/>
              </w:rPr>
            </w:pPr>
            <w:r>
              <w:rPr>
                <w:rFonts w:hint="eastAsia" w:ascii="Times New Roman" w:hAnsi="Times New Roman" w:cs="宋体"/>
                <w:color w:val="auto"/>
              </w:rPr>
              <w:t>非常严重，一人死亡</w:t>
            </w:r>
          </w:p>
          <w:p>
            <w:pPr>
              <w:spacing w:line="400" w:lineRule="exact"/>
              <w:jc w:val="center"/>
              <w:rPr>
                <w:rFonts w:ascii="Times New Roman" w:hAnsi="Times New Roman" w:cs="Times New Roman"/>
                <w:color w:val="auto"/>
              </w:rPr>
            </w:pPr>
            <w:r>
              <w:rPr>
                <w:rFonts w:hint="eastAsia" w:ascii="Times New Roman" w:hAnsi="Times New Roman" w:cs="宋体"/>
                <w:color w:val="auto"/>
              </w:rPr>
              <w:t>或一定的财产损失</w:t>
            </w:r>
          </w:p>
        </w:tc>
        <w:tc>
          <w:tcPr>
            <w:tcW w:w="1087" w:type="dxa"/>
            <w:vAlign w:val="center"/>
          </w:tcPr>
          <w:p>
            <w:pPr>
              <w:spacing w:line="400" w:lineRule="exact"/>
              <w:jc w:val="center"/>
              <w:rPr>
                <w:rFonts w:ascii="Times New Roman" w:hAnsi="Times New Roman" w:cs="Times New Roman"/>
                <w:color w:val="auto"/>
              </w:rPr>
            </w:pPr>
            <w:r>
              <w:rPr>
                <w:rFonts w:ascii="Times New Roman" w:hAnsi="Times New Roman" w:cs="Times New Roman"/>
                <w:color w:val="auto"/>
              </w:rPr>
              <w:t>1</w:t>
            </w:r>
          </w:p>
        </w:tc>
        <w:tc>
          <w:tcPr>
            <w:tcW w:w="3262" w:type="dxa"/>
            <w:vAlign w:val="center"/>
          </w:tcPr>
          <w:p>
            <w:pPr>
              <w:spacing w:line="400" w:lineRule="exact"/>
              <w:jc w:val="center"/>
              <w:rPr>
                <w:rFonts w:ascii="Times New Roman" w:hAnsi="Times New Roman" w:cs="Times New Roman"/>
                <w:color w:val="auto"/>
              </w:rPr>
            </w:pPr>
            <w:r>
              <w:rPr>
                <w:rFonts w:hint="eastAsia" w:ascii="Times New Roman" w:hAnsi="Times New Roman" w:cs="宋体"/>
                <w:color w:val="auto"/>
              </w:rPr>
              <w:t>引人注目，</w:t>
            </w:r>
          </w:p>
          <w:p>
            <w:pPr>
              <w:spacing w:line="400" w:lineRule="exact"/>
              <w:jc w:val="center"/>
              <w:rPr>
                <w:rFonts w:ascii="Times New Roman" w:hAnsi="Times New Roman" w:cs="Times New Roman"/>
                <w:color w:val="auto"/>
              </w:rPr>
            </w:pPr>
            <w:r>
              <w:rPr>
                <w:rFonts w:hint="eastAsia" w:ascii="Times New Roman" w:hAnsi="Times New Roman" w:cs="宋体"/>
                <w:color w:val="auto"/>
              </w:rPr>
              <w:t>不利于基本的安全卫生要求</w:t>
            </w:r>
          </w:p>
        </w:tc>
      </w:tr>
    </w:tbl>
    <w:p>
      <w:pPr>
        <w:spacing w:line="600" w:lineRule="exact"/>
        <w:rPr>
          <w:rFonts w:ascii="Times New Roman" w:hAnsi="Times New Roman" w:cs="Times New Roman"/>
          <w:b/>
          <w:bCs/>
          <w:color w:val="auto"/>
          <w:sz w:val="28"/>
          <w:szCs w:val="28"/>
        </w:rPr>
      </w:pPr>
      <w:r>
        <w:rPr>
          <w:rFonts w:ascii="Times New Roman" w:hAnsi="Times New Roman" w:cs="Times New Roman"/>
          <w:b/>
          <w:bCs/>
          <w:color w:val="auto"/>
          <w:sz w:val="28"/>
          <w:szCs w:val="28"/>
        </w:rPr>
        <w:t>4.2.1.4</w:t>
      </w:r>
      <w:r>
        <w:rPr>
          <w:rFonts w:hint="eastAsia" w:ascii="Times New Roman" w:hAnsi="Times New Roman" w:cs="宋体"/>
          <w:b/>
          <w:bCs/>
          <w:color w:val="auto"/>
          <w:sz w:val="28"/>
          <w:szCs w:val="28"/>
        </w:rPr>
        <w:t>危险等级划分标准</w:t>
      </w:r>
    </w:p>
    <w:p>
      <w:pPr>
        <w:spacing w:line="600" w:lineRule="exact"/>
        <w:ind w:firstLine="573"/>
        <w:rPr>
          <w:rFonts w:ascii="Times New Roman" w:hAnsi="Times New Roman" w:cs="Times New Roman"/>
          <w:color w:val="auto"/>
          <w:sz w:val="28"/>
          <w:szCs w:val="28"/>
        </w:rPr>
      </w:pPr>
      <w:r>
        <w:rPr>
          <w:rFonts w:hint="eastAsia" w:ascii="Times New Roman" w:hAnsi="Times New Roman" w:cs="宋体"/>
          <w:color w:val="auto"/>
          <w:sz w:val="28"/>
          <w:szCs w:val="28"/>
        </w:rPr>
        <w:t>根据经验，危险性分值在</w:t>
      </w:r>
      <w:r>
        <w:rPr>
          <w:rFonts w:ascii="Times New Roman" w:hAnsi="Times New Roman" w:cs="Times New Roman"/>
          <w:color w:val="auto"/>
          <w:sz w:val="28"/>
          <w:szCs w:val="28"/>
        </w:rPr>
        <w:t>20</w:t>
      </w:r>
      <w:r>
        <w:rPr>
          <w:rFonts w:hint="eastAsia" w:ascii="Times New Roman" w:hAnsi="Times New Roman" w:cs="宋体"/>
          <w:color w:val="auto"/>
          <w:sz w:val="28"/>
          <w:szCs w:val="28"/>
        </w:rPr>
        <w:t>分以下为低危险性，这样的危险比日常生活中骑自行车去上班还要安全些；如果危险性分值在</w:t>
      </w:r>
      <w:r>
        <w:rPr>
          <w:rFonts w:ascii="Times New Roman" w:hAnsi="Times New Roman" w:cs="Times New Roman"/>
          <w:color w:val="auto"/>
          <w:sz w:val="28"/>
          <w:szCs w:val="28"/>
        </w:rPr>
        <w:t>20-70</w:t>
      </w:r>
      <w:r>
        <w:rPr>
          <w:rFonts w:hint="eastAsia" w:ascii="Times New Roman" w:hAnsi="Times New Roman" w:cs="宋体"/>
          <w:color w:val="auto"/>
          <w:sz w:val="28"/>
          <w:szCs w:val="28"/>
        </w:rPr>
        <w:t>之间，为一般危险，需要注意；如果危险性分值在</w:t>
      </w:r>
      <w:r>
        <w:rPr>
          <w:rFonts w:ascii="Times New Roman" w:hAnsi="Times New Roman" w:cs="Times New Roman"/>
          <w:color w:val="auto"/>
          <w:sz w:val="28"/>
          <w:szCs w:val="28"/>
        </w:rPr>
        <w:t>70-160</w:t>
      </w:r>
      <w:r>
        <w:rPr>
          <w:rFonts w:hint="eastAsia" w:ascii="Times New Roman" w:hAnsi="Times New Roman" w:cs="宋体"/>
          <w:color w:val="auto"/>
          <w:sz w:val="28"/>
          <w:szCs w:val="28"/>
        </w:rPr>
        <w:t>之间，有显著的危险性，需要采取措施整改；如果危险性分值在</w:t>
      </w:r>
      <w:r>
        <w:rPr>
          <w:rFonts w:ascii="Times New Roman" w:hAnsi="Times New Roman" w:cs="Times New Roman"/>
          <w:color w:val="auto"/>
          <w:sz w:val="28"/>
          <w:szCs w:val="28"/>
        </w:rPr>
        <w:t>160-320</w:t>
      </w:r>
      <w:r>
        <w:rPr>
          <w:rFonts w:hint="eastAsia" w:ascii="Times New Roman" w:hAnsi="Times New Roman" w:cs="宋体"/>
          <w:color w:val="auto"/>
          <w:sz w:val="28"/>
          <w:szCs w:val="28"/>
        </w:rPr>
        <w:t>之间，有高度危险性，必须立即整改；如果危险性分值大于</w:t>
      </w:r>
      <w:r>
        <w:rPr>
          <w:rFonts w:ascii="Times New Roman" w:hAnsi="Times New Roman" w:cs="Times New Roman"/>
          <w:color w:val="auto"/>
          <w:sz w:val="28"/>
          <w:szCs w:val="28"/>
        </w:rPr>
        <w:t>320</w:t>
      </w:r>
      <w:r>
        <w:rPr>
          <w:rFonts w:hint="eastAsia" w:ascii="Times New Roman" w:hAnsi="Times New Roman" w:cs="宋体"/>
          <w:color w:val="auto"/>
          <w:sz w:val="28"/>
          <w:szCs w:val="28"/>
        </w:rPr>
        <w:t>，极度危险，应立即停止作业，彻底整改。按危险性分值划分危险性等级的标准见表</w:t>
      </w:r>
      <w:r>
        <w:rPr>
          <w:rFonts w:ascii="Times New Roman" w:hAnsi="Times New Roman" w:cs="Times New Roman"/>
          <w:color w:val="auto"/>
          <w:sz w:val="28"/>
          <w:szCs w:val="28"/>
        </w:rPr>
        <w:t>4-5</w:t>
      </w:r>
      <w:r>
        <w:rPr>
          <w:rFonts w:hint="eastAsia" w:ascii="Times New Roman" w:hAnsi="Times New Roman" w:cs="宋体"/>
          <w:color w:val="auto"/>
          <w:sz w:val="28"/>
          <w:szCs w:val="28"/>
        </w:rPr>
        <w:t>。</w:t>
      </w:r>
    </w:p>
    <w:p>
      <w:pPr>
        <w:spacing w:line="600" w:lineRule="exact"/>
        <w:jc w:val="center"/>
        <w:rPr>
          <w:rFonts w:ascii="Times New Roman" w:hAnsi="Times New Roman" w:cs="Times New Roman"/>
          <w:color w:val="auto"/>
          <w:lang w:val="zh-CN"/>
        </w:rPr>
      </w:pPr>
      <w:r>
        <w:rPr>
          <w:rFonts w:ascii="Times New Roman" w:hAnsi="Times New Roman" w:cs="Times New Roman"/>
          <w:color w:val="auto"/>
          <w:lang w:val="zh-CN"/>
        </w:rPr>
        <w:br w:type="page"/>
      </w: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 xml:space="preserve">4-5  </w:t>
      </w:r>
      <w:r>
        <w:rPr>
          <w:rFonts w:hint="eastAsia" w:ascii="Times New Roman" w:hAnsi="Times New Roman" w:cs="宋体"/>
          <w:b/>
          <w:bCs/>
          <w:color w:val="auto"/>
          <w:sz w:val="24"/>
          <w:szCs w:val="24"/>
          <w:lang w:val="zh-CN"/>
        </w:rPr>
        <w:t>危险性等级划分标准</w:t>
      </w:r>
    </w:p>
    <w:tbl>
      <w:tblPr>
        <w:tblStyle w:val="20"/>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3142"/>
        <w:gridCol w:w="1663"/>
        <w:gridCol w:w="3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trPr>
        <w:tc>
          <w:tcPr>
            <w:tcW w:w="1298" w:type="dxa"/>
            <w:vAlign w:val="center"/>
          </w:tcPr>
          <w:p>
            <w:pPr>
              <w:jc w:val="center"/>
              <w:rPr>
                <w:rFonts w:ascii="Times New Roman" w:hAnsi="Times New Roman" w:cs="Times New Roman"/>
                <w:color w:val="auto"/>
              </w:rPr>
            </w:pPr>
            <w:r>
              <w:rPr>
                <w:rFonts w:ascii="Times New Roman" w:hAnsi="Times New Roman" w:cs="Times New Roman"/>
                <w:color w:val="auto"/>
              </w:rPr>
              <w:t>D</w:t>
            </w:r>
            <w:r>
              <w:rPr>
                <w:rFonts w:hint="eastAsia" w:ascii="Times New Roman" w:hAnsi="Times New Roman" w:cs="宋体"/>
                <w:color w:val="auto"/>
              </w:rPr>
              <w:t>值</w:t>
            </w:r>
          </w:p>
        </w:tc>
        <w:tc>
          <w:tcPr>
            <w:tcW w:w="3142" w:type="dxa"/>
            <w:vAlign w:val="center"/>
          </w:tcPr>
          <w:p>
            <w:pPr>
              <w:jc w:val="center"/>
              <w:rPr>
                <w:rFonts w:ascii="Times New Roman" w:hAnsi="Times New Roman" w:cs="Times New Roman"/>
                <w:color w:val="auto"/>
              </w:rPr>
            </w:pPr>
            <w:r>
              <w:rPr>
                <w:rFonts w:hint="eastAsia" w:ascii="Times New Roman" w:hAnsi="Times New Roman" w:cs="宋体"/>
                <w:color w:val="auto"/>
              </w:rPr>
              <w:t>危险程度</w:t>
            </w:r>
          </w:p>
        </w:tc>
        <w:tc>
          <w:tcPr>
            <w:tcW w:w="1663" w:type="dxa"/>
            <w:vAlign w:val="center"/>
          </w:tcPr>
          <w:p>
            <w:pPr>
              <w:jc w:val="center"/>
              <w:rPr>
                <w:rFonts w:ascii="Times New Roman" w:hAnsi="Times New Roman" w:cs="Times New Roman"/>
                <w:color w:val="auto"/>
              </w:rPr>
            </w:pPr>
            <w:r>
              <w:rPr>
                <w:rFonts w:ascii="Times New Roman" w:hAnsi="Times New Roman" w:cs="Times New Roman"/>
                <w:color w:val="auto"/>
              </w:rPr>
              <w:t>D</w:t>
            </w:r>
            <w:r>
              <w:rPr>
                <w:rFonts w:hint="eastAsia" w:ascii="Times New Roman" w:hAnsi="Times New Roman" w:cs="宋体"/>
                <w:color w:val="auto"/>
              </w:rPr>
              <w:t>值</w:t>
            </w:r>
          </w:p>
        </w:tc>
        <w:tc>
          <w:tcPr>
            <w:tcW w:w="3139" w:type="dxa"/>
            <w:vAlign w:val="center"/>
          </w:tcPr>
          <w:p>
            <w:pPr>
              <w:jc w:val="center"/>
              <w:rPr>
                <w:rFonts w:ascii="Times New Roman" w:hAnsi="Times New Roman" w:cs="Times New Roman"/>
                <w:color w:val="auto"/>
              </w:rPr>
            </w:pPr>
            <w:r>
              <w:rPr>
                <w:rFonts w:hint="eastAsia" w:ascii="Times New Roman" w:hAnsi="Times New Roman" w:cs="宋体"/>
                <w:color w:val="auto"/>
              </w:rP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trPr>
        <w:tc>
          <w:tcPr>
            <w:tcW w:w="1298" w:type="dxa"/>
            <w:vAlign w:val="center"/>
          </w:tcPr>
          <w:p>
            <w:pPr>
              <w:jc w:val="center"/>
              <w:rPr>
                <w:rFonts w:ascii="Times New Roman" w:hAnsi="Times New Roman" w:cs="Times New Roman"/>
                <w:color w:val="auto"/>
              </w:rPr>
            </w:pPr>
            <w:r>
              <w:rPr>
                <w:rFonts w:hint="eastAsia" w:ascii="Times New Roman" w:hAnsi="Times New Roman" w:cs="宋体"/>
                <w:color w:val="auto"/>
              </w:rPr>
              <w:t>＞</w:t>
            </w:r>
            <w:r>
              <w:rPr>
                <w:rFonts w:ascii="Times New Roman" w:hAnsi="Times New Roman" w:cs="Times New Roman"/>
                <w:color w:val="auto"/>
              </w:rPr>
              <w:t>320</w:t>
            </w:r>
          </w:p>
        </w:tc>
        <w:tc>
          <w:tcPr>
            <w:tcW w:w="3142" w:type="dxa"/>
            <w:vAlign w:val="center"/>
          </w:tcPr>
          <w:p>
            <w:pPr>
              <w:jc w:val="center"/>
              <w:rPr>
                <w:rFonts w:ascii="Times New Roman" w:hAnsi="Times New Roman" w:cs="Times New Roman"/>
                <w:color w:val="auto"/>
              </w:rPr>
            </w:pPr>
            <w:r>
              <w:rPr>
                <w:rFonts w:hint="eastAsia" w:ascii="Times New Roman" w:hAnsi="Times New Roman" w:cs="宋体"/>
                <w:color w:val="auto"/>
              </w:rPr>
              <w:t>极其危险，不能继续作业</w:t>
            </w:r>
          </w:p>
        </w:tc>
        <w:tc>
          <w:tcPr>
            <w:tcW w:w="1663" w:type="dxa"/>
            <w:vAlign w:val="center"/>
          </w:tcPr>
          <w:p>
            <w:pPr>
              <w:jc w:val="center"/>
              <w:rPr>
                <w:rFonts w:ascii="Times New Roman" w:hAnsi="Times New Roman" w:cs="Times New Roman"/>
                <w:color w:val="auto"/>
              </w:rPr>
            </w:pPr>
            <w:r>
              <w:rPr>
                <w:rFonts w:ascii="Times New Roman" w:hAnsi="Times New Roman" w:cs="Times New Roman"/>
                <w:color w:val="auto"/>
              </w:rPr>
              <w:t>20-70</w:t>
            </w:r>
          </w:p>
        </w:tc>
        <w:tc>
          <w:tcPr>
            <w:tcW w:w="3139" w:type="dxa"/>
            <w:vAlign w:val="center"/>
          </w:tcPr>
          <w:p>
            <w:pPr>
              <w:jc w:val="center"/>
              <w:rPr>
                <w:rFonts w:ascii="Times New Roman" w:hAnsi="Times New Roman" w:cs="Times New Roman"/>
                <w:color w:val="auto"/>
              </w:rPr>
            </w:pPr>
            <w:r>
              <w:rPr>
                <w:rFonts w:hint="eastAsia" w:ascii="Times New Roman" w:hAnsi="Times New Roman" w:cs="宋体"/>
                <w:color w:val="auto"/>
              </w:rPr>
              <w:t>一般危险，需要注意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trPr>
        <w:tc>
          <w:tcPr>
            <w:tcW w:w="1298" w:type="dxa"/>
            <w:vAlign w:val="center"/>
          </w:tcPr>
          <w:p>
            <w:pPr>
              <w:jc w:val="center"/>
              <w:rPr>
                <w:rFonts w:ascii="Times New Roman" w:hAnsi="Times New Roman" w:cs="Times New Roman"/>
                <w:color w:val="auto"/>
              </w:rPr>
            </w:pPr>
            <w:r>
              <w:rPr>
                <w:rFonts w:ascii="Times New Roman" w:hAnsi="Times New Roman" w:cs="Times New Roman"/>
                <w:color w:val="auto"/>
              </w:rPr>
              <w:t>160-320</w:t>
            </w:r>
          </w:p>
        </w:tc>
        <w:tc>
          <w:tcPr>
            <w:tcW w:w="3142" w:type="dxa"/>
            <w:vAlign w:val="center"/>
          </w:tcPr>
          <w:p>
            <w:pPr>
              <w:jc w:val="center"/>
              <w:rPr>
                <w:rFonts w:ascii="Times New Roman" w:hAnsi="Times New Roman" w:cs="Times New Roman"/>
                <w:color w:val="auto"/>
              </w:rPr>
            </w:pPr>
            <w:r>
              <w:rPr>
                <w:rFonts w:hint="eastAsia" w:ascii="Times New Roman" w:hAnsi="Times New Roman" w:cs="宋体"/>
                <w:color w:val="auto"/>
              </w:rPr>
              <w:t>高度危险，需立即整改</w:t>
            </w:r>
          </w:p>
        </w:tc>
        <w:tc>
          <w:tcPr>
            <w:tcW w:w="1663" w:type="dxa"/>
            <w:vAlign w:val="center"/>
          </w:tcPr>
          <w:p>
            <w:pPr>
              <w:jc w:val="center"/>
              <w:rPr>
                <w:rFonts w:ascii="Times New Roman" w:hAnsi="Times New Roman" w:cs="Times New Roman"/>
                <w:color w:val="auto"/>
              </w:rPr>
            </w:pPr>
            <w:r>
              <w:rPr>
                <w:rFonts w:hint="eastAsia" w:ascii="Times New Roman" w:hAnsi="Times New Roman" w:cs="宋体"/>
                <w:color w:val="auto"/>
              </w:rPr>
              <w:t>＜</w:t>
            </w:r>
            <w:r>
              <w:rPr>
                <w:rFonts w:ascii="Times New Roman" w:hAnsi="Times New Roman" w:cs="Times New Roman"/>
                <w:color w:val="auto"/>
              </w:rPr>
              <w:t>20</w:t>
            </w:r>
          </w:p>
        </w:tc>
        <w:tc>
          <w:tcPr>
            <w:tcW w:w="3139" w:type="dxa"/>
            <w:vAlign w:val="center"/>
          </w:tcPr>
          <w:p>
            <w:pPr>
              <w:jc w:val="center"/>
              <w:rPr>
                <w:rFonts w:ascii="Times New Roman" w:hAnsi="Times New Roman" w:cs="Times New Roman"/>
                <w:color w:val="auto"/>
              </w:rPr>
            </w:pPr>
            <w:r>
              <w:rPr>
                <w:rFonts w:hint="eastAsia" w:ascii="Times New Roman" w:hAnsi="Times New Roman" w:cs="宋体"/>
                <w:color w:val="auto"/>
              </w:rPr>
              <w:t>稍有危险，可以接受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trPr>
        <w:tc>
          <w:tcPr>
            <w:tcW w:w="1298" w:type="dxa"/>
            <w:vAlign w:val="center"/>
          </w:tcPr>
          <w:p>
            <w:pPr>
              <w:jc w:val="center"/>
              <w:rPr>
                <w:rFonts w:ascii="Times New Roman" w:hAnsi="Times New Roman" w:cs="Times New Roman"/>
                <w:color w:val="auto"/>
              </w:rPr>
            </w:pPr>
            <w:r>
              <w:rPr>
                <w:rFonts w:ascii="Times New Roman" w:hAnsi="Times New Roman" w:cs="Times New Roman"/>
                <w:color w:val="auto"/>
              </w:rPr>
              <w:t>70-160</w:t>
            </w:r>
          </w:p>
        </w:tc>
        <w:tc>
          <w:tcPr>
            <w:tcW w:w="3142" w:type="dxa"/>
            <w:vAlign w:val="center"/>
          </w:tcPr>
          <w:p>
            <w:pPr>
              <w:jc w:val="center"/>
              <w:rPr>
                <w:rFonts w:ascii="Times New Roman" w:hAnsi="Times New Roman" w:cs="Times New Roman"/>
                <w:color w:val="auto"/>
              </w:rPr>
            </w:pPr>
            <w:r>
              <w:rPr>
                <w:rFonts w:hint="eastAsia" w:ascii="Times New Roman" w:hAnsi="Times New Roman" w:cs="宋体"/>
                <w:color w:val="auto"/>
              </w:rPr>
              <w:t>显著危险，需要整改</w:t>
            </w:r>
          </w:p>
        </w:tc>
        <w:tc>
          <w:tcPr>
            <w:tcW w:w="1663" w:type="dxa"/>
            <w:vAlign w:val="center"/>
          </w:tcPr>
          <w:p>
            <w:pPr>
              <w:jc w:val="center"/>
              <w:rPr>
                <w:rFonts w:ascii="Times New Roman" w:hAnsi="Times New Roman" w:cs="Times New Roman"/>
                <w:color w:val="auto"/>
              </w:rPr>
            </w:pPr>
          </w:p>
        </w:tc>
        <w:tc>
          <w:tcPr>
            <w:tcW w:w="3139" w:type="dxa"/>
            <w:vAlign w:val="center"/>
          </w:tcPr>
          <w:p>
            <w:pPr>
              <w:jc w:val="center"/>
              <w:rPr>
                <w:rFonts w:ascii="Times New Roman" w:hAnsi="Times New Roman" w:cs="Times New Roman"/>
                <w:color w:val="auto"/>
              </w:rPr>
            </w:pPr>
          </w:p>
        </w:tc>
      </w:tr>
    </w:tbl>
    <w:p>
      <w:pPr>
        <w:keepNext/>
        <w:keepLines/>
        <w:spacing w:line="600" w:lineRule="exact"/>
        <w:outlineLvl w:val="2"/>
        <w:rPr>
          <w:rFonts w:ascii="Times New Roman" w:hAnsi="Times New Roman" w:cs="Times New Roman"/>
          <w:b/>
          <w:bCs/>
          <w:color w:val="auto"/>
          <w:sz w:val="28"/>
          <w:szCs w:val="28"/>
        </w:rPr>
      </w:pPr>
      <w:bookmarkStart w:id="128" w:name="_Toc15954"/>
      <w:r>
        <w:rPr>
          <w:rFonts w:ascii="Times New Roman" w:hAnsi="Times New Roman" w:cs="Times New Roman"/>
          <w:b/>
          <w:bCs/>
          <w:color w:val="auto"/>
          <w:sz w:val="28"/>
          <w:szCs w:val="28"/>
        </w:rPr>
        <w:t>4.2.2</w:t>
      </w:r>
      <w:r>
        <w:rPr>
          <w:rFonts w:hint="eastAsia" w:ascii="Times New Roman" w:hAnsi="Times New Roman" w:cs="宋体"/>
          <w:b/>
          <w:bCs/>
          <w:color w:val="auto"/>
          <w:sz w:val="28"/>
          <w:szCs w:val="28"/>
        </w:rPr>
        <w:t>危险度评价法</w:t>
      </w:r>
      <w:bookmarkEnd w:id="128"/>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危险度评价法是根据日本劳动省</w:t>
      </w:r>
      <w:r>
        <w:rPr>
          <w:rFonts w:ascii="Times New Roman" w:hAnsi="Times New Roman" w:cs="Times New Roman"/>
          <w:color w:val="auto"/>
          <w:sz w:val="28"/>
          <w:szCs w:val="28"/>
        </w:rPr>
        <w:t>“</w:t>
      </w:r>
      <w:r>
        <w:rPr>
          <w:rFonts w:hint="eastAsia" w:ascii="Times New Roman" w:hAnsi="Times New Roman" w:cs="宋体"/>
          <w:color w:val="auto"/>
          <w:sz w:val="28"/>
          <w:szCs w:val="28"/>
        </w:rPr>
        <w:t>六阶段法</w:t>
      </w:r>
      <w:r>
        <w:rPr>
          <w:rFonts w:ascii="Times New Roman" w:hAnsi="Times New Roman" w:cs="Times New Roman"/>
          <w:color w:val="auto"/>
          <w:sz w:val="28"/>
          <w:szCs w:val="28"/>
        </w:rPr>
        <w:t>”</w:t>
      </w:r>
      <w:r>
        <w:rPr>
          <w:rFonts w:hint="eastAsia" w:ascii="Times New Roman" w:hAnsi="Times New Roman" w:cs="宋体"/>
          <w:color w:val="auto"/>
          <w:sz w:val="28"/>
          <w:szCs w:val="28"/>
        </w:rPr>
        <w:t>的定量评价表，结合我国有关标准、规程，编制了</w:t>
      </w:r>
      <w:r>
        <w:rPr>
          <w:rFonts w:ascii="Times New Roman" w:hAnsi="Times New Roman" w:cs="Times New Roman"/>
          <w:color w:val="auto"/>
          <w:sz w:val="28"/>
          <w:szCs w:val="28"/>
        </w:rPr>
        <w:t>“</w:t>
      </w:r>
      <w:r>
        <w:rPr>
          <w:rFonts w:hint="eastAsia" w:ascii="Times New Roman" w:hAnsi="Times New Roman" w:cs="宋体"/>
          <w:color w:val="auto"/>
          <w:sz w:val="28"/>
          <w:szCs w:val="28"/>
        </w:rPr>
        <w:t>危险度评价取值表</w:t>
      </w:r>
      <w:r>
        <w:rPr>
          <w:rFonts w:ascii="Times New Roman" w:hAnsi="Times New Roman" w:cs="Times New Roman"/>
          <w:color w:val="auto"/>
          <w:sz w:val="28"/>
          <w:szCs w:val="28"/>
        </w:rPr>
        <w:t>”</w:t>
      </w:r>
      <w:r>
        <w:rPr>
          <w:rFonts w:hint="eastAsia" w:ascii="Times New Roman" w:hAnsi="Times New Roman" w:cs="宋体"/>
          <w:color w:val="auto"/>
          <w:sz w:val="28"/>
          <w:szCs w:val="28"/>
        </w:rPr>
        <w:t>。规定单元危险度由物质、容量、温度、压力和操作</w:t>
      </w:r>
      <w:r>
        <w:rPr>
          <w:rFonts w:ascii="Times New Roman" w:hAnsi="Times New Roman" w:cs="Times New Roman"/>
          <w:color w:val="auto"/>
          <w:sz w:val="28"/>
          <w:szCs w:val="28"/>
        </w:rPr>
        <w:t>5</w:t>
      </w:r>
      <w:r>
        <w:rPr>
          <w:rFonts w:hint="eastAsia" w:ascii="Times New Roman" w:hAnsi="Times New Roman" w:cs="宋体"/>
          <w:color w:val="auto"/>
          <w:sz w:val="28"/>
          <w:szCs w:val="28"/>
        </w:rPr>
        <w:t>个项目共同确定。其危险性分别按</w:t>
      </w:r>
      <w:r>
        <w:rPr>
          <w:rFonts w:ascii="Times New Roman" w:hAnsi="Times New Roman" w:cs="Times New Roman"/>
          <w:color w:val="auto"/>
          <w:sz w:val="28"/>
          <w:szCs w:val="28"/>
        </w:rPr>
        <w:t>A=10</w:t>
      </w:r>
      <w:r>
        <w:rPr>
          <w:rFonts w:hint="eastAsia" w:ascii="Times New Roman" w:hAnsi="Times New Roman" w:cs="宋体"/>
          <w:color w:val="auto"/>
          <w:sz w:val="28"/>
          <w:szCs w:val="28"/>
        </w:rPr>
        <w:t>分，</w:t>
      </w:r>
      <w:r>
        <w:rPr>
          <w:rFonts w:ascii="Times New Roman" w:hAnsi="Times New Roman" w:cs="Times New Roman"/>
          <w:color w:val="auto"/>
          <w:sz w:val="28"/>
          <w:szCs w:val="28"/>
        </w:rPr>
        <w:t>B=5</w:t>
      </w:r>
      <w:r>
        <w:rPr>
          <w:rFonts w:hint="eastAsia" w:ascii="Times New Roman" w:hAnsi="Times New Roman" w:cs="宋体"/>
          <w:color w:val="auto"/>
          <w:sz w:val="28"/>
          <w:szCs w:val="28"/>
        </w:rPr>
        <w:t>分，</w:t>
      </w:r>
      <w:r>
        <w:rPr>
          <w:rFonts w:ascii="Times New Roman" w:hAnsi="Times New Roman" w:cs="Times New Roman"/>
          <w:color w:val="auto"/>
          <w:sz w:val="28"/>
          <w:szCs w:val="28"/>
        </w:rPr>
        <w:t>C=2</w:t>
      </w:r>
      <w:r>
        <w:rPr>
          <w:rFonts w:hint="eastAsia" w:ascii="Times New Roman" w:hAnsi="Times New Roman" w:cs="宋体"/>
          <w:color w:val="auto"/>
          <w:sz w:val="28"/>
          <w:szCs w:val="28"/>
        </w:rPr>
        <w:t>分，</w:t>
      </w:r>
      <w:r>
        <w:rPr>
          <w:rFonts w:ascii="Times New Roman" w:hAnsi="Times New Roman" w:cs="Times New Roman"/>
          <w:color w:val="auto"/>
          <w:sz w:val="28"/>
          <w:szCs w:val="28"/>
        </w:rPr>
        <w:t>D=0</w:t>
      </w:r>
      <w:r>
        <w:rPr>
          <w:rFonts w:hint="eastAsia" w:ascii="Times New Roman" w:hAnsi="Times New Roman" w:cs="宋体"/>
          <w:color w:val="auto"/>
          <w:sz w:val="28"/>
          <w:szCs w:val="28"/>
        </w:rPr>
        <w:t>分赋值计分，由累计分值确定单元危险度。危险度评价取值表见表</w:t>
      </w:r>
      <w:r>
        <w:rPr>
          <w:rFonts w:ascii="Times New Roman" w:hAnsi="Times New Roman" w:cs="Times New Roman"/>
          <w:color w:val="auto"/>
          <w:sz w:val="28"/>
          <w:szCs w:val="28"/>
        </w:rPr>
        <w:t>4-6</w:t>
      </w:r>
      <w:r>
        <w:rPr>
          <w:rFonts w:hint="eastAsia" w:ascii="Times New Roman" w:hAnsi="Times New Roman" w:cs="宋体"/>
          <w:color w:val="auto"/>
          <w:sz w:val="28"/>
          <w:szCs w:val="28"/>
        </w:rPr>
        <w:t>。</w:t>
      </w:r>
    </w:p>
    <w:p>
      <w:pPr>
        <w:spacing w:line="600" w:lineRule="exact"/>
        <w:jc w:val="center"/>
        <w:rPr>
          <w:rFonts w:ascii="Times New Roman" w:hAnsi="Times New Roman" w:cs="Times New Roman"/>
          <w:b/>
          <w:bCs/>
          <w:color w:val="auto"/>
          <w:sz w:val="24"/>
          <w:szCs w:val="24"/>
          <w:lang w:val="zh-CN"/>
        </w:rPr>
      </w:pP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 xml:space="preserve">4-6  </w:t>
      </w:r>
      <w:r>
        <w:rPr>
          <w:rFonts w:hint="eastAsia" w:ascii="Times New Roman" w:hAnsi="Times New Roman" w:cs="宋体"/>
          <w:b/>
          <w:bCs/>
          <w:color w:val="auto"/>
          <w:sz w:val="24"/>
          <w:szCs w:val="24"/>
          <w:lang w:val="zh-CN"/>
        </w:rPr>
        <w:t>危险度评价取值表</w:t>
      </w:r>
    </w:p>
    <w:tbl>
      <w:tblPr>
        <w:tblStyle w:val="20"/>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071"/>
        <w:gridCol w:w="2229"/>
        <w:gridCol w:w="2229"/>
        <w:gridCol w:w="1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900" w:type="dxa"/>
            <w:tcBorders>
              <w:tl2br w:val="single" w:color="auto" w:sz="4" w:space="0"/>
            </w:tcBorders>
          </w:tcPr>
          <w:p>
            <w:pPr>
              <w:spacing w:line="360" w:lineRule="exact"/>
              <w:ind w:firstLine="210" w:firstLineChars="100"/>
              <w:rPr>
                <w:rFonts w:ascii="Times New Roman" w:hAnsi="Times New Roman" w:cs="Times New Roman"/>
                <w:color w:val="auto"/>
              </w:rPr>
            </w:pPr>
            <w:r>
              <w:rPr>
                <w:rFonts w:hint="eastAsia" w:ascii="Times New Roman" w:hAnsi="Times New Roman" w:cs="宋体"/>
                <w:color w:val="auto"/>
              </w:rPr>
              <w:t>分值项目</w:t>
            </w:r>
          </w:p>
        </w:tc>
        <w:tc>
          <w:tcPr>
            <w:tcW w:w="2071" w:type="dxa"/>
            <w:vAlign w:val="center"/>
          </w:tcPr>
          <w:p>
            <w:pPr>
              <w:spacing w:line="360" w:lineRule="exact"/>
              <w:jc w:val="center"/>
              <w:rPr>
                <w:rFonts w:ascii="Times New Roman" w:hAnsi="Times New Roman" w:cs="Times New Roman"/>
                <w:color w:val="auto"/>
              </w:rPr>
            </w:pPr>
            <w:r>
              <w:rPr>
                <w:rFonts w:ascii="Times New Roman" w:hAnsi="Times New Roman" w:cs="Times New Roman"/>
                <w:color w:val="auto"/>
              </w:rPr>
              <w:t>A</w:t>
            </w:r>
            <w:r>
              <w:rPr>
                <w:rFonts w:hint="eastAsia" w:ascii="Times New Roman" w:hAnsi="Times New Roman" w:cs="宋体"/>
                <w:color w:val="auto"/>
              </w:rPr>
              <w:t>（</w:t>
            </w:r>
            <w:r>
              <w:rPr>
                <w:rFonts w:ascii="Times New Roman" w:hAnsi="Times New Roman" w:cs="Times New Roman"/>
                <w:color w:val="auto"/>
              </w:rPr>
              <w:t>10</w:t>
            </w:r>
            <w:r>
              <w:rPr>
                <w:rFonts w:hint="eastAsia" w:ascii="Times New Roman" w:hAnsi="Times New Roman" w:cs="宋体"/>
                <w:color w:val="auto"/>
              </w:rPr>
              <w:t>分）</w:t>
            </w:r>
          </w:p>
        </w:tc>
        <w:tc>
          <w:tcPr>
            <w:tcW w:w="2229" w:type="dxa"/>
            <w:vAlign w:val="center"/>
          </w:tcPr>
          <w:p>
            <w:pPr>
              <w:spacing w:line="360" w:lineRule="exact"/>
              <w:jc w:val="center"/>
              <w:rPr>
                <w:rFonts w:ascii="Times New Roman" w:hAnsi="Times New Roman" w:cs="Times New Roman"/>
                <w:color w:val="auto"/>
              </w:rPr>
            </w:pPr>
            <w:r>
              <w:rPr>
                <w:rFonts w:ascii="Times New Roman" w:hAnsi="Times New Roman" w:cs="Times New Roman"/>
                <w:color w:val="auto"/>
              </w:rPr>
              <w:t>B</w:t>
            </w:r>
            <w:r>
              <w:rPr>
                <w:rFonts w:hint="eastAsia" w:ascii="Times New Roman" w:hAnsi="Times New Roman" w:cs="宋体"/>
                <w:color w:val="auto"/>
              </w:rPr>
              <w:t>（</w:t>
            </w:r>
            <w:r>
              <w:rPr>
                <w:rFonts w:ascii="Times New Roman" w:hAnsi="Times New Roman" w:cs="Times New Roman"/>
                <w:color w:val="auto"/>
              </w:rPr>
              <w:t>5</w:t>
            </w:r>
            <w:r>
              <w:rPr>
                <w:rFonts w:hint="eastAsia" w:ascii="Times New Roman" w:hAnsi="Times New Roman" w:cs="宋体"/>
                <w:color w:val="auto"/>
              </w:rPr>
              <w:t>分）</w:t>
            </w:r>
          </w:p>
        </w:tc>
        <w:tc>
          <w:tcPr>
            <w:tcW w:w="2229" w:type="dxa"/>
            <w:vAlign w:val="center"/>
          </w:tcPr>
          <w:p>
            <w:pPr>
              <w:spacing w:line="360" w:lineRule="exact"/>
              <w:jc w:val="center"/>
              <w:rPr>
                <w:rFonts w:ascii="Times New Roman" w:hAnsi="Times New Roman" w:cs="Times New Roman"/>
                <w:color w:val="auto"/>
              </w:rPr>
            </w:pPr>
            <w:r>
              <w:rPr>
                <w:rFonts w:ascii="Times New Roman" w:hAnsi="Times New Roman" w:cs="Times New Roman"/>
                <w:color w:val="auto"/>
              </w:rPr>
              <w:t>C</w:t>
            </w:r>
            <w:r>
              <w:rPr>
                <w:rFonts w:hint="eastAsia" w:ascii="Times New Roman" w:hAnsi="Times New Roman" w:cs="宋体"/>
                <w:color w:val="auto"/>
              </w:rPr>
              <w:t>（</w:t>
            </w:r>
            <w:r>
              <w:rPr>
                <w:rFonts w:ascii="Times New Roman" w:hAnsi="Times New Roman" w:cs="Times New Roman"/>
                <w:color w:val="auto"/>
              </w:rPr>
              <w:t>2</w:t>
            </w:r>
            <w:r>
              <w:rPr>
                <w:rFonts w:hint="eastAsia" w:ascii="Times New Roman" w:hAnsi="Times New Roman" w:cs="宋体"/>
                <w:color w:val="auto"/>
              </w:rPr>
              <w:t>分）</w:t>
            </w:r>
          </w:p>
        </w:tc>
        <w:tc>
          <w:tcPr>
            <w:tcW w:w="1857" w:type="dxa"/>
            <w:vAlign w:val="center"/>
          </w:tcPr>
          <w:p>
            <w:pPr>
              <w:spacing w:line="360" w:lineRule="exact"/>
              <w:jc w:val="center"/>
              <w:rPr>
                <w:rFonts w:ascii="Times New Roman" w:hAnsi="Times New Roman" w:cs="Times New Roman"/>
                <w:color w:val="auto"/>
              </w:rPr>
            </w:pPr>
            <w:r>
              <w:rPr>
                <w:rFonts w:ascii="Times New Roman" w:hAnsi="Times New Roman" w:cs="Times New Roman"/>
                <w:color w:val="auto"/>
              </w:rPr>
              <w:t>D</w:t>
            </w:r>
            <w:r>
              <w:rPr>
                <w:rFonts w:hint="eastAsia" w:ascii="Times New Roman" w:hAnsi="Times New Roman" w:cs="宋体"/>
                <w:color w:val="auto"/>
              </w:rPr>
              <w:t>（</w:t>
            </w:r>
            <w:r>
              <w:rPr>
                <w:rFonts w:ascii="Times New Roman" w:hAnsi="Times New Roman" w:cs="Times New Roman"/>
                <w:color w:val="auto"/>
              </w:rPr>
              <w:t>0</w:t>
            </w:r>
            <w:r>
              <w:rPr>
                <w:rFonts w:hint="eastAsia" w:ascii="Times New Roman" w:hAnsi="Times New Roman" w:cs="宋体"/>
                <w:color w:val="auto"/>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900" w:type="dxa"/>
            <w:vAlign w:val="center"/>
          </w:tcPr>
          <w:p>
            <w:pPr>
              <w:spacing w:line="360" w:lineRule="exact"/>
              <w:jc w:val="center"/>
              <w:rPr>
                <w:rFonts w:ascii="Times New Roman" w:hAnsi="Times New Roman" w:cs="Times New Roman"/>
                <w:color w:val="auto"/>
              </w:rPr>
            </w:pPr>
            <w:r>
              <w:rPr>
                <w:rFonts w:hint="eastAsia" w:ascii="Times New Roman" w:hAnsi="Times New Roman" w:cs="宋体"/>
                <w:color w:val="auto"/>
              </w:rPr>
              <w:t>物质</w:t>
            </w:r>
          </w:p>
        </w:tc>
        <w:tc>
          <w:tcPr>
            <w:tcW w:w="2071" w:type="dxa"/>
            <w:vAlign w:val="center"/>
          </w:tcPr>
          <w:p>
            <w:pPr>
              <w:spacing w:line="360" w:lineRule="exact"/>
              <w:rPr>
                <w:rFonts w:ascii="Times New Roman" w:hAnsi="Times New Roman" w:cs="Times New Roman"/>
                <w:color w:val="auto"/>
              </w:rPr>
            </w:pPr>
            <w:r>
              <w:rPr>
                <w:rFonts w:hint="eastAsia" w:ascii="Times New Roman" w:hAnsi="Times New Roman" w:cs="宋体"/>
                <w:color w:val="auto"/>
              </w:rPr>
              <w:t>甲类可燃气体；</w:t>
            </w:r>
          </w:p>
          <w:p>
            <w:pPr>
              <w:spacing w:line="360" w:lineRule="exact"/>
              <w:rPr>
                <w:rFonts w:ascii="Times New Roman" w:hAnsi="Times New Roman" w:cs="Times New Roman"/>
                <w:color w:val="auto"/>
              </w:rPr>
            </w:pPr>
            <w:r>
              <w:rPr>
                <w:rFonts w:hint="eastAsia" w:ascii="Times New Roman" w:hAnsi="Times New Roman" w:cs="宋体"/>
                <w:color w:val="auto"/>
              </w:rPr>
              <w:t>甲</w:t>
            </w:r>
            <w:r>
              <w:rPr>
                <w:rFonts w:ascii="Times New Roman" w:hAnsi="Times New Roman" w:cs="Times New Roman"/>
                <w:color w:val="auto"/>
                <w:vertAlign w:val="subscript"/>
              </w:rPr>
              <w:t>A</w:t>
            </w:r>
            <w:r>
              <w:rPr>
                <w:rFonts w:hint="eastAsia" w:ascii="Times New Roman" w:hAnsi="Times New Roman" w:cs="宋体"/>
                <w:color w:val="auto"/>
              </w:rPr>
              <w:t>类物质及液态烃类；</w:t>
            </w:r>
          </w:p>
          <w:p>
            <w:pPr>
              <w:spacing w:line="360" w:lineRule="exact"/>
              <w:rPr>
                <w:rFonts w:ascii="Times New Roman" w:hAnsi="Times New Roman" w:cs="Times New Roman"/>
                <w:color w:val="auto"/>
              </w:rPr>
            </w:pPr>
            <w:r>
              <w:rPr>
                <w:rFonts w:hint="eastAsia" w:ascii="Times New Roman" w:hAnsi="Times New Roman" w:cs="宋体"/>
                <w:color w:val="auto"/>
              </w:rPr>
              <w:t>甲类固体；</w:t>
            </w:r>
          </w:p>
          <w:p>
            <w:pPr>
              <w:spacing w:line="360" w:lineRule="exact"/>
              <w:rPr>
                <w:rFonts w:ascii="Times New Roman" w:hAnsi="Times New Roman" w:cs="Times New Roman"/>
                <w:color w:val="auto"/>
              </w:rPr>
            </w:pPr>
            <w:r>
              <w:rPr>
                <w:rFonts w:hint="eastAsia" w:ascii="Times New Roman" w:hAnsi="Times New Roman" w:cs="宋体"/>
                <w:color w:val="auto"/>
              </w:rPr>
              <w:t>极度危害介质</w:t>
            </w:r>
          </w:p>
        </w:tc>
        <w:tc>
          <w:tcPr>
            <w:tcW w:w="2229" w:type="dxa"/>
            <w:vAlign w:val="center"/>
          </w:tcPr>
          <w:p>
            <w:pPr>
              <w:spacing w:line="360" w:lineRule="exact"/>
              <w:rPr>
                <w:rFonts w:ascii="Times New Roman" w:hAnsi="Times New Roman" w:cs="Times New Roman"/>
                <w:color w:val="auto"/>
              </w:rPr>
            </w:pPr>
            <w:r>
              <w:rPr>
                <w:rFonts w:hint="eastAsia" w:ascii="Times New Roman" w:hAnsi="Times New Roman" w:cs="宋体"/>
                <w:color w:val="auto"/>
              </w:rPr>
              <w:t>乙类气体；</w:t>
            </w:r>
          </w:p>
          <w:p>
            <w:pPr>
              <w:spacing w:line="360" w:lineRule="exact"/>
              <w:rPr>
                <w:rFonts w:ascii="Times New Roman" w:hAnsi="Times New Roman" w:cs="Times New Roman"/>
                <w:color w:val="auto"/>
              </w:rPr>
            </w:pPr>
            <w:r>
              <w:rPr>
                <w:rFonts w:hint="eastAsia" w:ascii="Times New Roman" w:hAnsi="Times New Roman" w:cs="宋体"/>
                <w:color w:val="auto"/>
              </w:rPr>
              <w:t>甲</w:t>
            </w:r>
            <w:r>
              <w:rPr>
                <w:rFonts w:ascii="Times New Roman" w:hAnsi="Times New Roman" w:cs="Times New Roman"/>
                <w:color w:val="auto"/>
                <w:vertAlign w:val="subscript"/>
              </w:rPr>
              <w:t>B</w:t>
            </w:r>
            <w:r>
              <w:rPr>
                <w:rFonts w:hint="eastAsia" w:ascii="Times New Roman" w:hAnsi="Times New Roman" w:cs="宋体"/>
                <w:color w:val="auto"/>
              </w:rPr>
              <w:t>、乙</w:t>
            </w:r>
            <w:r>
              <w:rPr>
                <w:rFonts w:ascii="Times New Roman" w:hAnsi="Times New Roman" w:cs="Times New Roman"/>
                <w:color w:val="auto"/>
                <w:vertAlign w:val="subscript"/>
              </w:rPr>
              <w:t>A</w:t>
            </w:r>
            <w:r>
              <w:rPr>
                <w:rFonts w:hint="eastAsia" w:ascii="Times New Roman" w:hAnsi="Times New Roman" w:cs="宋体"/>
                <w:color w:val="auto"/>
              </w:rPr>
              <w:t>类可燃液体；</w:t>
            </w:r>
          </w:p>
          <w:p>
            <w:pPr>
              <w:spacing w:line="360" w:lineRule="exact"/>
              <w:rPr>
                <w:rFonts w:ascii="Times New Roman" w:hAnsi="Times New Roman" w:cs="Times New Roman"/>
                <w:color w:val="auto"/>
              </w:rPr>
            </w:pPr>
            <w:r>
              <w:rPr>
                <w:rFonts w:hint="eastAsia" w:ascii="Times New Roman" w:hAnsi="Times New Roman" w:cs="宋体"/>
                <w:color w:val="auto"/>
              </w:rPr>
              <w:t>乙类固体；；</w:t>
            </w:r>
          </w:p>
          <w:p>
            <w:pPr>
              <w:spacing w:line="360" w:lineRule="exact"/>
              <w:rPr>
                <w:rFonts w:ascii="Times New Roman" w:hAnsi="Times New Roman" w:cs="Times New Roman"/>
                <w:color w:val="auto"/>
              </w:rPr>
            </w:pPr>
            <w:r>
              <w:rPr>
                <w:rFonts w:hint="eastAsia" w:ascii="Times New Roman" w:hAnsi="Times New Roman" w:cs="宋体"/>
                <w:color w:val="auto"/>
              </w:rPr>
              <w:t>高度危害介质</w:t>
            </w:r>
          </w:p>
        </w:tc>
        <w:tc>
          <w:tcPr>
            <w:tcW w:w="2229" w:type="dxa"/>
            <w:vAlign w:val="center"/>
          </w:tcPr>
          <w:p>
            <w:pPr>
              <w:spacing w:line="360" w:lineRule="exact"/>
              <w:rPr>
                <w:rFonts w:ascii="Times New Roman" w:hAnsi="Times New Roman" w:cs="Times New Roman"/>
                <w:color w:val="auto"/>
              </w:rPr>
            </w:pPr>
            <w:r>
              <w:rPr>
                <w:rFonts w:hint="eastAsia" w:ascii="Times New Roman" w:hAnsi="Times New Roman" w:cs="宋体"/>
                <w:color w:val="auto"/>
              </w:rPr>
              <w:t>乙</w:t>
            </w:r>
            <w:r>
              <w:rPr>
                <w:rFonts w:ascii="Times New Roman" w:hAnsi="Times New Roman" w:cs="Times New Roman"/>
                <w:color w:val="auto"/>
                <w:vertAlign w:val="subscript"/>
              </w:rPr>
              <w:t>B</w:t>
            </w:r>
            <w:r>
              <w:rPr>
                <w:rFonts w:hint="eastAsia" w:ascii="Times New Roman" w:hAnsi="Times New Roman" w:cs="宋体"/>
                <w:color w:val="auto"/>
              </w:rPr>
              <w:t>、丙</w:t>
            </w:r>
            <w:r>
              <w:rPr>
                <w:rFonts w:ascii="Times New Roman" w:hAnsi="Times New Roman" w:cs="Times New Roman"/>
                <w:color w:val="auto"/>
                <w:vertAlign w:val="subscript"/>
              </w:rPr>
              <w:t>A</w:t>
            </w:r>
            <w:r>
              <w:rPr>
                <w:rFonts w:hint="eastAsia" w:ascii="Times New Roman" w:hAnsi="Times New Roman" w:cs="宋体"/>
                <w:color w:val="auto"/>
              </w:rPr>
              <w:t>、丙</w:t>
            </w:r>
            <w:r>
              <w:rPr>
                <w:rFonts w:ascii="Times New Roman" w:hAnsi="Times New Roman" w:cs="Times New Roman"/>
                <w:color w:val="auto"/>
                <w:vertAlign w:val="subscript"/>
              </w:rPr>
              <w:t>B</w:t>
            </w:r>
            <w:r>
              <w:rPr>
                <w:rFonts w:hint="eastAsia" w:ascii="Times New Roman" w:hAnsi="Times New Roman" w:cs="宋体"/>
                <w:color w:val="auto"/>
              </w:rPr>
              <w:t>类可燃液体；</w:t>
            </w:r>
          </w:p>
          <w:p>
            <w:pPr>
              <w:spacing w:line="360" w:lineRule="exact"/>
              <w:rPr>
                <w:rFonts w:ascii="Times New Roman" w:hAnsi="Times New Roman" w:cs="Times New Roman"/>
                <w:color w:val="auto"/>
              </w:rPr>
            </w:pPr>
            <w:r>
              <w:rPr>
                <w:rFonts w:hint="eastAsia" w:ascii="Times New Roman" w:hAnsi="Times New Roman" w:cs="宋体"/>
                <w:color w:val="auto"/>
              </w:rPr>
              <w:t>丙类固体；</w:t>
            </w:r>
          </w:p>
          <w:p>
            <w:pPr>
              <w:spacing w:line="360" w:lineRule="exact"/>
              <w:rPr>
                <w:rFonts w:ascii="Times New Roman" w:hAnsi="Times New Roman" w:cs="Times New Roman"/>
                <w:color w:val="auto"/>
              </w:rPr>
            </w:pPr>
            <w:r>
              <w:rPr>
                <w:rFonts w:hint="eastAsia" w:ascii="Times New Roman" w:hAnsi="Times New Roman" w:cs="宋体"/>
                <w:color w:val="auto"/>
              </w:rPr>
              <w:t>中、轻度危害介质</w:t>
            </w:r>
          </w:p>
        </w:tc>
        <w:tc>
          <w:tcPr>
            <w:tcW w:w="1857" w:type="dxa"/>
            <w:vAlign w:val="center"/>
          </w:tcPr>
          <w:p>
            <w:pPr>
              <w:spacing w:line="360" w:lineRule="exact"/>
              <w:rPr>
                <w:rFonts w:ascii="Times New Roman" w:hAnsi="Times New Roman" w:cs="Times New Roman"/>
                <w:color w:val="auto"/>
              </w:rPr>
            </w:pPr>
            <w:r>
              <w:rPr>
                <w:rFonts w:hint="eastAsia" w:ascii="Times New Roman" w:hAnsi="Times New Roman" w:cs="宋体"/>
                <w:color w:val="auto"/>
              </w:rPr>
              <w:t>不属</w:t>
            </w:r>
            <w:r>
              <w:rPr>
                <w:rFonts w:ascii="Times New Roman" w:hAnsi="Times New Roman" w:cs="Times New Roman"/>
                <w:color w:val="auto"/>
              </w:rPr>
              <w:t>A</w:t>
            </w:r>
            <w:r>
              <w:rPr>
                <w:rFonts w:hint="eastAsia" w:ascii="Times New Roman" w:hAnsi="Times New Roman" w:cs="宋体"/>
                <w:color w:val="auto"/>
              </w:rPr>
              <w:t>、</w:t>
            </w:r>
            <w:r>
              <w:rPr>
                <w:rFonts w:ascii="Times New Roman" w:hAnsi="Times New Roman" w:cs="Times New Roman"/>
                <w:color w:val="auto"/>
              </w:rPr>
              <w:t>B</w:t>
            </w:r>
            <w:r>
              <w:rPr>
                <w:rFonts w:hint="eastAsia" w:ascii="Times New Roman" w:hAnsi="Times New Roman" w:cs="宋体"/>
                <w:color w:val="auto"/>
              </w:rPr>
              <w:t>、</w:t>
            </w:r>
            <w:r>
              <w:rPr>
                <w:rFonts w:ascii="Times New Roman" w:hAnsi="Times New Roman" w:cs="Times New Roman"/>
                <w:color w:val="auto"/>
              </w:rPr>
              <w:t>C</w:t>
            </w:r>
            <w:r>
              <w:rPr>
                <w:rFonts w:hint="eastAsia" w:ascii="Times New Roman" w:hAnsi="Times New Roman" w:cs="宋体"/>
                <w:color w:val="auto"/>
              </w:rPr>
              <w:t>项之物质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900" w:type="dxa"/>
            <w:vAlign w:val="center"/>
          </w:tcPr>
          <w:p>
            <w:pPr>
              <w:spacing w:line="360" w:lineRule="exact"/>
              <w:jc w:val="center"/>
              <w:rPr>
                <w:rFonts w:ascii="Times New Roman" w:hAnsi="Times New Roman" w:cs="Times New Roman"/>
                <w:color w:val="auto"/>
              </w:rPr>
            </w:pPr>
            <w:r>
              <w:rPr>
                <w:rFonts w:hint="eastAsia" w:ascii="Times New Roman" w:hAnsi="Times New Roman" w:cs="宋体"/>
                <w:color w:val="auto"/>
              </w:rPr>
              <w:t>容量</w:t>
            </w:r>
          </w:p>
        </w:tc>
        <w:tc>
          <w:tcPr>
            <w:tcW w:w="2071" w:type="dxa"/>
            <w:vAlign w:val="center"/>
          </w:tcPr>
          <w:p>
            <w:pPr>
              <w:spacing w:line="360" w:lineRule="exact"/>
              <w:rPr>
                <w:rFonts w:ascii="Times New Roman" w:hAnsi="Times New Roman" w:cs="Times New Roman"/>
                <w:color w:val="auto"/>
              </w:rPr>
            </w:pPr>
            <w:r>
              <w:rPr>
                <w:rFonts w:hint="eastAsia" w:ascii="Times New Roman" w:hAnsi="Times New Roman" w:cs="宋体"/>
                <w:color w:val="auto"/>
              </w:rPr>
              <w:t>气体</w:t>
            </w:r>
            <w:r>
              <w:rPr>
                <w:rFonts w:ascii="Times New Roman" w:hAnsi="Times New Roman" w:cs="Times New Roman"/>
                <w:color w:val="auto"/>
              </w:rPr>
              <w:t>1000m³</w:t>
            </w:r>
            <w:r>
              <w:rPr>
                <w:rFonts w:hint="eastAsia" w:ascii="Times New Roman" w:hAnsi="Times New Roman" w:cs="宋体"/>
                <w:color w:val="auto"/>
              </w:rPr>
              <w:t>以上</w:t>
            </w:r>
          </w:p>
          <w:p>
            <w:pPr>
              <w:spacing w:line="360" w:lineRule="exact"/>
              <w:rPr>
                <w:rFonts w:ascii="Times New Roman" w:hAnsi="Times New Roman" w:cs="Times New Roman"/>
                <w:color w:val="auto"/>
              </w:rPr>
            </w:pPr>
            <w:r>
              <w:rPr>
                <w:rFonts w:hint="eastAsia" w:ascii="Times New Roman" w:hAnsi="Times New Roman" w:cs="宋体"/>
                <w:color w:val="auto"/>
              </w:rPr>
              <w:t>液体</w:t>
            </w:r>
            <w:r>
              <w:rPr>
                <w:rFonts w:ascii="Times New Roman" w:hAnsi="Times New Roman" w:cs="Times New Roman"/>
                <w:color w:val="auto"/>
              </w:rPr>
              <w:t>100 m³</w:t>
            </w:r>
            <w:r>
              <w:rPr>
                <w:rFonts w:hint="eastAsia" w:ascii="Times New Roman" w:hAnsi="Times New Roman" w:cs="宋体"/>
                <w:color w:val="auto"/>
              </w:rPr>
              <w:t>以上</w:t>
            </w:r>
          </w:p>
        </w:tc>
        <w:tc>
          <w:tcPr>
            <w:tcW w:w="2229" w:type="dxa"/>
            <w:vAlign w:val="center"/>
          </w:tcPr>
          <w:p>
            <w:pPr>
              <w:spacing w:line="360" w:lineRule="exact"/>
              <w:rPr>
                <w:rFonts w:ascii="Times New Roman" w:hAnsi="Times New Roman" w:cs="Times New Roman"/>
                <w:color w:val="auto"/>
              </w:rPr>
            </w:pPr>
            <w:r>
              <w:rPr>
                <w:rFonts w:hint="eastAsia" w:ascii="Times New Roman" w:hAnsi="Times New Roman" w:cs="宋体"/>
                <w:color w:val="auto"/>
              </w:rPr>
              <w:t>气体</w:t>
            </w:r>
            <w:r>
              <w:rPr>
                <w:rFonts w:ascii="Times New Roman" w:hAnsi="Times New Roman" w:cs="Times New Roman"/>
                <w:color w:val="auto"/>
              </w:rPr>
              <w:t>500~1000 m³</w:t>
            </w:r>
          </w:p>
          <w:p>
            <w:pPr>
              <w:spacing w:line="360" w:lineRule="exact"/>
              <w:rPr>
                <w:rFonts w:ascii="Times New Roman" w:hAnsi="Times New Roman" w:cs="Times New Roman"/>
                <w:color w:val="auto"/>
              </w:rPr>
            </w:pPr>
            <w:r>
              <w:rPr>
                <w:rFonts w:hint="eastAsia" w:ascii="Times New Roman" w:hAnsi="Times New Roman" w:cs="宋体"/>
                <w:color w:val="auto"/>
              </w:rPr>
              <w:t>液体</w:t>
            </w:r>
            <w:r>
              <w:rPr>
                <w:rFonts w:ascii="Times New Roman" w:hAnsi="Times New Roman" w:cs="Times New Roman"/>
                <w:color w:val="auto"/>
              </w:rPr>
              <w:t>50~100 m³</w:t>
            </w:r>
          </w:p>
        </w:tc>
        <w:tc>
          <w:tcPr>
            <w:tcW w:w="2229" w:type="dxa"/>
            <w:vAlign w:val="center"/>
          </w:tcPr>
          <w:p>
            <w:pPr>
              <w:spacing w:line="360" w:lineRule="exact"/>
              <w:rPr>
                <w:rFonts w:ascii="Times New Roman" w:hAnsi="Times New Roman" w:cs="Times New Roman"/>
                <w:color w:val="auto"/>
              </w:rPr>
            </w:pPr>
            <w:r>
              <w:rPr>
                <w:rFonts w:hint="eastAsia" w:ascii="Times New Roman" w:hAnsi="Times New Roman" w:cs="宋体"/>
                <w:color w:val="auto"/>
              </w:rPr>
              <w:t>气体</w:t>
            </w:r>
            <w:r>
              <w:rPr>
                <w:rFonts w:ascii="Times New Roman" w:hAnsi="Times New Roman" w:cs="Times New Roman"/>
                <w:color w:val="auto"/>
              </w:rPr>
              <w:t>100~500 m³</w:t>
            </w:r>
          </w:p>
          <w:p>
            <w:pPr>
              <w:spacing w:line="360" w:lineRule="exact"/>
              <w:rPr>
                <w:rFonts w:ascii="Times New Roman" w:hAnsi="Times New Roman" w:cs="Times New Roman"/>
                <w:color w:val="auto"/>
              </w:rPr>
            </w:pPr>
            <w:r>
              <w:rPr>
                <w:rFonts w:hint="eastAsia" w:ascii="Times New Roman" w:hAnsi="Times New Roman" w:cs="宋体"/>
                <w:color w:val="auto"/>
              </w:rPr>
              <w:t>液体</w:t>
            </w:r>
            <w:r>
              <w:rPr>
                <w:rFonts w:ascii="Times New Roman" w:hAnsi="Times New Roman" w:cs="Times New Roman"/>
                <w:color w:val="auto"/>
              </w:rPr>
              <w:t>10~50 m³</w:t>
            </w:r>
          </w:p>
        </w:tc>
        <w:tc>
          <w:tcPr>
            <w:tcW w:w="1857" w:type="dxa"/>
            <w:vAlign w:val="center"/>
          </w:tcPr>
          <w:p>
            <w:pPr>
              <w:spacing w:line="360" w:lineRule="exact"/>
              <w:rPr>
                <w:rFonts w:ascii="Times New Roman" w:hAnsi="Times New Roman" w:cs="Times New Roman"/>
                <w:color w:val="auto"/>
              </w:rPr>
            </w:pPr>
            <w:r>
              <w:rPr>
                <w:rFonts w:hint="eastAsia" w:ascii="Times New Roman" w:hAnsi="Times New Roman" w:cs="宋体"/>
                <w:color w:val="auto"/>
              </w:rPr>
              <w:t>气体＜</w:t>
            </w:r>
            <w:r>
              <w:rPr>
                <w:rFonts w:ascii="Times New Roman" w:hAnsi="Times New Roman" w:cs="Times New Roman"/>
                <w:color w:val="auto"/>
              </w:rPr>
              <w:t>100 m³</w:t>
            </w:r>
          </w:p>
          <w:p>
            <w:pPr>
              <w:spacing w:line="360" w:lineRule="exact"/>
              <w:rPr>
                <w:rFonts w:ascii="Times New Roman" w:hAnsi="Times New Roman" w:cs="Times New Roman"/>
                <w:color w:val="auto"/>
              </w:rPr>
            </w:pPr>
            <w:r>
              <w:rPr>
                <w:rFonts w:hint="eastAsia" w:ascii="Times New Roman" w:hAnsi="Times New Roman" w:cs="宋体"/>
                <w:color w:val="auto"/>
              </w:rPr>
              <w:t>液体＜</w:t>
            </w:r>
            <w:r>
              <w:rPr>
                <w:rFonts w:ascii="Times New Roman" w:hAnsi="Times New Roman" w:cs="Times New Roman"/>
                <w:color w:val="auto"/>
              </w:rPr>
              <w:t>10 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900" w:type="dxa"/>
            <w:vAlign w:val="center"/>
          </w:tcPr>
          <w:p>
            <w:pPr>
              <w:spacing w:line="360" w:lineRule="exact"/>
              <w:jc w:val="center"/>
              <w:rPr>
                <w:rFonts w:ascii="Times New Roman" w:hAnsi="Times New Roman" w:cs="Times New Roman"/>
                <w:color w:val="auto"/>
              </w:rPr>
            </w:pPr>
            <w:r>
              <w:rPr>
                <w:rFonts w:hint="eastAsia" w:ascii="Times New Roman" w:hAnsi="Times New Roman" w:cs="宋体"/>
                <w:color w:val="auto"/>
              </w:rPr>
              <w:t>温度</w:t>
            </w:r>
          </w:p>
        </w:tc>
        <w:tc>
          <w:tcPr>
            <w:tcW w:w="2071" w:type="dxa"/>
            <w:vAlign w:val="center"/>
          </w:tcPr>
          <w:p>
            <w:pPr>
              <w:spacing w:line="360" w:lineRule="exact"/>
              <w:rPr>
                <w:rFonts w:ascii="Times New Roman" w:hAnsi="Times New Roman" w:cs="Times New Roman"/>
                <w:color w:val="auto"/>
              </w:rPr>
            </w:pPr>
            <w:r>
              <w:rPr>
                <w:rFonts w:ascii="Times New Roman" w:hAnsi="Times New Roman" w:cs="Times New Roman"/>
                <w:color w:val="auto"/>
              </w:rPr>
              <w:t>1000</w:t>
            </w:r>
            <w:r>
              <w:rPr>
                <w:rFonts w:hint="eastAsia" w:ascii="宋体" w:hAnsi="宋体" w:cs="宋体"/>
                <w:color w:val="auto"/>
              </w:rPr>
              <w:t>℃</w:t>
            </w:r>
            <w:r>
              <w:rPr>
                <w:rFonts w:hint="eastAsia" w:ascii="Times New Roman" w:hAnsi="Times New Roman" w:cs="宋体"/>
                <w:color w:val="auto"/>
              </w:rPr>
              <w:t>以上使用，其操作温度在燃点以上</w:t>
            </w:r>
          </w:p>
        </w:tc>
        <w:tc>
          <w:tcPr>
            <w:tcW w:w="2229" w:type="dxa"/>
            <w:vAlign w:val="center"/>
          </w:tcPr>
          <w:p>
            <w:pPr>
              <w:spacing w:line="360" w:lineRule="exact"/>
              <w:rPr>
                <w:rFonts w:ascii="Times New Roman" w:hAnsi="Times New Roman" w:cs="Times New Roman"/>
                <w:color w:val="auto"/>
                <w:spacing w:val="-8"/>
              </w:rPr>
            </w:pPr>
            <w:r>
              <w:rPr>
                <w:rFonts w:ascii="Times New Roman" w:hAnsi="Times New Roman" w:cs="Times New Roman"/>
                <w:color w:val="auto"/>
                <w:spacing w:val="-8"/>
              </w:rPr>
              <w:t>1000</w:t>
            </w:r>
            <w:r>
              <w:rPr>
                <w:rFonts w:hint="eastAsia" w:ascii="宋体" w:hAnsi="宋体" w:cs="宋体"/>
                <w:color w:val="auto"/>
                <w:spacing w:val="-8"/>
              </w:rPr>
              <w:t>℃</w:t>
            </w:r>
            <w:r>
              <w:rPr>
                <w:rFonts w:hint="eastAsia" w:ascii="Times New Roman" w:hAnsi="Times New Roman" w:cs="宋体"/>
                <w:color w:val="auto"/>
                <w:spacing w:val="-8"/>
              </w:rPr>
              <w:t>以上使用，但操作温度在燃点以下；</w:t>
            </w:r>
          </w:p>
          <w:p>
            <w:pPr>
              <w:spacing w:line="360" w:lineRule="exact"/>
              <w:rPr>
                <w:rFonts w:ascii="Times New Roman" w:hAnsi="Times New Roman" w:cs="Times New Roman"/>
                <w:color w:val="auto"/>
                <w:spacing w:val="-8"/>
              </w:rPr>
            </w:pPr>
            <w:r>
              <w:rPr>
                <w:rFonts w:hint="eastAsia" w:ascii="Times New Roman" w:hAnsi="Times New Roman" w:cs="宋体"/>
                <w:color w:val="auto"/>
                <w:spacing w:val="-8"/>
              </w:rPr>
              <w:t>在</w:t>
            </w:r>
            <w:r>
              <w:rPr>
                <w:rFonts w:ascii="Times New Roman" w:hAnsi="Times New Roman" w:cs="Times New Roman"/>
                <w:color w:val="auto"/>
                <w:spacing w:val="-8"/>
              </w:rPr>
              <w:t>250~1000</w:t>
            </w:r>
            <w:r>
              <w:rPr>
                <w:rFonts w:hint="eastAsia" w:ascii="宋体" w:hAnsi="宋体" w:cs="宋体"/>
                <w:color w:val="auto"/>
                <w:spacing w:val="-8"/>
              </w:rPr>
              <w:t>℃</w:t>
            </w:r>
            <w:r>
              <w:rPr>
                <w:rFonts w:hint="eastAsia" w:ascii="Times New Roman" w:hAnsi="Times New Roman" w:cs="宋体"/>
                <w:color w:val="auto"/>
                <w:spacing w:val="-8"/>
              </w:rPr>
              <w:t>使用，其操作温度在燃点以上</w:t>
            </w:r>
          </w:p>
        </w:tc>
        <w:tc>
          <w:tcPr>
            <w:tcW w:w="2229" w:type="dxa"/>
            <w:vAlign w:val="center"/>
          </w:tcPr>
          <w:p>
            <w:pPr>
              <w:spacing w:line="360" w:lineRule="exact"/>
              <w:rPr>
                <w:rFonts w:ascii="Times New Roman" w:hAnsi="Times New Roman" w:cs="Times New Roman"/>
                <w:color w:val="auto"/>
                <w:spacing w:val="-8"/>
              </w:rPr>
            </w:pPr>
            <w:r>
              <w:rPr>
                <w:rFonts w:hint="eastAsia" w:ascii="Times New Roman" w:hAnsi="Times New Roman" w:cs="宋体"/>
                <w:color w:val="auto"/>
                <w:spacing w:val="-8"/>
              </w:rPr>
              <w:t>在</w:t>
            </w:r>
            <w:r>
              <w:rPr>
                <w:rFonts w:ascii="Times New Roman" w:hAnsi="Times New Roman" w:cs="Times New Roman"/>
                <w:color w:val="auto"/>
                <w:spacing w:val="-8"/>
              </w:rPr>
              <w:t>250~1000</w:t>
            </w:r>
            <w:r>
              <w:rPr>
                <w:rFonts w:hint="eastAsia" w:ascii="宋体" w:hAnsi="宋体" w:cs="宋体"/>
                <w:color w:val="auto"/>
                <w:spacing w:val="-8"/>
              </w:rPr>
              <w:t>℃</w:t>
            </w:r>
            <w:r>
              <w:rPr>
                <w:rFonts w:hint="eastAsia" w:ascii="Times New Roman" w:hAnsi="Times New Roman" w:cs="宋体"/>
                <w:color w:val="auto"/>
                <w:spacing w:val="-8"/>
              </w:rPr>
              <w:t>使用，但操作温度在燃点以下；</w:t>
            </w:r>
          </w:p>
          <w:p>
            <w:pPr>
              <w:spacing w:line="360" w:lineRule="exact"/>
              <w:rPr>
                <w:rFonts w:ascii="Times New Roman" w:hAnsi="Times New Roman" w:cs="Times New Roman"/>
                <w:color w:val="auto"/>
                <w:spacing w:val="-8"/>
              </w:rPr>
            </w:pPr>
            <w:r>
              <w:rPr>
                <w:rFonts w:hint="eastAsia" w:ascii="Times New Roman" w:hAnsi="Times New Roman" w:cs="宋体"/>
                <w:color w:val="auto"/>
                <w:spacing w:val="-8"/>
              </w:rPr>
              <w:t>在低于在</w:t>
            </w:r>
            <w:r>
              <w:rPr>
                <w:rFonts w:ascii="Times New Roman" w:hAnsi="Times New Roman" w:cs="Times New Roman"/>
                <w:color w:val="auto"/>
                <w:spacing w:val="-8"/>
              </w:rPr>
              <w:t>250</w:t>
            </w:r>
            <w:r>
              <w:rPr>
                <w:rFonts w:hint="eastAsia" w:ascii="宋体" w:hAnsi="宋体" w:cs="宋体"/>
                <w:color w:val="auto"/>
                <w:spacing w:val="-8"/>
              </w:rPr>
              <w:t>℃</w:t>
            </w:r>
            <w:r>
              <w:rPr>
                <w:rFonts w:hint="eastAsia" w:ascii="Times New Roman" w:hAnsi="Times New Roman" w:cs="宋体"/>
                <w:color w:val="auto"/>
                <w:spacing w:val="-8"/>
              </w:rPr>
              <w:t>使用，其操作温度在燃点以上</w:t>
            </w:r>
          </w:p>
        </w:tc>
        <w:tc>
          <w:tcPr>
            <w:tcW w:w="1857" w:type="dxa"/>
            <w:vAlign w:val="center"/>
          </w:tcPr>
          <w:p>
            <w:pPr>
              <w:spacing w:line="360" w:lineRule="exact"/>
              <w:rPr>
                <w:rFonts w:ascii="Times New Roman" w:hAnsi="Times New Roman" w:cs="Times New Roman"/>
                <w:color w:val="auto"/>
              </w:rPr>
            </w:pPr>
            <w:r>
              <w:rPr>
                <w:rFonts w:hint="eastAsia" w:ascii="Times New Roman" w:hAnsi="Times New Roman" w:cs="宋体"/>
                <w:color w:val="auto"/>
              </w:rPr>
              <w:t>在低于在</w:t>
            </w:r>
            <w:r>
              <w:rPr>
                <w:rFonts w:ascii="Times New Roman" w:hAnsi="Times New Roman" w:cs="Times New Roman"/>
                <w:color w:val="auto"/>
              </w:rPr>
              <w:t>250</w:t>
            </w:r>
            <w:r>
              <w:rPr>
                <w:rFonts w:hint="eastAsia" w:ascii="宋体" w:hAnsi="宋体" w:cs="宋体"/>
                <w:color w:val="auto"/>
              </w:rPr>
              <w:t>℃</w:t>
            </w:r>
            <w:r>
              <w:rPr>
                <w:rFonts w:hint="eastAsia" w:ascii="Times New Roman" w:hAnsi="Times New Roman" w:cs="宋体"/>
                <w:color w:val="auto"/>
              </w:rPr>
              <w:t>使用，其操作温度在燃点以下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00" w:type="dxa"/>
            <w:vAlign w:val="center"/>
          </w:tcPr>
          <w:p>
            <w:pPr>
              <w:spacing w:line="360" w:lineRule="exact"/>
              <w:jc w:val="center"/>
              <w:rPr>
                <w:rFonts w:ascii="Times New Roman" w:hAnsi="Times New Roman" w:cs="Times New Roman"/>
                <w:color w:val="auto"/>
              </w:rPr>
            </w:pPr>
            <w:r>
              <w:rPr>
                <w:rFonts w:hint="eastAsia" w:ascii="Times New Roman" w:hAnsi="Times New Roman" w:cs="宋体"/>
                <w:color w:val="auto"/>
              </w:rPr>
              <w:t>压力</w:t>
            </w:r>
          </w:p>
        </w:tc>
        <w:tc>
          <w:tcPr>
            <w:tcW w:w="2071" w:type="dxa"/>
            <w:vAlign w:val="center"/>
          </w:tcPr>
          <w:p>
            <w:pPr>
              <w:spacing w:line="360" w:lineRule="exact"/>
              <w:jc w:val="center"/>
              <w:rPr>
                <w:rFonts w:ascii="Times New Roman" w:hAnsi="Times New Roman" w:cs="Times New Roman"/>
                <w:color w:val="auto"/>
              </w:rPr>
            </w:pPr>
            <w:r>
              <w:rPr>
                <w:rFonts w:ascii="Times New Roman" w:hAnsi="Times New Roman" w:cs="Times New Roman"/>
                <w:color w:val="auto"/>
              </w:rPr>
              <w:t>100MPa</w:t>
            </w:r>
          </w:p>
        </w:tc>
        <w:tc>
          <w:tcPr>
            <w:tcW w:w="2229" w:type="dxa"/>
            <w:vAlign w:val="center"/>
          </w:tcPr>
          <w:p>
            <w:pPr>
              <w:spacing w:line="360" w:lineRule="exact"/>
              <w:jc w:val="center"/>
              <w:rPr>
                <w:rFonts w:ascii="Times New Roman" w:hAnsi="Times New Roman" w:cs="Times New Roman"/>
                <w:color w:val="auto"/>
              </w:rPr>
            </w:pPr>
            <w:r>
              <w:rPr>
                <w:rFonts w:ascii="Times New Roman" w:hAnsi="Times New Roman" w:cs="Times New Roman"/>
                <w:color w:val="auto"/>
              </w:rPr>
              <w:t>20~100 MPa</w:t>
            </w:r>
          </w:p>
        </w:tc>
        <w:tc>
          <w:tcPr>
            <w:tcW w:w="2229" w:type="dxa"/>
            <w:vAlign w:val="center"/>
          </w:tcPr>
          <w:p>
            <w:pPr>
              <w:spacing w:line="360" w:lineRule="exact"/>
              <w:jc w:val="center"/>
              <w:rPr>
                <w:rFonts w:ascii="Times New Roman" w:hAnsi="Times New Roman" w:cs="Times New Roman"/>
                <w:color w:val="auto"/>
              </w:rPr>
            </w:pPr>
            <w:r>
              <w:rPr>
                <w:rFonts w:ascii="Times New Roman" w:hAnsi="Times New Roman" w:cs="Times New Roman"/>
                <w:color w:val="auto"/>
              </w:rPr>
              <w:t>1~20 MPa</w:t>
            </w:r>
          </w:p>
        </w:tc>
        <w:tc>
          <w:tcPr>
            <w:tcW w:w="1857" w:type="dxa"/>
            <w:vAlign w:val="center"/>
          </w:tcPr>
          <w:p>
            <w:pPr>
              <w:spacing w:line="360" w:lineRule="exact"/>
              <w:jc w:val="center"/>
              <w:rPr>
                <w:rFonts w:ascii="Times New Roman" w:hAnsi="Times New Roman" w:cs="Times New Roman"/>
                <w:color w:val="auto"/>
              </w:rPr>
            </w:pPr>
            <w:r>
              <w:rPr>
                <w:rFonts w:ascii="Times New Roman" w:hAnsi="Times New Roman" w:cs="Times New Roman"/>
                <w:color w:val="auto"/>
              </w:rPr>
              <w:t>1 Mpa</w:t>
            </w:r>
            <w:r>
              <w:rPr>
                <w:rFonts w:hint="eastAsia" w:ascii="Times New Roman" w:hAnsi="Times New Roman" w:cs="宋体"/>
                <w:color w:val="auto"/>
              </w:rPr>
              <w:t>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00" w:lineRule="exact"/>
              <w:jc w:val="center"/>
              <w:rPr>
                <w:rFonts w:ascii="Times New Roman" w:hAnsi="Times New Roman" w:cs="Times New Roman"/>
                <w:color w:val="auto"/>
              </w:rPr>
            </w:pPr>
            <w:r>
              <w:rPr>
                <w:rFonts w:hint="eastAsia" w:ascii="Times New Roman" w:hAnsi="Times New Roman" w:cs="宋体"/>
                <w:color w:val="auto"/>
              </w:rPr>
              <w:t>操作</w:t>
            </w:r>
          </w:p>
        </w:tc>
        <w:tc>
          <w:tcPr>
            <w:tcW w:w="2071" w:type="dxa"/>
            <w:vAlign w:val="center"/>
          </w:tcPr>
          <w:p>
            <w:pPr>
              <w:spacing w:line="300" w:lineRule="exact"/>
              <w:rPr>
                <w:rFonts w:ascii="Times New Roman" w:hAnsi="Times New Roman" w:cs="Times New Roman"/>
                <w:color w:val="auto"/>
              </w:rPr>
            </w:pPr>
            <w:r>
              <w:rPr>
                <w:rFonts w:hint="eastAsia" w:ascii="Times New Roman" w:hAnsi="Times New Roman" w:cs="宋体"/>
                <w:color w:val="auto"/>
              </w:rPr>
              <w:t>临界放热和特别剧烈的反应操作</w:t>
            </w:r>
          </w:p>
          <w:p>
            <w:pPr>
              <w:spacing w:line="300" w:lineRule="exact"/>
              <w:rPr>
                <w:rFonts w:ascii="Times New Roman" w:hAnsi="Times New Roman" w:cs="Times New Roman"/>
                <w:color w:val="auto"/>
              </w:rPr>
            </w:pPr>
            <w:r>
              <w:rPr>
                <w:rFonts w:hint="eastAsia" w:ascii="Times New Roman" w:hAnsi="Times New Roman" w:cs="宋体"/>
                <w:color w:val="auto"/>
              </w:rPr>
              <w:t>在爆炸极限范围内或其附近操作</w:t>
            </w:r>
          </w:p>
        </w:tc>
        <w:tc>
          <w:tcPr>
            <w:tcW w:w="2229" w:type="dxa"/>
            <w:vAlign w:val="center"/>
          </w:tcPr>
          <w:p>
            <w:pPr>
              <w:spacing w:line="260" w:lineRule="exact"/>
              <w:rPr>
                <w:rFonts w:ascii="Times New Roman" w:hAnsi="Times New Roman" w:cs="Times New Roman"/>
                <w:color w:val="auto"/>
              </w:rPr>
            </w:pPr>
            <w:r>
              <w:rPr>
                <w:rFonts w:hint="eastAsia" w:ascii="Times New Roman" w:hAnsi="Times New Roman" w:cs="宋体"/>
                <w:color w:val="auto"/>
              </w:rPr>
              <w:t>中等放热反应；</w:t>
            </w:r>
          </w:p>
          <w:p>
            <w:pPr>
              <w:spacing w:line="260" w:lineRule="exact"/>
              <w:rPr>
                <w:rFonts w:ascii="Times New Roman" w:hAnsi="Times New Roman" w:cs="Times New Roman"/>
                <w:color w:val="auto"/>
              </w:rPr>
            </w:pPr>
            <w:r>
              <w:rPr>
                <w:rFonts w:hint="eastAsia" w:ascii="Times New Roman" w:hAnsi="Times New Roman" w:cs="宋体"/>
                <w:color w:val="auto"/>
              </w:rPr>
              <w:t>系统进入空气或不纯物质，可能发生危险的操作；</w:t>
            </w:r>
          </w:p>
          <w:p>
            <w:pPr>
              <w:spacing w:line="260" w:lineRule="exact"/>
              <w:rPr>
                <w:rFonts w:ascii="Times New Roman" w:hAnsi="Times New Roman" w:cs="Times New Roman"/>
                <w:color w:val="auto"/>
              </w:rPr>
            </w:pPr>
            <w:r>
              <w:rPr>
                <w:rFonts w:hint="eastAsia" w:ascii="Times New Roman" w:hAnsi="Times New Roman" w:cs="宋体"/>
                <w:color w:val="auto"/>
              </w:rPr>
              <w:t>使用粉状或雾状物质，有可能发生粉尘爆炸的操作</w:t>
            </w:r>
          </w:p>
          <w:p>
            <w:pPr>
              <w:spacing w:line="260" w:lineRule="exact"/>
              <w:rPr>
                <w:rFonts w:ascii="Times New Roman" w:hAnsi="Times New Roman" w:cs="Times New Roman"/>
                <w:color w:val="auto"/>
              </w:rPr>
            </w:pPr>
            <w:r>
              <w:rPr>
                <w:rFonts w:hint="eastAsia" w:ascii="Times New Roman" w:hAnsi="Times New Roman" w:cs="宋体"/>
                <w:color w:val="auto"/>
              </w:rPr>
              <w:t>单批式操作</w:t>
            </w:r>
          </w:p>
        </w:tc>
        <w:tc>
          <w:tcPr>
            <w:tcW w:w="2229" w:type="dxa"/>
            <w:vAlign w:val="center"/>
          </w:tcPr>
          <w:p>
            <w:pPr>
              <w:spacing w:line="300" w:lineRule="exact"/>
              <w:rPr>
                <w:rFonts w:ascii="Times New Roman" w:hAnsi="Times New Roman" w:cs="Times New Roman"/>
                <w:color w:val="auto"/>
              </w:rPr>
            </w:pPr>
            <w:r>
              <w:rPr>
                <w:rFonts w:hint="eastAsia" w:ascii="Times New Roman" w:hAnsi="Times New Roman" w:cs="宋体"/>
                <w:color w:val="auto"/>
              </w:rPr>
              <w:t>轻微放热反应；</w:t>
            </w:r>
          </w:p>
          <w:p>
            <w:pPr>
              <w:spacing w:line="300" w:lineRule="exact"/>
              <w:rPr>
                <w:rFonts w:ascii="Times New Roman" w:hAnsi="Times New Roman" w:cs="Times New Roman"/>
                <w:color w:val="auto"/>
              </w:rPr>
            </w:pPr>
            <w:r>
              <w:rPr>
                <w:rFonts w:hint="eastAsia" w:ascii="Times New Roman" w:hAnsi="Times New Roman" w:cs="宋体"/>
                <w:color w:val="auto"/>
              </w:rPr>
              <w:t>在精制过程中伴有化学反应；</w:t>
            </w:r>
          </w:p>
          <w:p>
            <w:pPr>
              <w:spacing w:line="300" w:lineRule="exact"/>
              <w:rPr>
                <w:rFonts w:ascii="Times New Roman" w:hAnsi="Times New Roman" w:cs="Times New Roman"/>
                <w:color w:val="auto"/>
              </w:rPr>
            </w:pPr>
            <w:r>
              <w:rPr>
                <w:rFonts w:hint="eastAsia" w:ascii="Times New Roman" w:hAnsi="Times New Roman" w:cs="宋体"/>
                <w:color w:val="auto"/>
              </w:rPr>
              <w:t>单批式操作，但开始使用机械进行程序操作；</w:t>
            </w:r>
          </w:p>
          <w:p>
            <w:pPr>
              <w:spacing w:line="300" w:lineRule="exact"/>
              <w:rPr>
                <w:rFonts w:ascii="Times New Roman" w:hAnsi="Times New Roman" w:cs="Times New Roman"/>
                <w:color w:val="auto"/>
              </w:rPr>
            </w:pPr>
            <w:r>
              <w:rPr>
                <w:rFonts w:hint="eastAsia" w:ascii="Times New Roman" w:hAnsi="Times New Roman" w:cs="宋体"/>
                <w:color w:val="auto"/>
              </w:rPr>
              <w:t>有一定危险的操作</w:t>
            </w:r>
          </w:p>
        </w:tc>
        <w:tc>
          <w:tcPr>
            <w:tcW w:w="1857" w:type="dxa"/>
            <w:vAlign w:val="center"/>
          </w:tcPr>
          <w:p>
            <w:pPr>
              <w:spacing w:line="300" w:lineRule="exact"/>
              <w:rPr>
                <w:rFonts w:ascii="Times New Roman" w:hAnsi="Times New Roman" w:cs="Times New Roman"/>
                <w:color w:val="auto"/>
              </w:rPr>
            </w:pPr>
            <w:r>
              <w:rPr>
                <w:rFonts w:hint="eastAsia" w:ascii="Times New Roman" w:hAnsi="Times New Roman" w:cs="宋体"/>
                <w:color w:val="auto"/>
              </w:rPr>
              <w:t>无危险的操作</w:t>
            </w:r>
          </w:p>
        </w:tc>
      </w:tr>
    </w:tbl>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危险度分级见表</w:t>
      </w:r>
      <w:r>
        <w:rPr>
          <w:rFonts w:ascii="Times New Roman" w:hAnsi="Times New Roman" w:cs="Times New Roman"/>
          <w:color w:val="auto"/>
          <w:sz w:val="28"/>
          <w:szCs w:val="28"/>
        </w:rPr>
        <w:t>4-7</w:t>
      </w:r>
      <w:r>
        <w:rPr>
          <w:rFonts w:hint="eastAsia" w:ascii="Times New Roman" w:hAnsi="Times New Roman" w:cs="宋体"/>
          <w:color w:val="auto"/>
          <w:sz w:val="28"/>
          <w:szCs w:val="28"/>
        </w:rPr>
        <w:t>。</w:t>
      </w:r>
    </w:p>
    <w:p>
      <w:pPr>
        <w:spacing w:line="600" w:lineRule="exact"/>
        <w:jc w:val="center"/>
        <w:rPr>
          <w:rFonts w:ascii="Times New Roman" w:hAnsi="Times New Roman" w:cs="Times New Roman"/>
          <w:b/>
          <w:bCs/>
          <w:color w:val="auto"/>
          <w:sz w:val="24"/>
          <w:szCs w:val="24"/>
          <w:lang w:val="zh-CN"/>
        </w:rPr>
      </w:pP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 xml:space="preserve">4-7  </w:t>
      </w:r>
      <w:r>
        <w:rPr>
          <w:rFonts w:hint="eastAsia" w:ascii="Times New Roman" w:hAnsi="Times New Roman" w:cs="宋体"/>
          <w:b/>
          <w:bCs/>
          <w:color w:val="auto"/>
          <w:sz w:val="24"/>
          <w:szCs w:val="24"/>
          <w:lang w:val="zh-CN"/>
        </w:rPr>
        <w:t>危险度分级表</w:t>
      </w:r>
    </w:p>
    <w:tbl>
      <w:tblPr>
        <w:tblStyle w:val="20"/>
        <w:tblW w:w="0" w:type="auto"/>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83"/>
        <w:gridCol w:w="2282"/>
        <w:gridCol w:w="2282"/>
        <w:gridCol w:w="22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2283" w:type="dxa"/>
            <w:tcBorders>
              <w:top w:val="single" w:color="auto" w:sz="4" w:space="0"/>
              <w:bottom w:val="single" w:color="auto" w:sz="4" w:space="0"/>
              <w:right w:val="single" w:color="auto" w:sz="4" w:space="0"/>
            </w:tcBorders>
            <w:vAlign w:val="center"/>
          </w:tcPr>
          <w:p>
            <w:pPr>
              <w:spacing w:line="400" w:lineRule="exact"/>
              <w:jc w:val="center"/>
              <w:rPr>
                <w:rFonts w:ascii="Times New Roman" w:hAnsi="Times New Roman" w:cs="Times New Roman"/>
                <w:color w:val="auto"/>
              </w:rPr>
            </w:pPr>
            <w:r>
              <w:rPr>
                <w:rFonts w:hint="eastAsia" w:ascii="Times New Roman" w:hAnsi="Times New Roman" w:cs="宋体"/>
                <w:color w:val="auto"/>
              </w:rPr>
              <w:t>总分值</w:t>
            </w:r>
          </w:p>
        </w:tc>
        <w:tc>
          <w:tcPr>
            <w:tcW w:w="22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cs="Times New Roman"/>
                <w:color w:val="auto"/>
              </w:rPr>
            </w:pPr>
            <w:r>
              <w:rPr>
                <w:rFonts w:ascii="Times New Roman" w:hAnsi="Times New Roman" w:cs="Times New Roman"/>
                <w:color w:val="auto"/>
              </w:rPr>
              <w:t>≥16</w:t>
            </w:r>
            <w:r>
              <w:rPr>
                <w:rFonts w:hint="eastAsia" w:ascii="Times New Roman" w:hAnsi="Times New Roman" w:cs="宋体"/>
                <w:color w:val="auto"/>
              </w:rPr>
              <w:t>分</w:t>
            </w:r>
          </w:p>
        </w:tc>
        <w:tc>
          <w:tcPr>
            <w:tcW w:w="22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cs="Times New Roman"/>
                <w:color w:val="auto"/>
              </w:rPr>
            </w:pPr>
            <w:r>
              <w:rPr>
                <w:rFonts w:ascii="Times New Roman" w:hAnsi="Times New Roman" w:cs="Times New Roman"/>
                <w:color w:val="auto"/>
              </w:rPr>
              <w:t>11~15</w:t>
            </w:r>
            <w:r>
              <w:rPr>
                <w:rFonts w:hint="eastAsia" w:ascii="Times New Roman" w:hAnsi="Times New Roman" w:cs="宋体"/>
                <w:color w:val="auto"/>
              </w:rPr>
              <w:t>分</w:t>
            </w:r>
          </w:p>
        </w:tc>
        <w:tc>
          <w:tcPr>
            <w:tcW w:w="2282"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cs="Times New Roman"/>
                <w:color w:val="auto"/>
              </w:rPr>
            </w:pPr>
            <w:r>
              <w:rPr>
                <w:rFonts w:ascii="Times New Roman" w:hAnsi="Times New Roman" w:cs="Times New Roman"/>
                <w:color w:val="auto"/>
              </w:rPr>
              <w:t>≤10</w:t>
            </w:r>
            <w:r>
              <w:rPr>
                <w:rFonts w:hint="eastAsia" w:ascii="Times New Roman" w:hAnsi="Times New Roman" w:cs="宋体"/>
                <w:color w:val="auto"/>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2283" w:type="dxa"/>
            <w:tcBorders>
              <w:top w:val="single" w:color="auto" w:sz="4" w:space="0"/>
              <w:bottom w:val="single" w:color="auto" w:sz="4" w:space="0"/>
              <w:right w:val="single" w:color="auto" w:sz="4" w:space="0"/>
            </w:tcBorders>
            <w:vAlign w:val="center"/>
          </w:tcPr>
          <w:p>
            <w:pPr>
              <w:spacing w:line="400" w:lineRule="exact"/>
              <w:jc w:val="center"/>
              <w:rPr>
                <w:rFonts w:ascii="Times New Roman" w:hAnsi="Times New Roman" w:cs="Times New Roman"/>
                <w:color w:val="auto"/>
              </w:rPr>
            </w:pPr>
            <w:r>
              <w:rPr>
                <w:rFonts w:hint="eastAsia" w:ascii="Times New Roman" w:hAnsi="Times New Roman" w:cs="宋体"/>
                <w:color w:val="auto"/>
              </w:rPr>
              <w:t>等级</w:t>
            </w:r>
          </w:p>
        </w:tc>
        <w:tc>
          <w:tcPr>
            <w:tcW w:w="22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cs="Times New Roman"/>
                <w:color w:val="auto"/>
              </w:rPr>
            </w:pPr>
            <w:r>
              <w:rPr>
                <w:rFonts w:hint="eastAsia" w:ascii="宋体" w:hAnsi="宋体" w:cs="宋体"/>
                <w:color w:val="auto"/>
              </w:rPr>
              <w:t>Ⅰ</w:t>
            </w:r>
          </w:p>
        </w:tc>
        <w:tc>
          <w:tcPr>
            <w:tcW w:w="22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cs="Times New Roman"/>
                <w:color w:val="auto"/>
              </w:rPr>
            </w:pPr>
            <w:r>
              <w:rPr>
                <w:rFonts w:hint="eastAsia" w:ascii="宋体" w:hAnsi="宋体" w:cs="宋体"/>
                <w:color w:val="auto"/>
              </w:rPr>
              <w:t>Ⅱ</w:t>
            </w:r>
          </w:p>
        </w:tc>
        <w:tc>
          <w:tcPr>
            <w:tcW w:w="2282"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cs="Times New Roman"/>
                <w:color w:val="auto"/>
              </w:rPr>
            </w:pPr>
            <w:r>
              <w:rPr>
                <w:rFonts w:hint="eastAsia" w:ascii="宋体" w:hAnsi="宋体" w:cs="宋体"/>
                <w:color w:val="auto"/>
              </w:rP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2283" w:type="dxa"/>
            <w:tcBorders>
              <w:top w:val="single" w:color="auto" w:sz="4" w:space="0"/>
              <w:bottom w:val="single" w:color="auto" w:sz="4" w:space="0"/>
              <w:right w:val="single" w:color="auto" w:sz="4" w:space="0"/>
            </w:tcBorders>
            <w:vAlign w:val="center"/>
          </w:tcPr>
          <w:p>
            <w:pPr>
              <w:spacing w:line="400" w:lineRule="exact"/>
              <w:jc w:val="center"/>
              <w:rPr>
                <w:rFonts w:ascii="Times New Roman" w:hAnsi="Times New Roman" w:cs="Times New Roman"/>
                <w:color w:val="auto"/>
              </w:rPr>
            </w:pPr>
            <w:r>
              <w:rPr>
                <w:rFonts w:hint="eastAsia" w:ascii="Times New Roman" w:hAnsi="Times New Roman" w:cs="宋体"/>
                <w:color w:val="auto"/>
              </w:rPr>
              <w:t>危险程度</w:t>
            </w:r>
          </w:p>
        </w:tc>
        <w:tc>
          <w:tcPr>
            <w:tcW w:w="22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cs="Times New Roman"/>
                <w:color w:val="auto"/>
              </w:rPr>
            </w:pPr>
            <w:r>
              <w:rPr>
                <w:rFonts w:hint="eastAsia" w:ascii="Times New Roman" w:hAnsi="Times New Roman" w:cs="宋体"/>
                <w:color w:val="auto"/>
              </w:rPr>
              <w:t>高度危险</w:t>
            </w:r>
          </w:p>
        </w:tc>
        <w:tc>
          <w:tcPr>
            <w:tcW w:w="22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cs="Times New Roman"/>
                <w:color w:val="auto"/>
              </w:rPr>
            </w:pPr>
            <w:r>
              <w:rPr>
                <w:rFonts w:hint="eastAsia" w:ascii="Times New Roman" w:hAnsi="Times New Roman" w:cs="宋体"/>
                <w:color w:val="auto"/>
              </w:rPr>
              <w:t>中度危险</w:t>
            </w:r>
          </w:p>
        </w:tc>
        <w:tc>
          <w:tcPr>
            <w:tcW w:w="2282"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cs="Times New Roman"/>
                <w:color w:val="auto"/>
              </w:rPr>
            </w:pPr>
            <w:r>
              <w:rPr>
                <w:rFonts w:hint="eastAsia" w:ascii="Times New Roman" w:hAnsi="Times New Roman" w:cs="宋体"/>
                <w:color w:val="auto"/>
              </w:rPr>
              <w:t>低度危险</w:t>
            </w:r>
          </w:p>
        </w:tc>
      </w:tr>
    </w:tbl>
    <w:p>
      <w:pPr>
        <w:keepNext/>
        <w:keepLines/>
        <w:spacing w:line="600" w:lineRule="exact"/>
        <w:outlineLvl w:val="2"/>
        <w:rPr>
          <w:rFonts w:ascii="Times New Roman" w:hAnsi="Times New Roman" w:cs="Times New Roman"/>
          <w:b/>
          <w:bCs/>
          <w:color w:val="auto"/>
          <w:sz w:val="28"/>
          <w:szCs w:val="28"/>
        </w:rPr>
      </w:pPr>
      <w:bookmarkStart w:id="129" w:name="_Toc26855"/>
      <w:bookmarkStart w:id="130" w:name="_Toc25819"/>
      <w:bookmarkStart w:id="131" w:name="_Toc25676"/>
      <w:r>
        <w:rPr>
          <w:rFonts w:ascii="Times New Roman" w:hAnsi="Times New Roman" w:cs="Times New Roman"/>
          <w:b/>
          <w:bCs/>
          <w:color w:val="auto"/>
          <w:sz w:val="28"/>
          <w:szCs w:val="28"/>
        </w:rPr>
        <w:t>4.2.3</w:t>
      </w:r>
      <w:r>
        <w:rPr>
          <w:rFonts w:hint="eastAsia" w:ascii="Times New Roman" w:hAnsi="Times New Roman" w:cs="宋体"/>
          <w:b/>
          <w:bCs/>
          <w:color w:val="auto"/>
          <w:sz w:val="28"/>
          <w:szCs w:val="28"/>
        </w:rPr>
        <w:t>安全检查表法</w:t>
      </w:r>
      <w:bookmarkEnd w:id="129"/>
      <w:bookmarkEnd w:id="130"/>
      <w:bookmarkEnd w:id="131"/>
    </w:p>
    <w:p>
      <w:pPr>
        <w:spacing w:line="600" w:lineRule="exact"/>
        <w:ind w:firstLine="437"/>
        <w:rPr>
          <w:rFonts w:ascii="Times New Roman" w:hAnsi="Times New Roman" w:cs="Times New Roman"/>
          <w:color w:val="auto"/>
          <w:sz w:val="28"/>
          <w:szCs w:val="28"/>
        </w:rPr>
      </w:pPr>
      <w:r>
        <w:rPr>
          <w:rFonts w:hint="eastAsia" w:ascii="Times New Roman" w:hAnsi="Times New Roman" w:cs="宋体"/>
          <w:color w:val="auto"/>
          <w:sz w:val="28"/>
          <w:szCs w:val="28"/>
        </w:rPr>
        <w:t>安全检查表法是系统安全工程的一种最基础、最简便、广泛应用的系统安全评价方法。安全检查表不仅用于查找系统中各种潜在的事故隐患，还用于进行系统安全评价。安全检查表是由一些对工艺过程、机械设备和作业情况熟悉并富有安全技术、安全管理经验的人员，事先对分析对象进行详尽分析和充分讨论，列出检查单元和部位、检查项目、检查要求等内容的表格（清单）。</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对系统进行评价时，对照安全检查表逐项检查，从而评价出系统的安全等级。</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当安全检查表用于设计、维修、环境、管理等方面查找缺陷或隐患时，可省略赋分、评级等内容和步骤。常见的安全检查表见表</w:t>
      </w:r>
      <w:r>
        <w:rPr>
          <w:rFonts w:ascii="Times New Roman" w:hAnsi="Times New Roman" w:cs="Times New Roman"/>
          <w:color w:val="auto"/>
          <w:sz w:val="28"/>
          <w:szCs w:val="28"/>
        </w:rPr>
        <w:t>4-2</w:t>
      </w:r>
      <w:r>
        <w:rPr>
          <w:rFonts w:hint="eastAsia" w:ascii="Times New Roman" w:hAnsi="Times New Roman" w:cs="宋体"/>
          <w:color w:val="auto"/>
          <w:sz w:val="28"/>
          <w:szCs w:val="28"/>
        </w:rPr>
        <w:t>。</w:t>
      </w:r>
    </w:p>
    <w:p>
      <w:pPr>
        <w:spacing w:line="600" w:lineRule="exact"/>
        <w:jc w:val="center"/>
        <w:rPr>
          <w:rFonts w:ascii="Times New Roman" w:hAnsi="Times New Roman" w:cs="Times New Roman"/>
          <w:b/>
          <w:bCs/>
          <w:color w:val="auto"/>
          <w:sz w:val="24"/>
          <w:szCs w:val="24"/>
          <w:lang w:val="zh-CN"/>
        </w:rPr>
      </w:pP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 xml:space="preserve">4-8  </w:t>
      </w:r>
      <w:r>
        <w:rPr>
          <w:rFonts w:hint="eastAsia" w:ascii="Times New Roman" w:hAnsi="Times New Roman" w:cs="宋体"/>
          <w:b/>
          <w:bCs/>
          <w:color w:val="auto"/>
          <w:sz w:val="24"/>
          <w:szCs w:val="24"/>
          <w:lang w:val="zh-CN"/>
        </w:rPr>
        <w:t>设备、设施安全检查表</w:t>
      </w:r>
    </w:p>
    <w:tbl>
      <w:tblPr>
        <w:tblStyle w:val="20"/>
        <w:tblW w:w="880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2"/>
        <w:gridCol w:w="2549"/>
        <w:gridCol w:w="2025"/>
        <w:gridCol w:w="1620"/>
        <w:gridCol w:w="16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jc w:val="center"/>
        </w:trPr>
        <w:tc>
          <w:tcPr>
            <w:tcW w:w="992" w:type="dxa"/>
            <w:vAlign w:val="center"/>
          </w:tcPr>
          <w:p>
            <w:pPr>
              <w:spacing w:line="600" w:lineRule="exact"/>
              <w:jc w:val="center"/>
              <w:rPr>
                <w:rFonts w:ascii="Times New Roman" w:hAnsi="Times New Roman" w:cs="Times New Roman"/>
                <w:color w:val="auto"/>
              </w:rPr>
            </w:pPr>
            <w:r>
              <w:rPr>
                <w:rFonts w:hint="eastAsia" w:ascii="Times New Roman" w:hAnsi="Times New Roman" w:cs="宋体"/>
                <w:color w:val="auto"/>
              </w:rPr>
              <w:t>序号</w:t>
            </w:r>
          </w:p>
        </w:tc>
        <w:tc>
          <w:tcPr>
            <w:tcW w:w="2549" w:type="dxa"/>
            <w:vAlign w:val="center"/>
          </w:tcPr>
          <w:p>
            <w:pPr>
              <w:spacing w:line="600" w:lineRule="exact"/>
              <w:jc w:val="center"/>
              <w:rPr>
                <w:rFonts w:ascii="Times New Roman" w:hAnsi="Times New Roman" w:cs="Times New Roman"/>
                <w:color w:val="auto"/>
              </w:rPr>
            </w:pPr>
            <w:r>
              <w:rPr>
                <w:rFonts w:hint="eastAsia" w:ascii="Times New Roman" w:hAnsi="Times New Roman" w:cs="宋体"/>
                <w:color w:val="auto"/>
              </w:rPr>
              <w:t>检查项目和内容</w:t>
            </w:r>
          </w:p>
        </w:tc>
        <w:tc>
          <w:tcPr>
            <w:tcW w:w="2025" w:type="dxa"/>
          </w:tcPr>
          <w:p>
            <w:pPr>
              <w:spacing w:line="600" w:lineRule="exact"/>
              <w:jc w:val="center"/>
              <w:rPr>
                <w:rFonts w:ascii="Times New Roman" w:hAnsi="Times New Roman" w:cs="Times New Roman"/>
                <w:color w:val="auto"/>
              </w:rPr>
            </w:pPr>
            <w:r>
              <w:rPr>
                <w:rFonts w:hint="eastAsia" w:ascii="Times New Roman" w:hAnsi="Times New Roman" w:cs="宋体"/>
                <w:color w:val="auto"/>
              </w:rPr>
              <w:t>检查依据</w:t>
            </w:r>
          </w:p>
        </w:tc>
        <w:tc>
          <w:tcPr>
            <w:tcW w:w="1620" w:type="dxa"/>
            <w:vAlign w:val="center"/>
          </w:tcPr>
          <w:p>
            <w:pPr>
              <w:spacing w:line="600" w:lineRule="exact"/>
              <w:jc w:val="center"/>
              <w:rPr>
                <w:rFonts w:ascii="Times New Roman" w:hAnsi="Times New Roman" w:cs="Times New Roman"/>
                <w:color w:val="auto"/>
              </w:rPr>
            </w:pPr>
            <w:r>
              <w:rPr>
                <w:rFonts w:hint="eastAsia" w:ascii="Times New Roman" w:hAnsi="Times New Roman" w:cs="宋体"/>
                <w:color w:val="auto"/>
              </w:rPr>
              <w:t>检查结果</w:t>
            </w:r>
          </w:p>
        </w:tc>
        <w:tc>
          <w:tcPr>
            <w:tcW w:w="1620" w:type="dxa"/>
            <w:vAlign w:val="center"/>
          </w:tcPr>
          <w:p>
            <w:pPr>
              <w:spacing w:line="600" w:lineRule="exact"/>
              <w:jc w:val="center"/>
              <w:rPr>
                <w:rFonts w:ascii="Times New Roman" w:hAnsi="Times New Roman" w:cs="Times New Roman"/>
                <w:color w:val="auto"/>
              </w:rPr>
            </w:pPr>
            <w:r>
              <w:rPr>
                <w:rFonts w:hint="eastAsia" w:ascii="Times New Roman" w:hAnsi="Times New Roman" w:cs="宋体"/>
                <w:color w:val="auto"/>
              </w:rPr>
              <w:t>检查记录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82" w:hRule="atLeast"/>
          <w:jc w:val="center"/>
        </w:trPr>
        <w:tc>
          <w:tcPr>
            <w:tcW w:w="992" w:type="dxa"/>
            <w:vAlign w:val="center"/>
          </w:tcPr>
          <w:p>
            <w:pPr>
              <w:spacing w:line="600" w:lineRule="exact"/>
              <w:jc w:val="center"/>
              <w:rPr>
                <w:rFonts w:ascii="Times New Roman" w:hAnsi="Times New Roman" w:cs="Times New Roman"/>
                <w:color w:val="auto"/>
              </w:rPr>
            </w:pPr>
          </w:p>
        </w:tc>
        <w:tc>
          <w:tcPr>
            <w:tcW w:w="2549" w:type="dxa"/>
            <w:vAlign w:val="center"/>
          </w:tcPr>
          <w:p>
            <w:pPr>
              <w:spacing w:line="600" w:lineRule="exact"/>
              <w:jc w:val="center"/>
              <w:rPr>
                <w:rFonts w:ascii="Times New Roman" w:hAnsi="Times New Roman" w:cs="Times New Roman"/>
                <w:color w:val="auto"/>
              </w:rPr>
            </w:pPr>
          </w:p>
        </w:tc>
        <w:tc>
          <w:tcPr>
            <w:tcW w:w="2025" w:type="dxa"/>
          </w:tcPr>
          <w:p>
            <w:pPr>
              <w:spacing w:line="600" w:lineRule="exact"/>
              <w:jc w:val="center"/>
              <w:rPr>
                <w:rFonts w:ascii="Times New Roman" w:hAnsi="Times New Roman" w:cs="Times New Roman"/>
                <w:color w:val="auto"/>
              </w:rPr>
            </w:pPr>
          </w:p>
        </w:tc>
        <w:tc>
          <w:tcPr>
            <w:tcW w:w="1620" w:type="dxa"/>
            <w:vAlign w:val="center"/>
          </w:tcPr>
          <w:p>
            <w:pPr>
              <w:spacing w:line="600" w:lineRule="exact"/>
              <w:jc w:val="center"/>
              <w:rPr>
                <w:rFonts w:ascii="Times New Roman" w:hAnsi="Times New Roman" w:cs="Times New Roman"/>
                <w:color w:val="auto"/>
              </w:rPr>
            </w:pPr>
          </w:p>
        </w:tc>
        <w:tc>
          <w:tcPr>
            <w:tcW w:w="1620" w:type="dxa"/>
            <w:vAlign w:val="center"/>
          </w:tcPr>
          <w:p>
            <w:pPr>
              <w:spacing w:line="600" w:lineRule="exact"/>
              <w:jc w:val="center"/>
              <w:rPr>
                <w:rFonts w:ascii="Times New Roman" w:hAnsi="Times New Roman" w:cs="Times New Roman"/>
                <w:color w:val="auto"/>
              </w:rPr>
            </w:pPr>
          </w:p>
        </w:tc>
      </w:tr>
    </w:tbl>
    <w:p>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该项目采用的定性安全检查表是列出检查要点逐项检查，检查结果以</w:t>
      </w:r>
      <w:r>
        <w:rPr>
          <w:rFonts w:ascii="Times New Roman" w:hAnsi="Times New Roman" w:cs="Times New Roman"/>
          <w:color w:val="auto"/>
          <w:sz w:val="28"/>
          <w:szCs w:val="28"/>
        </w:rPr>
        <w:t>“</w:t>
      </w:r>
      <w:r>
        <w:rPr>
          <w:rFonts w:hint="eastAsia" w:ascii="Times New Roman" w:hAnsi="Times New Roman" w:cs="宋体"/>
          <w:color w:val="auto"/>
          <w:sz w:val="28"/>
          <w:szCs w:val="28"/>
        </w:rPr>
        <w:t>是</w:t>
      </w:r>
      <w:r>
        <w:rPr>
          <w:rFonts w:ascii="Times New Roman" w:hAnsi="Times New Roman" w:cs="Times New Roman"/>
          <w:color w:val="auto"/>
          <w:sz w:val="28"/>
          <w:szCs w:val="28"/>
        </w:rPr>
        <w:t>”</w:t>
      </w:r>
      <w:r>
        <w:rPr>
          <w:rFonts w:hint="eastAsia" w:ascii="Times New Roman" w:hAnsi="Times New Roman" w:cs="宋体"/>
          <w:color w:val="auto"/>
          <w:sz w:val="28"/>
          <w:szCs w:val="28"/>
        </w:rPr>
        <w:t>、</w:t>
      </w:r>
      <w:r>
        <w:rPr>
          <w:rFonts w:ascii="Times New Roman" w:hAnsi="Times New Roman" w:cs="Times New Roman"/>
          <w:color w:val="auto"/>
          <w:sz w:val="28"/>
          <w:szCs w:val="28"/>
        </w:rPr>
        <w:t>“</w:t>
      </w:r>
      <w:r>
        <w:rPr>
          <w:rFonts w:hint="eastAsia" w:ascii="Times New Roman" w:hAnsi="Times New Roman" w:cs="宋体"/>
          <w:color w:val="auto"/>
          <w:sz w:val="28"/>
          <w:szCs w:val="28"/>
        </w:rPr>
        <w:t>否</w:t>
      </w:r>
      <w:r>
        <w:rPr>
          <w:rFonts w:ascii="Times New Roman" w:hAnsi="Times New Roman" w:cs="Times New Roman"/>
          <w:color w:val="auto"/>
          <w:sz w:val="28"/>
          <w:szCs w:val="28"/>
        </w:rPr>
        <w:t>”</w:t>
      </w:r>
      <w:r>
        <w:rPr>
          <w:rFonts w:hint="eastAsia" w:ascii="Times New Roman" w:hAnsi="Times New Roman" w:cs="宋体"/>
          <w:color w:val="auto"/>
          <w:sz w:val="28"/>
          <w:szCs w:val="28"/>
        </w:rPr>
        <w:t>表示，检查结果不能量化</w:t>
      </w:r>
      <w:r>
        <w:rPr>
          <w:rFonts w:ascii="Times New Roman" w:hAnsi="Times New Roman" w:cs="Times New Roman"/>
          <w:color w:val="auto"/>
          <w:sz w:val="28"/>
          <w:szCs w:val="28"/>
        </w:rPr>
        <w:t>.</w:t>
      </w:r>
    </w:p>
    <w:p>
      <w:pPr>
        <w:spacing w:line="580" w:lineRule="exact"/>
        <w:outlineLvl w:val="0"/>
        <w:rPr>
          <w:rFonts w:ascii="Times New Roman" w:hAnsi="Times New Roman" w:cs="Times New Roman"/>
          <w:b/>
          <w:bCs/>
          <w:color w:val="auto"/>
          <w:kern w:val="36"/>
          <w:sz w:val="28"/>
          <w:szCs w:val="28"/>
        </w:rPr>
      </w:pPr>
      <w:r>
        <w:rPr>
          <w:rFonts w:ascii="Times New Roman" w:hAnsi="Times New Roman" w:cs="Times New Roman"/>
          <w:b/>
          <w:bCs/>
          <w:color w:val="auto"/>
          <w:kern w:val="36"/>
          <w:sz w:val="28"/>
          <w:szCs w:val="28"/>
        </w:rPr>
        <w:br w:type="page"/>
      </w:r>
      <w:bookmarkStart w:id="132" w:name="_Toc16906"/>
      <w:bookmarkStart w:id="133" w:name="_Toc30088"/>
      <w:r>
        <w:rPr>
          <w:rFonts w:ascii="Times New Roman" w:hAnsi="Times New Roman" w:cs="Times New Roman"/>
          <w:b/>
          <w:bCs/>
          <w:color w:val="auto"/>
          <w:kern w:val="36"/>
          <w:sz w:val="28"/>
          <w:szCs w:val="28"/>
        </w:rPr>
        <w:t xml:space="preserve">5 </w:t>
      </w:r>
      <w:r>
        <w:rPr>
          <w:rFonts w:hint="eastAsia" w:ascii="Times New Roman" w:hAnsi="Times New Roman" w:cs="宋体"/>
          <w:b/>
          <w:bCs/>
          <w:color w:val="auto"/>
          <w:kern w:val="36"/>
          <w:sz w:val="28"/>
          <w:szCs w:val="28"/>
        </w:rPr>
        <w:t>危险性分析评价</w:t>
      </w:r>
      <w:bookmarkEnd w:id="132"/>
      <w:bookmarkEnd w:id="133"/>
    </w:p>
    <w:p>
      <w:pPr>
        <w:keepNext/>
        <w:keepLines/>
        <w:spacing w:line="580" w:lineRule="exact"/>
        <w:outlineLvl w:val="1"/>
        <w:rPr>
          <w:rFonts w:ascii="Times New Roman" w:hAnsi="Times New Roman" w:cs="Times New Roman"/>
          <w:b/>
          <w:bCs/>
          <w:color w:val="auto"/>
          <w:sz w:val="28"/>
          <w:szCs w:val="28"/>
        </w:rPr>
      </w:pPr>
      <w:bookmarkStart w:id="134" w:name="_Toc24946"/>
      <w:bookmarkStart w:id="135" w:name="_Toc343692262"/>
      <w:bookmarkStart w:id="136" w:name="_Toc12739"/>
      <w:r>
        <w:rPr>
          <w:rFonts w:ascii="Times New Roman" w:hAnsi="Times New Roman" w:cs="Times New Roman"/>
          <w:b/>
          <w:bCs/>
          <w:color w:val="auto"/>
          <w:sz w:val="28"/>
          <w:szCs w:val="28"/>
        </w:rPr>
        <w:t xml:space="preserve">5.1 </w:t>
      </w:r>
      <w:r>
        <w:rPr>
          <w:rFonts w:hint="eastAsia" w:ascii="Times New Roman" w:hAnsi="Times New Roman" w:cs="宋体"/>
          <w:b/>
          <w:bCs/>
          <w:color w:val="auto"/>
          <w:sz w:val="28"/>
          <w:szCs w:val="28"/>
        </w:rPr>
        <w:t>作业条件危险性评价法（</w:t>
      </w:r>
      <w:r>
        <w:rPr>
          <w:rFonts w:ascii="Times New Roman" w:hAnsi="Times New Roman" w:cs="Times New Roman"/>
          <w:b/>
          <w:bCs/>
          <w:color w:val="auto"/>
          <w:sz w:val="28"/>
          <w:szCs w:val="28"/>
        </w:rPr>
        <w:t>LEC</w:t>
      </w:r>
      <w:r>
        <w:rPr>
          <w:rFonts w:hint="eastAsia" w:ascii="Times New Roman" w:hAnsi="Times New Roman" w:cs="宋体"/>
          <w:b/>
          <w:bCs/>
          <w:color w:val="auto"/>
          <w:sz w:val="28"/>
          <w:szCs w:val="28"/>
        </w:rPr>
        <w:t>）</w:t>
      </w:r>
      <w:bookmarkEnd w:id="134"/>
      <w:bookmarkEnd w:id="135"/>
      <w:bookmarkEnd w:id="136"/>
    </w:p>
    <w:p>
      <w:pPr>
        <w:keepNext/>
        <w:keepLines/>
        <w:spacing w:line="580" w:lineRule="exact"/>
        <w:outlineLvl w:val="2"/>
        <w:rPr>
          <w:rFonts w:ascii="Times New Roman" w:hAnsi="Times New Roman" w:cs="Times New Roman"/>
          <w:b/>
          <w:bCs/>
          <w:color w:val="auto"/>
          <w:sz w:val="28"/>
          <w:szCs w:val="28"/>
        </w:rPr>
      </w:pPr>
      <w:bookmarkStart w:id="137" w:name="_Toc894"/>
      <w:r>
        <w:rPr>
          <w:rFonts w:ascii="Times New Roman" w:hAnsi="Times New Roman" w:cs="Times New Roman"/>
          <w:b/>
          <w:bCs/>
          <w:color w:val="auto"/>
          <w:sz w:val="28"/>
          <w:szCs w:val="28"/>
        </w:rPr>
        <w:t>5.1.1</w:t>
      </w:r>
      <w:r>
        <w:rPr>
          <w:rFonts w:hint="eastAsia" w:ascii="Times New Roman" w:hAnsi="Times New Roman" w:cs="宋体"/>
          <w:b/>
          <w:bCs/>
          <w:color w:val="auto"/>
          <w:sz w:val="28"/>
          <w:szCs w:val="28"/>
        </w:rPr>
        <w:t>评价单元</w:t>
      </w:r>
      <w:bookmarkEnd w:id="137"/>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根据本项目经营过程的分析，确定评价单元为：储罐区接卸油品作业、加油区加油作业、配电间作业、检维修作业等单元。</w:t>
      </w:r>
    </w:p>
    <w:p>
      <w:pPr>
        <w:keepNext/>
        <w:keepLines/>
        <w:spacing w:line="580" w:lineRule="exact"/>
        <w:outlineLvl w:val="2"/>
        <w:rPr>
          <w:rFonts w:ascii="Times New Roman" w:hAnsi="Times New Roman" w:cs="Times New Roman"/>
          <w:b/>
          <w:bCs/>
          <w:color w:val="auto"/>
          <w:sz w:val="28"/>
          <w:szCs w:val="28"/>
        </w:rPr>
      </w:pPr>
      <w:bookmarkStart w:id="138" w:name="_Toc23153"/>
      <w:r>
        <w:rPr>
          <w:rFonts w:ascii="Times New Roman" w:hAnsi="Times New Roman" w:cs="Times New Roman"/>
          <w:b/>
          <w:bCs/>
          <w:color w:val="auto"/>
          <w:sz w:val="28"/>
          <w:szCs w:val="28"/>
        </w:rPr>
        <w:t>5.1.2</w:t>
      </w:r>
      <w:r>
        <w:rPr>
          <w:rFonts w:hint="eastAsia" w:ascii="Times New Roman" w:hAnsi="Times New Roman" w:cs="宋体"/>
          <w:b/>
          <w:bCs/>
          <w:color w:val="auto"/>
          <w:sz w:val="28"/>
          <w:szCs w:val="28"/>
        </w:rPr>
        <w:t>作业条件危险性评价法的计算结果</w:t>
      </w:r>
      <w:bookmarkEnd w:id="138"/>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以加油作业单元为例说明</w:t>
      </w:r>
      <w:r>
        <w:rPr>
          <w:rFonts w:ascii="Times New Roman" w:hAnsi="Times New Roman" w:cs="Times New Roman"/>
          <w:color w:val="auto"/>
          <w:sz w:val="28"/>
          <w:szCs w:val="28"/>
        </w:rPr>
        <w:t>LEC</w:t>
      </w:r>
      <w:r>
        <w:rPr>
          <w:rFonts w:hint="eastAsia" w:ascii="Times New Roman" w:hAnsi="Times New Roman" w:cs="宋体"/>
          <w:color w:val="auto"/>
          <w:sz w:val="28"/>
          <w:szCs w:val="28"/>
        </w:rPr>
        <w:t>法的取值及计算过程。各单元计算结果及等级划分见表</w:t>
      </w:r>
      <w:r>
        <w:rPr>
          <w:rFonts w:ascii="Times New Roman" w:hAnsi="Times New Roman" w:cs="Times New Roman"/>
          <w:color w:val="auto"/>
          <w:sz w:val="28"/>
          <w:szCs w:val="28"/>
        </w:rPr>
        <w:t>5-1</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）事故发生的可能性</w:t>
      </w:r>
      <w:r>
        <w:rPr>
          <w:rFonts w:ascii="Times New Roman" w:hAnsi="Times New Roman" w:cs="Times New Roman"/>
          <w:color w:val="auto"/>
          <w:sz w:val="28"/>
          <w:szCs w:val="28"/>
        </w:rPr>
        <w:t>L</w:t>
      </w:r>
      <w:r>
        <w:rPr>
          <w:rFonts w:hint="eastAsia" w:ascii="Times New Roman" w:hAnsi="Times New Roman" w:cs="宋体"/>
          <w:color w:val="auto"/>
          <w:sz w:val="28"/>
          <w:szCs w:val="28"/>
        </w:rPr>
        <w:t>：在加油操作过程中，由于物质为汽油、柴油等易、可燃液体，遇到火源可能发生火灾、爆炸事故，但在安全设施完备、严禁烟火、严格按规程作业时一般不会发生事故，故属</w:t>
      </w:r>
      <w:r>
        <w:rPr>
          <w:rFonts w:ascii="Times New Roman" w:hAnsi="Times New Roman" w:cs="Times New Roman"/>
          <w:color w:val="auto"/>
          <w:sz w:val="28"/>
          <w:szCs w:val="28"/>
        </w:rPr>
        <w:t>“</w:t>
      </w:r>
      <w:r>
        <w:rPr>
          <w:rFonts w:hint="eastAsia" w:ascii="Times New Roman" w:hAnsi="Times New Roman" w:cs="宋体"/>
          <w:color w:val="auto"/>
          <w:sz w:val="28"/>
          <w:szCs w:val="28"/>
        </w:rPr>
        <w:t>可能性小，完全意外</w:t>
      </w:r>
      <w:r>
        <w:rPr>
          <w:rFonts w:ascii="Times New Roman" w:hAnsi="Times New Roman" w:cs="Times New Roman"/>
          <w:color w:val="auto"/>
          <w:sz w:val="28"/>
          <w:szCs w:val="28"/>
        </w:rPr>
        <w:t>”</w:t>
      </w:r>
      <w:r>
        <w:rPr>
          <w:rFonts w:hint="eastAsia" w:ascii="Times New Roman" w:hAnsi="Times New Roman" w:cs="宋体"/>
          <w:color w:val="auto"/>
          <w:sz w:val="28"/>
          <w:szCs w:val="28"/>
        </w:rPr>
        <w:t>，故其分值</w:t>
      </w:r>
      <w:r>
        <w:rPr>
          <w:rFonts w:ascii="Times New Roman" w:hAnsi="Times New Roman" w:cs="Times New Roman"/>
          <w:color w:val="auto"/>
          <w:sz w:val="28"/>
          <w:szCs w:val="28"/>
        </w:rPr>
        <w:t>L</w:t>
      </w: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）暴露于危险环境的频繁程度</w:t>
      </w:r>
      <w:r>
        <w:rPr>
          <w:rFonts w:ascii="Times New Roman" w:hAnsi="Times New Roman" w:cs="Times New Roman"/>
          <w:color w:val="auto"/>
          <w:sz w:val="28"/>
          <w:szCs w:val="28"/>
        </w:rPr>
        <w:t>E</w:t>
      </w:r>
      <w:r>
        <w:rPr>
          <w:rFonts w:hint="eastAsia" w:ascii="Times New Roman" w:hAnsi="Times New Roman" w:cs="宋体"/>
          <w:color w:val="auto"/>
          <w:sz w:val="28"/>
          <w:szCs w:val="28"/>
        </w:rPr>
        <w:t>：员工每天作业，故取</w:t>
      </w:r>
      <w:r>
        <w:rPr>
          <w:rFonts w:ascii="Times New Roman" w:hAnsi="Times New Roman" w:cs="Times New Roman"/>
          <w:color w:val="auto"/>
          <w:sz w:val="28"/>
          <w:szCs w:val="28"/>
        </w:rPr>
        <w:t>E</w:t>
      </w:r>
      <w:r>
        <w:rPr>
          <w:rFonts w:hint="eastAsia" w:ascii="Times New Roman" w:hAnsi="Times New Roman" w:cs="宋体"/>
          <w:color w:val="auto"/>
          <w:sz w:val="28"/>
          <w:szCs w:val="28"/>
        </w:rPr>
        <w:t>＝</w:t>
      </w:r>
      <w:r>
        <w:rPr>
          <w:rFonts w:ascii="Times New Roman" w:hAnsi="Times New Roman" w:cs="Times New Roman"/>
          <w:color w:val="auto"/>
          <w:sz w:val="28"/>
          <w:szCs w:val="28"/>
        </w:rPr>
        <w:t>6</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）发生事故产生的后果</w:t>
      </w:r>
      <w:r>
        <w:rPr>
          <w:rFonts w:ascii="Times New Roman" w:hAnsi="Times New Roman" w:cs="Times New Roman"/>
          <w:color w:val="auto"/>
          <w:sz w:val="28"/>
          <w:szCs w:val="28"/>
        </w:rPr>
        <w:t>C</w:t>
      </w:r>
      <w:r>
        <w:rPr>
          <w:rFonts w:hint="eastAsia" w:ascii="Times New Roman" w:hAnsi="Times New Roman" w:cs="宋体"/>
          <w:color w:val="auto"/>
          <w:sz w:val="28"/>
          <w:szCs w:val="28"/>
        </w:rPr>
        <w:t>：发生火灾、爆炸事故，可能造成人员伤害或较小的财产损失。故取</w:t>
      </w:r>
      <w:r>
        <w:rPr>
          <w:rFonts w:ascii="Times New Roman" w:hAnsi="Times New Roman" w:cs="Times New Roman"/>
          <w:color w:val="auto"/>
          <w:sz w:val="28"/>
          <w:szCs w:val="28"/>
        </w:rPr>
        <w:t>C</w:t>
      </w:r>
      <w:r>
        <w:rPr>
          <w:rFonts w:hint="eastAsia" w:ascii="Times New Roman" w:hAnsi="Times New Roman" w:cs="宋体"/>
          <w:color w:val="auto"/>
          <w:sz w:val="28"/>
          <w:szCs w:val="28"/>
        </w:rPr>
        <w:t>＝</w:t>
      </w:r>
      <w:r>
        <w:rPr>
          <w:rFonts w:ascii="Times New Roman" w:hAnsi="Times New Roman" w:cs="Times New Roman"/>
          <w:color w:val="auto"/>
          <w:sz w:val="28"/>
          <w:szCs w:val="28"/>
        </w:rPr>
        <w:t>7</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D</w:t>
      </w:r>
      <w:r>
        <w:rPr>
          <w:rFonts w:hint="eastAsia" w:ascii="Times New Roman" w:hAnsi="Times New Roman" w:cs="宋体"/>
          <w:color w:val="auto"/>
          <w:sz w:val="28"/>
          <w:szCs w:val="28"/>
        </w:rPr>
        <w:t>＝</w:t>
      </w:r>
      <w:r>
        <w:rPr>
          <w:rFonts w:ascii="Times New Roman" w:hAnsi="Times New Roman" w:cs="Times New Roman"/>
          <w:color w:val="auto"/>
          <w:sz w:val="28"/>
          <w:szCs w:val="28"/>
        </w:rPr>
        <w:t>L×E×C</w:t>
      </w:r>
      <w:r>
        <w:rPr>
          <w:rFonts w:hint="eastAsia" w:ascii="Times New Roman" w:hAnsi="Times New Roman" w:cs="宋体"/>
          <w:color w:val="auto"/>
          <w:sz w:val="28"/>
          <w:szCs w:val="28"/>
        </w:rPr>
        <w:t>＝</w:t>
      </w:r>
      <w:r>
        <w:rPr>
          <w:rFonts w:ascii="Times New Roman" w:hAnsi="Times New Roman" w:cs="Times New Roman"/>
          <w:color w:val="auto"/>
          <w:sz w:val="28"/>
          <w:szCs w:val="28"/>
        </w:rPr>
        <w:t>1×6×7</w:t>
      </w:r>
      <w:r>
        <w:rPr>
          <w:rFonts w:hint="eastAsia" w:ascii="Times New Roman" w:hAnsi="Times New Roman" w:cs="宋体"/>
          <w:color w:val="auto"/>
          <w:sz w:val="28"/>
          <w:szCs w:val="28"/>
        </w:rPr>
        <w:t>＝</w:t>
      </w:r>
      <w:r>
        <w:rPr>
          <w:rFonts w:ascii="Times New Roman" w:hAnsi="Times New Roman" w:cs="Times New Roman"/>
          <w:color w:val="auto"/>
          <w:sz w:val="28"/>
          <w:szCs w:val="28"/>
        </w:rPr>
        <w:t>42</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b/>
          <w:bCs/>
          <w:color w:val="auto"/>
          <w:sz w:val="24"/>
          <w:szCs w:val="24"/>
        </w:rPr>
      </w:pPr>
      <w:r>
        <w:rPr>
          <w:rFonts w:hint="eastAsia" w:ascii="Times New Roman" w:hAnsi="Times New Roman" w:cs="宋体"/>
          <w:color w:val="auto"/>
          <w:sz w:val="28"/>
          <w:szCs w:val="28"/>
        </w:rPr>
        <w:t>属</w:t>
      </w:r>
      <w:r>
        <w:rPr>
          <w:rFonts w:ascii="Times New Roman" w:hAnsi="Times New Roman" w:cs="Times New Roman"/>
          <w:color w:val="auto"/>
          <w:sz w:val="28"/>
          <w:szCs w:val="28"/>
        </w:rPr>
        <w:t>“</w:t>
      </w:r>
      <w:r>
        <w:rPr>
          <w:rFonts w:hint="eastAsia" w:ascii="Times New Roman" w:hAnsi="Times New Roman" w:cs="宋体"/>
          <w:color w:val="auto"/>
          <w:sz w:val="28"/>
          <w:szCs w:val="28"/>
        </w:rPr>
        <w:t>一般危险</w:t>
      </w:r>
      <w:r>
        <w:rPr>
          <w:rFonts w:ascii="Times New Roman" w:hAnsi="Times New Roman" w:cs="Times New Roman"/>
          <w:color w:val="auto"/>
          <w:sz w:val="28"/>
          <w:szCs w:val="28"/>
        </w:rPr>
        <w:t>”</w:t>
      </w:r>
      <w:r>
        <w:rPr>
          <w:rFonts w:hint="eastAsia" w:ascii="Times New Roman" w:hAnsi="Times New Roman" w:cs="宋体"/>
          <w:color w:val="auto"/>
          <w:sz w:val="28"/>
          <w:szCs w:val="28"/>
        </w:rPr>
        <w:t>范围。</w:t>
      </w:r>
    </w:p>
    <w:p>
      <w:pPr>
        <w:jc w:val="center"/>
        <w:rPr>
          <w:rFonts w:ascii="Times New Roman" w:hAnsi="Times New Roman" w:cs="Times New Roman"/>
          <w:b/>
          <w:bCs/>
          <w:color w:val="auto"/>
          <w:sz w:val="24"/>
          <w:szCs w:val="24"/>
          <w:lang w:val="zh-CN"/>
        </w:rPr>
      </w:pPr>
      <w:r>
        <w:rPr>
          <w:rFonts w:hint="eastAsia" w:ascii="Times New Roman" w:hAnsi="Times New Roman" w:cs="宋体"/>
          <w:b/>
          <w:bCs/>
          <w:color w:val="auto"/>
          <w:sz w:val="24"/>
          <w:szCs w:val="24"/>
          <w:lang w:val="zh-CN"/>
        </w:rPr>
        <w:t>表</w:t>
      </w:r>
      <w:r>
        <w:rPr>
          <w:rFonts w:ascii="Times New Roman" w:hAnsi="Times New Roman" w:cs="Times New Roman"/>
          <w:b/>
          <w:bCs/>
          <w:color w:val="auto"/>
          <w:sz w:val="24"/>
          <w:szCs w:val="24"/>
          <w:lang w:val="zh-CN"/>
        </w:rPr>
        <w:t xml:space="preserve">5-1  </w:t>
      </w:r>
      <w:r>
        <w:rPr>
          <w:rFonts w:hint="eastAsia" w:ascii="Times New Roman" w:hAnsi="Times New Roman" w:cs="宋体"/>
          <w:b/>
          <w:bCs/>
          <w:color w:val="auto"/>
          <w:sz w:val="24"/>
          <w:szCs w:val="24"/>
          <w:lang w:val="zh-CN"/>
        </w:rPr>
        <w:t>各单元危险评价表</w:t>
      </w:r>
    </w:p>
    <w:tbl>
      <w:tblPr>
        <w:tblStyle w:val="20"/>
        <w:tblW w:w="928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607"/>
        <w:gridCol w:w="2977"/>
        <w:gridCol w:w="678"/>
        <w:gridCol w:w="549"/>
        <w:gridCol w:w="620"/>
        <w:gridCol w:w="608"/>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restar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序号</w:t>
            </w:r>
          </w:p>
        </w:tc>
        <w:tc>
          <w:tcPr>
            <w:tcW w:w="1607" w:type="dxa"/>
            <w:vMerge w:val="restar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评价单元</w:t>
            </w:r>
          </w:p>
        </w:tc>
        <w:tc>
          <w:tcPr>
            <w:tcW w:w="2977" w:type="dxa"/>
            <w:vMerge w:val="restar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危险源及潜在危险</w:t>
            </w:r>
          </w:p>
        </w:tc>
        <w:tc>
          <w:tcPr>
            <w:tcW w:w="2455" w:type="dxa"/>
            <w:gridSpan w:val="4"/>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D</w:t>
            </w:r>
            <w:r>
              <w:rPr>
                <w:rFonts w:hint="eastAsia" w:ascii="Times New Roman" w:hAnsi="Times New Roman" w:cs="宋体"/>
                <w:color w:val="auto"/>
                <w:lang w:val="en-GB"/>
              </w:rPr>
              <w:t>＝</w:t>
            </w:r>
            <w:r>
              <w:rPr>
                <w:rFonts w:ascii="Times New Roman" w:hAnsi="Times New Roman" w:cs="Times New Roman"/>
                <w:color w:val="auto"/>
              </w:rPr>
              <w:t>L×E×C</w:t>
            </w:r>
          </w:p>
        </w:tc>
        <w:tc>
          <w:tcPr>
            <w:tcW w:w="1567" w:type="dxa"/>
            <w:vMerge w:val="restar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危险等级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continue"/>
            <w:vAlign w:val="center"/>
          </w:tcPr>
          <w:p>
            <w:pPr>
              <w:spacing w:line="240" w:lineRule="exact"/>
              <w:jc w:val="center"/>
              <w:rPr>
                <w:rFonts w:ascii="Times New Roman" w:hAnsi="Times New Roman" w:cs="Times New Roman"/>
                <w:color w:val="auto"/>
              </w:rPr>
            </w:pPr>
          </w:p>
        </w:tc>
        <w:tc>
          <w:tcPr>
            <w:tcW w:w="1607" w:type="dxa"/>
            <w:vMerge w:val="continue"/>
            <w:vAlign w:val="center"/>
          </w:tcPr>
          <w:p>
            <w:pPr>
              <w:spacing w:line="240" w:lineRule="exact"/>
              <w:jc w:val="center"/>
              <w:rPr>
                <w:rFonts w:ascii="Times New Roman" w:hAnsi="Times New Roman" w:cs="Times New Roman"/>
                <w:color w:val="auto"/>
              </w:rPr>
            </w:pPr>
          </w:p>
        </w:tc>
        <w:tc>
          <w:tcPr>
            <w:tcW w:w="2977" w:type="dxa"/>
            <w:vMerge w:val="continue"/>
            <w:vAlign w:val="center"/>
          </w:tcPr>
          <w:p>
            <w:pPr>
              <w:spacing w:line="240" w:lineRule="exact"/>
              <w:jc w:val="center"/>
              <w:rPr>
                <w:rFonts w:ascii="Times New Roman" w:hAnsi="Times New Roman" w:cs="Times New Roman"/>
                <w:color w:val="auto"/>
              </w:rPr>
            </w:pP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L</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E</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C</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D</w:t>
            </w:r>
          </w:p>
        </w:tc>
        <w:tc>
          <w:tcPr>
            <w:tcW w:w="1567" w:type="dxa"/>
            <w:vMerge w:val="continue"/>
            <w:vAlign w:val="center"/>
          </w:tcPr>
          <w:p>
            <w:pPr>
              <w:spacing w:line="240" w:lineRule="exact"/>
              <w:jc w:val="center"/>
              <w:rPr>
                <w:rFonts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restar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607" w:type="dxa"/>
            <w:vMerge w:val="restart"/>
            <w:vAlign w:val="center"/>
          </w:tcPr>
          <w:p>
            <w:pPr>
              <w:spacing w:line="240" w:lineRule="exact"/>
              <w:ind w:firstLine="210" w:firstLineChars="100"/>
              <w:rPr>
                <w:rFonts w:ascii="Times New Roman" w:hAnsi="Times New Roman" w:cs="Times New Roman"/>
                <w:color w:val="auto"/>
              </w:rPr>
            </w:pPr>
            <w:r>
              <w:rPr>
                <w:rFonts w:hint="eastAsia" w:ascii="Times New Roman" w:hAnsi="Times New Roman" w:cs="宋体"/>
                <w:color w:val="auto"/>
              </w:rPr>
              <w:t>油罐区</w:t>
            </w:r>
          </w:p>
          <w:p>
            <w:pPr>
              <w:spacing w:line="240" w:lineRule="exact"/>
              <w:rPr>
                <w:rFonts w:ascii="Times New Roman" w:hAnsi="Times New Roman" w:cs="Times New Roman"/>
                <w:color w:val="auto"/>
              </w:rPr>
            </w:pPr>
            <w:r>
              <w:rPr>
                <w:rFonts w:hint="eastAsia" w:ascii="Times New Roman" w:hAnsi="Times New Roman" w:cs="宋体"/>
                <w:color w:val="auto"/>
              </w:rPr>
              <w:t>接卸油作业</w:t>
            </w: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火灾、爆炸</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15</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45</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continue"/>
            <w:vAlign w:val="center"/>
          </w:tcPr>
          <w:p>
            <w:pPr>
              <w:spacing w:line="240" w:lineRule="exact"/>
              <w:jc w:val="center"/>
              <w:rPr>
                <w:rFonts w:ascii="Times New Roman" w:hAnsi="Times New Roman" w:cs="Times New Roman"/>
                <w:color w:val="auto"/>
              </w:rPr>
            </w:pPr>
          </w:p>
        </w:tc>
        <w:tc>
          <w:tcPr>
            <w:tcW w:w="1607" w:type="dxa"/>
            <w:vMerge w:val="continue"/>
            <w:vAlign w:val="center"/>
          </w:tcPr>
          <w:p>
            <w:pPr>
              <w:spacing w:line="240" w:lineRule="exact"/>
              <w:rPr>
                <w:rFonts w:hint="eastAsia" w:ascii="Times New Roman" w:hAnsi="Times New Roman" w:cs="宋体"/>
                <w:color w:val="auto"/>
              </w:rPr>
            </w:pPr>
          </w:p>
        </w:tc>
        <w:tc>
          <w:tcPr>
            <w:tcW w:w="2977" w:type="dxa"/>
            <w:vAlign w:val="center"/>
          </w:tcPr>
          <w:p>
            <w:pPr>
              <w:spacing w:line="24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车辆伤害</w:t>
            </w:r>
          </w:p>
        </w:tc>
        <w:tc>
          <w:tcPr>
            <w:tcW w:w="678" w:type="dxa"/>
            <w:vAlign w:val="center"/>
          </w:tcPr>
          <w:p>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w:t>
            </w:r>
          </w:p>
        </w:tc>
        <w:tc>
          <w:tcPr>
            <w:tcW w:w="549" w:type="dxa"/>
            <w:vAlign w:val="center"/>
          </w:tcPr>
          <w:p>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p>
        </w:tc>
        <w:tc>
          <w:tcPr>
            <w:tcW w:w="620" w:type="dxa"/>
            <w:vAlign w:val="center"/>
          </w:tcPr>
          <w:p>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p>
        </w:tc>
        <w:tc>
          <w:tcPr>
            <w:tcW w:w="608" w:type="dxa"/>
            <w:vAlign w:val="center"/>
          </w:tcPr>
          <w:p>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w:t>
            </w:r>
          </w:p>
        </w:tc>
        <w:tc>
          <w:tcPr>
            <w:tcW w:w="1567" w:type="dxa"/>
            <w:vAlign w:val="center"/>
          </w:tcPr>
          <w:p>
            <w:pPr>
              <w:spacing w:line="240" w:lineRule="exact"/>
              <w:jc w:val="center"/>
              <w:rPr>
                <w:rFonts w:hint="eastAsia" w:ascii="Times New Roman" w:hAnsi="Times New Roman" w:cs="宋体"/>
                <w:color w:val="auto"/>
              </w:rPr>
            </w:pPr>
            <w:r>
              <w:rPr>
                <w:rFonts w:hint="eastAsia" w:ascii="Times New Roman" w:hAnsi="Times New Roman" w:cs="宋体"/>
                <w:color w:val="auto"/>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continue"/>
            <w:vAlign w:val="center"/>
          </w:tcPr>
          <w:p>
            <w:pPr>
              <w:spacing w:line="240" w:lineRule="exact"/>
              <w:jc w:val="center"/>
              <w:rPr>
                <w:rFonts w:ascii="Times New Roman" w:hAnsi="Times New Roman" w:cs="Times New Roman"/>
                <w:color w:val="auto"/>
              </w:rPr>
            </w:pPr>
          </w:p>
        </w:tc>
        <w:tc>
          <w:tcPr>
            <w:tcW w:w="1607" w:type="dxa"/>
            <w:vMerge w:val="continue"/>
            <w:vAlign w:val="center"/>
          </w:tcPr>
          <w:p>
            <w:pPr>
              <w:spacing w:line="240" w:lineRule="exact"/>
              <w:rPr>
                <w:rFonts w:ascii="Times New Roman" w:hAnsi="Times New Roman" w:cs="Times New Roman"/>
                <w:color w:val="auto"/>
              </w:rPr>
            </w:pP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中毒窒息</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0.5</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1.5</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restar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2</w:t>
            </w:r>
          </w:p>
        </w:tc>
        <w:tc>
          <w:tcPr>
            <w:tcW w:w="1607" w:type="dxa"/>
            <w:vMerge w:val="restar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加油区</w:t>
            </w:r>
          </w:p>
          <w:p>
            <w:pPr>
              <w:spacing w:line="240" w:lineRule="exact"/>
              <w:jc w:val="center"/>
              <w:rPr>
                <w:rFonts w:ascii="Times New Roman" w:hAnsi="Times New Roman" w:cs="Times New Roman"/>
                <w:color w:val="auto"/>
              </w:rPr>
            </w:pPr>
            <w:r>
              <w:rPr>
                <w:rFonts w:hint="eastAsia" w:ascii="Times New Roman" w:hAnsi="Times New Roman" w:cs="宋体"/>
                <w:color w:val="auto"/>
              </w:rPr>
              <w:t>加油作业</w:t>
            </w: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火灾、爆炸</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6</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7</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42</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continue"/>
            <w:vAlign w:val="center"/>
          </w:tcPr>
          <w:p>
            <w:pPr>
              <w:spacing w:line="240" w:lineRule="exact"/>
              <w:jc w:val="center"/>
              <w:rPr>
                <w:rFonts w:ascii="Times New Roman" w:hAnsi="Times New Roman" w:cs="Times New Roman"/>
                <w:color w:val="auto"/>
              </w:rPr>
            </w:pPr>
          </w:p>
        </w:tc>
        <w:tc>
          <w:tcPr>
            <w:tcW w:w="1607" w:type="dxa"/>
            <w:vMerge w:val="continue"/>
            <w:vAlign w:val="center"/>
          </w:tcPr>
          <w:p>
            <w:pPr>
              <w:spacing w:line="240" w:lineRule="exact"/>
              <w:jc w:val="center"/>
              <w:rPr>
                <w:rFonts w:ascii="Times New Roman" w:hAnsi="Times New Roman" w:cs="Times New Roman"/>
                <w:color w:val="auto"/>
              </w:rPr>
            </w:pP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中毒窒息</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0.5</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6</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restar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1607" w:type="dxa"/>
            <w:vMerge w:val="restar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配电间作业</w:t>
            </w: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火灾</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7</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21</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continue"/>
            <w:vAlign w:val="center"/>
          </w:tcPr>
          <w:p>
            <w:pPr>
              <w:spacing w:line="240" w:lineRule="exact"/>
              <w:jc w:val="center"/>
              <w:rPr>
                <w:rFonts w:ascii="Times New Roman" w:hAnsi="Times New Roman" w:cs="Times New Roman"/>
                <w:color w:val="auto"/>
              </w:rPr>
            </w:pPr>
          </w:p>
        </w:tc>
        <w:tc>
          <w:tcPr>
            <w:tcW w:w="1607" w:type="dxa"/>
            <w:vMerge w:val="continue"/>
            <w:vAlign w:val="center"/>
          </w:tcPr>
          <w:p>
            <w:pPr>
              <w:spacing w:line="240" w:lineRule="exact"/>
              <w:jc w:val="center"/>
              <w:rPr>
                <w:rFonts w:ascii="Times New Roman" w:hAnsi="Times New Roman" w:cs="Times New Roman"/>
                <w:color w:val="auto"/>
              </w:rPr>
            </w:pP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电气伤害</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7</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21</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restart"/>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4</w:t>
            </w:r>
          </w:p>
        </w:tc>
        <w:tc>
          <w:tcPr>
            <w:tcW w:w="1607" w:type="dxa"/>
            <w:vMerge w:val="restart"/>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检维修作业</w:t>
            </w: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火灾爆炸</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15</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45</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continue"/>
            <w:vAlign w:val="center"/>
          </w:tcPr>
          <w:p>
            <w:pPr>
              <w:spacing w:line="240" w:lineRule="exact"/>
              <w:jc w:val="center"/>
              <w:rPr>
                <w:rFonts w:ascii="Times New Roman" w:hAnsi="Times New Roman" w:cs="Times New Roman"/>
                <w:color w:val="auto"/>
              </w:rPr>
            </w:pPr>
          </w:p>
        </w:tc>
        <w:tc>
          <w:tcPr>
            <w:tcW w:w="1607" w:type="dxa"/>
            <w:vMerge w:val="continue"/>
            <w:vAlign w:val="center"/>
          </w:tcPr>
          <w:p>
            <w:pPr>
              <w:spacing w:line="240" w:lineRule="exact"/>
              <w:jc w:val="center"/>
              <w:rPr>
                <w:rFonts w:ascii="Times New Roman" w:hAnsi="Times New Roman" w:cs="Times New Roman"/>
                <w:color w:val="auto"/>
              </w:rPr>
            </w:pP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中毒窒息</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0.5</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15</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22.5</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680" w:type="dxa"/>
            <w:vMerge w:val="continue"/>
            <w:vAlign w:val="center"/>
          </w:tcPr>
          <w:p>
            <w:pPr>
              <w:spacing w:line="240" w:lineRule="exact"/>
              <w:jc w:val="center"/>
              <w:rPr>
                <w:rFonts w:ascii="Times New Roman" w:hAnsi="Times New Roman" w:cs="Times New Roman"/>
                <w:color w:val="auto"/>
              </w:rPr>
            </w:pPr>
          </w:p>
        </w:tc>
        <w:tc>
          <w:tcPr>
            <w:tcW w:w="1607" w:type="dxa"/>
            <w:vMerge w:val="continue"/>
            <w:vAlign w:val="center"/>
          </w:tcPr>
          <w:p>
            <w:pPr>
              <w:spacing w:line="240" w:lineRule="exact"/>
              <w:jc w:val="center"/>
              <w:rPr>
                <w:rFonts w:ascii="Times New Roman" w:hAnsi="Times New Roman" w:cs="Times New Roman"/>
                <w:color w:val="auto"/>
              </w:rPr>
            </w:pP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电气伤害</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3</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7</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21</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trPr>
        <w:tc>
          <w:tcPr>
            <w:tcW w:w="680" w:type="dxa"/>
            <w:vMerge w:val="continue"/>
            <w:vAlign w:val="center"/>
          </w:tcPr>
          <w:p>
            <w:pPr>
              <w:spacing w:line="240" w:lineRule="exact"/>
              <w:jc w:val="center"/>
              <w:rPr>
                <w:rFonts w:ascii="Times New Roman" w:hAnsi="Times New Roman" w:cs="Times New Roman"/>
                <w:color w:val="auto"/>
              </w:rPr>
            </w:pPr>
          </w:p>
        </w:tc>
        <w:tc>
          <w:tcPr>
            <w:tcW w:w="1607" w:type="dxa"/>
            <w:vMerge w:val="continue"/>
            <w:vAlign w:val="center"/>
          </w:tcPr>
          <w:p>
            <w:pPr>
              <w:spacing w:line="240" w:lineRule="exact"/>
              <w:jc w:val="center"/>
              <w:rPr>
                <w:rFonts w:ascii="Times New Roman" w:hAnsi="Times New Roman" w:cs="Times New Roman"/>
                <w:color w:val="auto"/>
              </w:rPr>
            </w:pPr>
          </w:p>
        </w:tc>
        <w:tc>
          <w:tcPr>
            <w:tcW w:w="297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高处坠落</w:t>
            </w:r>
          </w:p>
        </w:tc>
        <w:tc>
          <w:tcPr>
            <w:tcW w:w="67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549"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620"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15</w:t>
            </w:r>
          </w:p>
        </w:tc>
        <w:tc>
          <w:tcPr>
            <w:tcW w:w="608" w:type="dxa"/>
            <w:vAlign w:val="center"/>
          </w:tcPr>
          <w:p>
            <w:pPr>
              <w:spacing w:line="240" w:lineRule="exact"/>
              <w:jc w:val="center"/>
              <w:rPr>
                <w:rFonts w:ascii="Times New Roman" w:hAnsi="Times New Roman" w:cs="Times New Roman"/>
                <w:color w:val="auto"/>
              </w:rPr>
            </w:pPr>
            <w:r>
              <w:rPr>
                <w:rFonts w:ascii="Times New Roman" w:hAnsi="Times New Roman" w:cs="Times New Roman"/>
                <w:color w:val="auto"/>
              </w:rPr>
              <w:t>15</w:t>
            </w:r>
          </w:p>
        </w:tc>
        <w:tc>
          <w:tcPr>
            <w:tcW w:w="1567" w:type="dxa"/>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rPr>
              <w:t>稍有危险</w:t>
            </w:r>
          </w:p>
        </w:tc>
      </w:tr>
    </w:tbl>
    <w:p>
      <w:pPr>
        <w:pageBreakBefore w:val="0"/>
        <w:widowControl w:val="0"/>
        <w:kinsoku/>
        <w:wordWrap/>
        <w:overflowPunct/>
        <w:topLinePunct w:val="0"/>
        <w:autoSpaceDE/>
        <w:autoSpaceDN/>
        <w:bidi w:val="0"/>
        <w:adjustRightInd/>
        <w:snapToGrid/>
        <w:spacing w:line="560" w:lineRule="exact"/>
        <w:ind w:firstLine="544" w:firstLineChars="200"/>
        <w:textAlignment w:val="auto"/>
        <w:rPr>
          <w:rFonts w:ascii="Times New Roman" w:hAnsi="Times New Roman" w:cs="Times New Roman"/>
          <w:color w:val="auto"/>
          <w:spacing w:val="-4"/>
          <w:sz w:val="28"/>
          <w:szCs w:val="28"/>
        </w:rPr>
      </w:pPr>
      <w:bookmarkStart w:id="139" w:name="_Toc4872"/>
      <w:bookmarkStart w:id="140" w:name="_Toc343692263"/>
      <w:r>
        <w:rPr>
          <w:rFonts w:hint="eastAsia" w:ascii="Times New Roman" w:hAnsi="Times New Roman" w:cs="宋体"/>
          <w:color w:val="auto"/>
          <w:spacing w:val="-4"/>
          <w:sz w:val="28"/>
          <w:szCs w:val="28"/>
        </w:rPr>
        <w:t>由表</w:t>
      </w:r>
      <w:r>
        <w:rPr>
          <w:rFonts w:ascii="Times New Roman" w:hAnsi="Times New Roman" w:cs="Times New Roman"/>
          <w:color w:val="auto"/>
          <w:spacing w:val="-4"/>
          <w:sz w:val="28"/>
          <w:szCs w:val="28"/>
        </w:rPr>
        <w:t>5-1</w:t>
      </w:r>
      <w:r>
        <w:rPr>
          <w:rFonts w:hint="eastAsia" w:ascii="Times New Roman" w:hAnsi="Times New Roman" w:cs="宋体"/>
          <w:color w:val="auto"/>
          <w:spacing w:val="-4"/>
          <w:sz w:val="28"/>
          <w:szCs w:val="28"/>
        </w:rPr>
        <w:t>的评价结果可以看出，该项目的作业条件相对比较安全。在选定的评价单元中的作业均在</w:t>
      </w:r>
      <w:r>
        <w:rPr>
          <w:rFonts w:ascii="Times New Roman" w:hAnsi="Times New Roman" w:cs="Times New Roman"/>
          <w:color w:val="auto"/>
          <w:spacing w:val="-4"/>
          <w:sz w:val="28"/>
          <w:szCs w:val="28"/>
        </w:rPr>
        <w:t>“</w:t>
      </w:r>
      <w:r>
        <w:rPr>
          <w:rFonts w:hint="eastAsia" w:ascii="Times New Roman" w:hAnsi="Times New Roman" w:cs="宋体"/>
          <w:color w:val="auto"/>
          <w:spacing w:val="-4"/>
          <w:sz w:val="28"/>
          <w:szCs w:val="28"/>
        </w:rPr>
        <w:t>一般危险</w:t>
      </w:r>
      <w:r>
        <w:rPr>
          <w:rFonts w:ascii="Times New Roman" w:hAnsi="Times New Roman" w:cs="Times New Roman"/>
          <w:color w:val="auto"/>
          <w:spacing w:val="-4"/>
          <w:sz w:val="28"/>
          <w:szCs w:val="28"/>
        </w:rPr>
        <w:t>”</w:t>
      </w:r>
      <w:r>
        <w:rPr>
          <w:rFonts w:hint="eastAsia" w:ascii="Times New Roman" w:hAnsi="Times New Roman" w:cs="宋体"/>
          <w:color w:val="auto"/>
          <w:spacing w:val="-4"/>
          <w:sz w:val="28"/>
          <w:szCs w:val="28"/>
        </w:rPr>
        <w:t>或</w:t>
      </w:r>
      <w:r>
        <w:rPr>
          <w:rFonts w:ascii="Times New Roman" w:hAnsi="Times New Roman" w:cs="Times New Roman"/>
          <w:color w:val="auto"/>
          <w:spacing w:val="-4"/>
          <w:sz w:val="28"/>
          <w:szCs w:val="28"/>
        </w:rPr>
        <w:t>“</w:t>
      </w:r>
      <w:r>
        <w:rPr>
          <w:rFonts w:hint="eastAsia" w:ascii="Times New Roman" w:hAnsi="Times New Roman" w:cs="宋体"/>
          <w:color w:val="auto"/>
          <w:spacing w:val="-4"/>
          <w:sz w:val="28"/>
          <w:szCs w:val="28"/>
        </w:rPr>
        <w:t>稍有危险</w:t>
      </w:r>
      <w:r>
        <w:rPr>
          <w:rFonts w:ascii="Times New Roman" w:hAnsi="Times New Roman" w:cs="Times New Roman"/>
          <w:color w:val="auto"/>
          <w:spacing w:val="-4"/>
          <w:sz w:val="28"/>
          <w:szCs w:val="28"/>
        </w:rPr>
        <w:t>”</w:t>
      </w:r>
      <w:r>
        <w:rPr>
          <w:rFonts w:hint="eastAsia" w:ascii="Times New Roman" w:hAnsi="Times New Roman" w:cs="宋体"/>
          <w:color w:val="auto"/>
          <w:spacing w:val="-4"/>
          <w:sz w:val="28"/>
          <w:szCs w:val="28"/>
        </w:rPr>
        <w:t>范围，作业条件相对安全。</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因此，项目的运行应重点加强对加油作业和卸油至储罐中的危险物质的严格控制，注重日常安全管理，加强输送易然液体管线和储存危险物质容器的安全管理；其次要建立健全完善的安全生产责任制、安全管理制度、安全操作规程、技术操作规程并确保其贯彻落实；第三是要认真抓好操作及管理人员的安全知识和操作技能的培训，确保人员具有与工程技术水平相适应的技术素质和安全素质，第四是加强对前来加油的车辆和人员的管理、严禁烟火、严禁打手机等，保证安全作业。</w:t>
      </w:r>
    </w:p>
    <w:p>
      <w:pPr>
        <w:keepNext/>
        <w:keepLines/>
        <w:pageBreakBefore w:val="0"/>
        <w:widowControl w:val="0"/>
        <w:kinsoku/>
        <w:wordWrap/>
        <w:overflowPunct/>
        <w:topLinePunct w:val="0"/>
        <w:autoSpaceDE/>
        <w:autoSpaceDN/>
        <w:bidi w:val="0"/>
        <w:adjustRightInd/>
        <w:snapToGrid/>
        <w:spacing w:line="560" w:lineRule="exact"/>
        <w:textAlignment w:val="auto"/>
        <w:outlineLvl w:val="1"/>
        <w:rPr>
          <w:rFonts w:ascii="Times New Roman" w:hAnsi="Times New Roman" w:cs="Times New Roman"/>
          <w:b/>
          <w:bCs/>
          <w:color w:val="auto"/>
          <w:sz w:val="28"/>
          <w:szCs w:val="28"/>
        </w:rPr>
      </w:pPr>
      <w:bookmarkStart w:id="141" w:name="_Toc1293"/>
      <w:r>
        <w:rPr>
          <w:rFonts w:ascii="Times New Roman" w:hAnsi="Times New Roman" w:cs="Times New Roman"/>
          <w:b/>
          <w:bCs/>
          <w:color w:val="auto"/>
          <w:sz w:val="28"/>
          <w:szCs w:val="28"/>
        </w:rPr>
        <w:t xml:space="preserve">5.2 </w:t>
      </w:r>
      <w:r>
        <w:rPr>
          <w:rFonts w:hint="eastAsia" w:ascii="Times New Roman" w:hAnsi="Times New Roman" w:cs="宋体"/>
          <w:b/>
          <w:bCs/>
          <w:color w:val="auto"/>
          <w:sz w:val="28"/>
          <w:szCs w:val="28"/>
        </w:rPr>
        <w:t>危险度评价</w:t>
      </w:r>
      <w:bookmarkEnd w:id="139"/>
      <w:bookmarkEnd w:id="140"/>
      <w:bookmarkEnd w:id="141"/>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本评价单元分为油储罐区。</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油储罐区主要危险物质为汽油、柴油。其中汽油属甲</w:t>
      </w:r>
      <w:r>
        <w:rPr>
          <w:rFonts w:ascii="Times New Roman" w:hAnsi="Times New Roman" w:cs="Times New Roman"/>
          <w:color w:val="auto"/>
          <w:sz w:val="28"/>
          <w:szCs w:val="28"/>
          <w:vertAlign w:val="subscript"/>
        </w:rPr>
        <w:t>B</w:t>
      </w:r>
      <w:r>
        <w:rPr>
          <w:rFonts w:hint="eastAsia" w:ascii="Times New Roman" w:hAnsi="Times New Roman" w:cs="宋体"/>
          <w:color w:val="auto"/>
          <w:sz w:val="28"/>
          <w:szCs w:val="28"/>
        </w:rPr>
        <w:t>类易燃液体，柴油属丙</w:t>
      </w:r>
      <w:r>
        <w:rPr>
          <w:rFonts w:ascii="Times New Roman" w:hAnsi="Times New Roman" w:cs="Times New Roman"/>
          <w:color w:val="auto"/>
          <w:sz w:val="28"/>
          <w:szCs w:val="28"/>
          <w:vertAlign w:val="subscript"/>
        </w:rPr>
        <w:t>A</w:t>
      </w:r>
      <w:r>
        <w:rPr>
          <w:rFonts w:hint="eastAsia" w:ascii="Times New Roman" w:hAnsi="Times New Roman" w:cs="宋体"/>
          <w:color w:val="auto"/>
          <w:sz w:val="28"/>
          <w:szCs w:val="28"/>
        </w:rPr>
        <w:t>类易燃液体，故物质取</w:t>
      </w:r>
      <w:r>
        <w:rPr>
          <w:rFonts w:ascii="Times New Roman" w:hAnsi="Times New Roman" w:cs="Times New Roman"/>
          <w:color w:val="auto"/>
          <w:sz w:val="28"/>
          <w:szCs w:val="28"/>
        </w:rPr>
        <w:t>5</w:t>
      </w:r>
      <w:r>
        <w:rPr>
          <w:rFonts w:hint="eastAsia" w:ascii="Times New Roman" w:hAnsi="Times New Roman" w:cs="宋体"/>
          <w:color w:val="auto"/>
          <w:sz w:val="28"/>
          <w:szCs w:val="28"/>
        </w:rPr>
        <w:t>分；</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油储罐区汽油</w:t>
      </w:r>
      <w:r>
        <w:rPr>
          <w:rFonts w:hint="eastAsia" w:ascii="Times New Roman" w:hAnsi="Times New Roman" w:cs="宋体"/>
          <w:color w:val="auto"/>
          <w:sz w:val="28"/>
          <w:szCs w:val="28"/>
          <w:lang w:val="en-US" w:eastAsia="zh-CN"/>
        </w:rPr>
        <w:t>和柴油</w:t>
      </w:r>
      <w:r>
        <w:rPr>
          <w:rFonts w:hint="eastAsia" w:ascii="Times New Roman" w:hAnsi="Times New Roman" w:cs="宋体"/>
          <w:color w:val="auto"/>
          <w:sz w:val="28"/>
          <w:szCs w:val="28"/>
        </w:rPr>
        <w:t>最大储量为</w:t>
      </w:r>
      <w:r>
        <w:rPr>
          <w:rFonts w:hint="eastAsia" w:ascii="Times New Roman" w:hAnsi="Times New Roman" w:cs="Times New Roman"/>
          <w:color w:val="auto"/>
          <w:sz w:val="28"/>
          <w:szCs w:val="28"/>
          <w:lang w:val="en-US" w:eastAsia="zh-CN"/>
        </w:rPr>
        <w:t>13</w:t>
      </w:r>
      <w:r>
        <w:rPr>
          <w:rFonts w:ascii="Times New Roman" w:hAnsi="Times New Roman" w:cs="Times New Roman"/>
          <w:color w:val="auto"/>
          <w:sz w:val="28"/>
          <w:szCs w:val="28"/>
        </w:rPr>
        <w:t>0m³</w:t>
      </w:r>
      <w:r>
        <w:rPr>
          <w:rFonts w:hint="eastAsia" w:ascii="Times New Roman" w:hAnsi="Times New Roman" w:cs="宋体"/>
          <w:color w:val="auto"/>
          <w:sz w:val="28"/>
          <w:szCs w:val="28"/>
        </w:rPr>
        <w:t>，故容量取</w:t>
      </w:r>
      <w:r>
        <w:rPr>
          <w:rFonts w:hint="eastAsia" w:ascii="Times New Roman" w:hAnsi="Times New Roman" w:cs="Times New Roman"/>
          <w:color w:val="auto"/>
          <w:sz w:val="28"/>
          <w:szCs w:val="28"/>
          <w:lang w:val="en-US" w:eastAsia="zh-CN"/>
        </w:rPr>
        <w:t>10</w:t>
      </w:r>
      <w:r>
        <w:rPr>
          <w:rFonts w:hint="eastAsia" w:ascii="Times New Roman" w:hAnsi="Times New Roman" w:cs="宋体"/>
          <w:color w:val="auto"/>
          <w:sz w:val="28"/>
          <w:szCs w:val="28"/>
        </w:rPr>
        <w:t>分；</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本单元在常温、常压下储存，故温度、压力取</w:t>
      </w:r>
      <w:r>
        <w:rPr>
          <w:rFonts w:ascii="Times New Roman" w:hAnsi="Times New Roman" w:cs="Times New Roman"/>
          <w:color w:val="auto"/>
          <w:sz w:val="28"/>
          <w:szCs w:val="28"/>
        </w:rPr>
        <w:t>0</w:t>
      </w:r>
      <w:r>
        <w:rPr>
          <w:rFonts w:hint="eastAsia" w:ascii="Times New Roman" w:hAnsi="Times New Roman" w:cs="宋体"/>
          <w:color w:val="auto"/>
          <w:sz w:val="28"/>
          <w:szCs w:val="28"/>
        </w:rPr>
        <w:t>分。</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有一定危险的操作，故操作取</w:t>
      </w:r>
      <w:r>
        <w:rPr>
          <w:rFonts w:ascii="Times New Roman" w:hAnsi="Times New Roman" w:cs="Times New Roman"/>
          <w:color w:val="auto"/>
          <w:sz w:val="28"/>
          <w:szCs w:val="28"/>
        </w:rPr>
        <w:t>2</w:t>
      </w:r>
      <w:r>
        <w:rPr>
          <w:rFonts w:hint="eastAsia" w:ascii="Times New Roman" w:hAnsi="Times New Roman" w:cs="宋体"/>
          <w:color w:val="auto"/>
          <w:sz w:val="28"/>
          <w:szCs w:val="28"/>
        </w:rPr>
        <w:t>分。</w:t>
      </w:r>
    </w:p>
    <w:p>
      <w:pPr>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综上所述，油储罐区得分为</w:t>
      </w:r>
      <w:r>
        <w:rPr>
          <w:rFonts w:hint="eastAsia" w:ascii="Times New Roman" w:hAnsi="Times New Roman" w:cs="Times New Roman"/>
          <w:color w:val="auto"/>
          <w:sz w:val="28"/>
          <w:szCs w:val="28"/>
          <w:lang w:val="en-US" w:eastAsia="zh-CN"/>
        </w:rPr>
        <w:t>17</w:t>
      </w:r>
      <w:r>
        <w:rPr>
          <w:rFonts w:hint="eastAsia" w:ascii="Times New Roman" w:hAnsi="Times New Roman" w:cs="宋体"/>
          <w:color w:val="auto"/>
          <w:sz w:val="28"/>
          <w:szCs w:val="28"/>
        </w:rPr>
        <w:t>分，为</w:t>
      </w:r>
      <w:r>
        <w:rPr>
          <w:rFonts w:hint="eastAsia" w:ascii="宋体" w:hAnsi="宋体" w:eastAsia="宋体" w:cs="宋体"/>
          <w:color w:val="auto"/>
          <w:sz w:val="28"/>
          <w:szCs w:val="28"/>
        </w:rPr>
        <w:t>Ⅰ</w:t>
      </w:r>
      <w:r>
        <w:rPr>
          <w:rFonts w:hint="eastAsia" w:ascii="Times New Roman" w:hAnsi="Times New Roman" w:cs="宋体"/>
          <w:color w:val="auto"/>
          <w:sz w:val="28"/>
          <w:szCs w:val="28"/>
        </w:rPr>
        <w:t>级，属</w:t>
      </w:r>
      <w:r>
        <w:rPr>
          <w:rFonts w:hint="eastAsia" w:ascii="Times New Roman" w:hAnsi="Times New Roman" w:cs="宋体"/>
          <w:color w:val="auto"/>
          <w:sz w:val="28"/>
          <w:szCs w:val="28"/>
          <w:lang w:val="en-US" w:eastAsia="zh-CN"/>
        </w:rPr>
        <w:t>高</w:t>
      </w:r>
      <w:r>
        <w:rPr>
          <w:rFonts w:hint="eastAsia" w:ascii="Times New Roman" w:hAnsi="Times New Roman" w:cs="宋体"/>
          <w:color w:val="auto"/>
          <w:sz w:val="28"/>
          <w:szCs w:val="28"/>
        </w:rPr>
        <w:t>度危险。由于加油站设有紧急切断系统，采用埋地油罐、密封操作、高低液位报警、防渗漏检测等措施，危险有害程度能控制在可接受的范围。</w:t>
      </w:r>
    </w:p>
    <w:p>
      <w:pPr>
        <w:spacing w:line="600" w:lineRule="exact"/>
        <w:outlineLvl w:val="0"/>
        <w:rPr>
          <w:rFonts w:ascii="Times New Roman" w:hAnsi="Times New Roman" w:cs="Times New Roman"/>
          <w:b/>
          <w:bCs/>
          <w:color w:val="auto"/>
          <w:kern w:val="36"/>
          <w:sz w:val="28"/>
          <w:szCs w:val="28"/>
        </w:rPr>
      </w:pPr>
      <w:bookmarkStart w:id="142" w:name="_Toc4834"/>
      <w:r>
        <w:rPr>
          <w:rFonts w:ascii="Times New Roman" w:hAnsi="Times New Roman" w:cs="Times New Roman"/>
          <w:b/>
          <w:bCs/>
          <w:color w:val="auto"/>
          <w:kern w:val="36"/>
          <w:sz w:val="28"/>
          <w:szCs w:val="28"/>
        </w:rPr>
        <w:br w:type="page"/>
      </w:r>
      <w:bookmarkStart w:id="143" w:name="_Toc16961"/>
      <w:r>
        <w:rPr>
          <w:rFonts w:ascii="Times New Roman" w:hAnsi="Times New Roman" w:cs="Times New Roman"/>
          <w:b/>
          <w:bCs/>
          <w:color w:val="auto"/>
          <w:kern w:val="36"/>
          <w:sz w:val="28"/>
          <w:szCs w:val="28"/>
        </w:rPr>
        <w:t xml:space="preserve">6 </w:t>
      </w:r>
      <w:r>
        <w:rPr>
          <w:rFonts w:hint="eastAsia" w:ascii="Times New Roman" w:hAnsi="Times New Roman" w:cs="宋体"/>
          <w:b/>
          <w:bCs/>
          <w:color w:val="auto"/>
          <w:kern w:val="36"/>
          <w:sz w:val="28"/>
          <w:szCs w:val="28"/>
        </w:rPr>
        <w:t>符合性评价</w:t>
      </w:r>
      <w:bookmarkEnd w:id="142"/>
      <w:bookmarkEnd w:id="143"/>
    </w:p>
    <w:p>
      <w:pPr>
        <w:keepNext/>
        <w:keepLines/>
        <w:spacing w:line="600" w:lineRule="exact"/>
        <w:outlineLvl w:val="1"/>
        <w:rPr>
          <w:rFonts w:ascii="Times New Roman" w:hAnsi="Times New Roman" w:cs="Times New Roman"/>
          <w:b/>
          <w:bCs/>
          <w:color w:val="auto"/>
          <w:sz w:val="28"/>
          <w:szCs w:val="28"/>
        </w:rPr>
      </w:pPr>
      <w:bookmarkStart w:id="144" w:name="_Toc18977"/>
      <w:bookmarkStart w:id="145" w:name="_Toc343692265"/>
      <w:bookmarkStart w:id="146" w:name="_Toc12449"/>
      <w:r>
        <w:rPr>
          <w:rFonts w:ascii="Times New Roman" w:hAnsi="Times New Roman" w:cs="Times New Roman"/>
          <w:b/>
          <w:bCs/>
          <w:color w:val="auto"/>
          <w:sz w:val="28"/>
          <w:szCs w:val="28"/>
        </w:rPr>
        <w:t xml:space="preserve">6.1 </w:t>
      </w:r>
      <w:r>
        <w:rPr>
          <w:rFonts w:hint="eastAsia" w:ascii="Times New Roman" w:hAnsi="Times New Roman" w:cs="宋体"/>
          <w:b/>
          <w:bCs/>
          <w:color w:val="auto"/>
          <w:sz w:val="28"/>
          <w:szCs w:val="28"/>
        </w:rPr>
        <w:t>站址选择及外部距离</w:t>
      </w:r>
      <w:bookmarkEnd w:id="144"/>
      <w:bookmarkEnd w:id="145"/>
      <w:bookmarkEnd w:id="146"/>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加油站位于</w:t>
      </w:r>
      <w:r>
        <w:rPr>
          <w:rFonts w:hint="eastAsia" w:ascii="Times New Roman" w:hAnsi="Times New Roman" w:cs="宋体"/>
          <w:color w:val="auto"/>
          <w:sz w:val="28"/>
          <w:szCs w:val="28"/>
          <w:lang w:eastAsia="zh-CN"/>
        </w:rPr>
        <w:t>江西省景德镇市昌江区鱼山镇（国道与鱼丽公路交叉口东侧）</w:t>
      </w:r>
      <w:r>
        <w:rPr>
          <w:rFonts w:hint="eastAsia" w:ascii="Times New Roman" w:hAnsi="Times New Roman" w:cs="宋体"/>
          <w:color w:val="auto"/>
          <w:sz w:val="28"/>
          <w:szCs w:val="28"/>
        </w:rPr>
        <w:t>。站区西面为206国道；站区北面为105县道、架空电力线路（8m杆高，有绝缘层）、架空通信线；站区南面为鱼山农贸市场（三类保护物）；站区东面为空地。该项目周围</w:t>
      </w:r>
      <w:r>
        <w:rPr>
          <w:rFonts w:ascii="Times New Roman" w:hAnsi="Times New Roman" w:cs="Times New Roman"/>
          <w:color w:val="auto"/>
          <w:sz w:val="28"/>
          <w:szCs w:val="28"/>
        </w:rPr>
        <w:t>50m</w:t>
      </w:r>
      <w:r>
        <w:rPr>
          <w:rFonts w:hint="eastAsia" w:ascii="Times New Roman" w:hAnsi="Times New Roman" w:cs="宋体"/>
          <w:color w:val="auto"/>
          <w:sz w:val="28"/>
          <w:szCs w:val="28"/>
        </w:rPr>
        <w:t>内无重要公共建筑物。</w:t>
      </w:r>
    </w:p>
    <w:p>
      <w:pPr>
        <w:spacing w:line="600" w:lineRule="exact"/>
        <w:ind w:firstLine="840" w:firstLineChars="300"/>
        <w:rPr>
          <w:rFonts w:ascii="Times New Roman" w:hAnsi="Times New Roman" w:cs="Times New Roman"/>
          <w:color w:val="auto"/>
          <w:sz w:val="28"/>
          <w:szCs w:val="28"/>
        </w:rPr>
      </w:pPr>
      <w:r>
        <w:rPr>
          <w:rFonts w:hint="eastAsia" w:ascii="Times New Roman" w:hAnsi="Times New Roman" w:cs="宋体"/>
          <w:color w:val="auto"/>
          <w:sz w:val="28"/>
          <w:szCs w:val="28"/>
        </w:rPr>
        <w:t>本报告检查依据《汽车加油加气加氢站技术标准》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进行。</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项目选址检查情况见表</w:t>
      </w:r>
      <w:r>
        <w:rPr>
          <w:rFonts w:ascii="Times New Roman" w:hAnsi="Times New Roman" w:cs="Times New Roman"/>
          <w:color w:val="auto"/>
          <w:sz w:val="28"/>
          <w:szCs w:val="28"/>
        </w:rPr>
        <w:t>6-1</w:t>
      </w:r>
      <w:r>
        <w:rPr>
          <w:rFonts w:hint="eastAsia" w:ascii="Times New Roman" w:hAnsi="Times New Roman" w:cs="宋体"/>
          <w:color w:val="auto"/>
          <w:sz w:val="28"/>
          <w:szCs w:val="28"/>
        </w:rPr>
        <w:t>。</w:t>
      </w:r>
    </w:p>
    <w:p>
      <w:pPr>
        <w:jc w:val="center"/>
        <w:rPr>
          <w:rFonts w:ascii="Times New Roman" w:hAnsi="Times New Roman" w:cs="Times New Roman"/>
          <w:b/>
          <w:bCs/>
          <w:color w:val="auto"/>
        </w:rPr>
      </w:pPr>
      <w:r>
        <w:rPr>
          <w:rFonts w:hint="eastAsia" w:ascii="Times New Roman" w:hAnsi="Times New Roman" w:cs="宋体"/>
          <w:b/>
          <w:bCs/>
          <w:color w:val="auto"/>
          <w:lang w:val="zh-CN"/>
        </w:rPr>
        <w:t>表</w:t>
      </w:r>
      <w:r>
        <w:rPr>
          <w:rFonts w:ascii="Times New Roman" w:hAnsi="Times New Roman" w:cs="Times New Roman"/>
          <w:b/>
          <w:bCs/>
          <w:color w:val="auto"/>
          <w:lang w:val="zh-CN"/>
        </w:rPr>
        <w:t xml:space="preserve">6-1 </w:t>
      </w:r>
      <w:r>
        <w:rPr>
          <w:rFonts w:hint="eastAsia" w:ascii="Times New Roman" w:hAnsi="Times New Roman" w:cs="宋体"/>
          <w:b/>
          <w:bCs/>
          <w:color w:val="auto"/>
          <w:lang w:val="zh-CN"/>
        </w:rPr>
        <w:t>站址（周边环境）检查表</w:t>
      </w:r>
      <w:r>
        <w:rPr>
          <w:rFonts w:ascii="Times New Roman" w:hAnsi="Times New Roman" w:cs="Times New Roman"/>
          <w:b/>
          <w:bCs/>
          <w:color w:val="auto"/>
          <w:lang w:val="zh-CN"/>
        </w:rPr>
        <w:t xml:space="preserve"> </w:t>
      </w:r>
      <w:r>
        <w:rPr>
          <w:rFonts w:ascii="Times New Roman" w:hAnsi="Times New Roman" w:cs="Times New Roman"/>
          <w:color w:val="auto"/>
          <w:lang w:val="zh-CN"/>
        </w:rPr>
        <w:t xml:space="preserve">  </w:t>
      </w:r>
      <w:r>
        <w:rPr>
          <w:rFonts w:ascii="Times New Roman" w:hAnsi="Times New Roman" w:cs="Times New Roman"/>
          <w:b/>
          <w:bCs/>
          <w:color w:val="auto"/>
        </w:rPr>
        <w:t xml:space="preserve"> </w:t>
      </w:r>
    </w:p>
    <w:tbl>
      <w:tblPr>
        <w:tblStyle w:val="20"/>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4197"/>
        <w:gridCol w:w="1080"/>
        <w:gridCol w:w="2254"/>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43" w:type="dxa"/>
            <w:vAlign w:val="center"/>
          </w:tcPr>
          <w:p>
            <w:pPr>
              <w:spacing w:line="240" w:lineRule="exac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序号</w:t>
            </w:r>
          </w:p>
        </w:tc>
        <w:tc>
          <w:tcPr>
            <w:tcW w:w="4197" w:type="dxa"/>
            <w:vAlign w:val="center"/>
          </w:tcPr>
          <w:p>
            <w:pPr>
              <w:spacing w:line="240" w:lineRule="exac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检查内容</w:t>
            </w:r>
          </w:p>
        </w:tc>
        <w:tc>
          <w:tcPr>
            <w:tcW w:w="1080" w:type="dxa"/>
            <w:vAlign w:val="center"/>
          </w:tcPr>
          <w:p>
            <w:pPr>
              <w:spacing w:line="240" w:lineRule="exac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标准条款</w:t>
            </w:r>
          </w:p>
        </w:tc>
        <w:tc>
          <w:tcPr>
            <w:tcW w:w="2254" w:type="dxa"/>
            <w:vAlign w:val="center"/>
          </w:tcPr>
          <w:p>
            <w:pPr>
              <w:spacing w:line="240" w:lineRule="exact"/>
              <w:jc w:val="center"/>
              <w:rPr>
                <w:rFonts w:ascii="Times New Roman" w:hAnsi="Times New Roman" w:cs="Times New Roman"/>
                <w:b/>
                <w:bCs/>
                <w:color w:val="auto"/>
                <w:sz w:val="18"/>
                <w:szCs w:val="18"/>
              </w:rPr>
            </w:pPr>
            <w:r>
              <w:rPr>
                <w:rFonts w:hint="eastAsia" w:ascii="Times New Roman" w:hAnsi="Times New Roman" w:cs="宋体"/>
                <w:b/>
                <w:bCs/>
                <w:color w:val="auto"/>
                <w:kern w:val="0"/>
                <w:sz w:val="18"/>
                <w:szCs w:val="18"/>
              </w:rPr>
              <w:t>检查记录</w:t>
            </w:r>
          </w:p>
        </w:tc>
        <w:tc>
          <w:tcPr>
            <w:tcW w:w="1106" w:type="dxa"/>
            <w:vAlign w:val="center"/>
          </w:tcPr>
          <w:p>
            <w:pPr>
              <w:spacing w:line="240" w:lineRule="exac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43" w:type="dxa"/>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w:t>
            </w:r>
          </w:p>
        </w:tc>
        <w:tc>
          <w:tcPr>
            <w:tcW w:w="4197" w:type="dxa"/>
            <w:vAlign w:val="center"/>
          </w:tcPr>
          <w:p>
            <w:pPr>
              <w:autoSpaceDE w:val="0"/>
              <w:autoSpaceDN w:val="0"/>
              <w:adjustRightInd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汽车加油加气加氢站的站址选择应符合有关规划、环境保护和防火安全的要求，并应选在交通便利、用户使用方便的地点。</w:t>
            </w:r>
          </w:p>
        </w:tc>
        <w:tc>
          <w:tcPr>
            <w:tcW w:w="1080" w:type="dxa"/>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4.0.1</w:t>
            </w:r>
          </w:p>
        </w:tc>
        <w:tc>
          <w:tcPr>
            <w:tcW w:w="2254" w:type="dxa"/>
            <w:vAlign w:val="center"/>
          </w:tcPr>
          <w:p>
            <w:pPr>
              <w:spacing w:line="240" w:lineRule="exact"/>
              <w:jc w:val="center"/>
              <w:rPr>
                <w:rFonts w:ascii="Times New Roman" w:hAnsi="Times New Roman" w:cs="Times New Roman"/>
                <w:b/>
                <w:bCs/>
                <w:color w:val="auto"/>
                <w:sz w:val="18"/>
                <w:szCs w:val="18"/>
              </w:rPr>
            </w:pPr>
            <w:r>
              <w:rPr>
                <w:rFonts w:hint="eastAsia" w:ascii="Times New Roman" w:hAnsi="Times New Roman" w:cs="宋体"/>
                <w:color w:val="auto"/>
                <w:kern w:val="0"/>
                <w:sz w:val="18"/>
                <w:szCs w:val="18"/>
              </w:rPr>
              <w:t>符合相关规划、环境保护和防火安全的要求，靠近</w:t>
            </w:r>
            <w:r>
              <w:rPr>
                <w:rFonts w:hint="eastAsia" w:ascii="Times New Roman" w:hAnsi="Times New Roman" w:cs="Times New Roman"/>
                <w:color w:val="auto"/>
                <w:kern w:val="0"/>
                <w:sz w:val="18"/>
                <w:szCs w:val="18"/>
                <w:lang w:eastAsia="zh-CN"/>
              </w:rPr>
              <w:t>X105县道</w:t>
            </w:r>
            <w:r>
              <w:rPr>
                <w:rFonts w:hint="eastAsia" w:ascii="Times New Roman" w:hAnsi="Times New Roman" w:cs="宋体"/>
                <w:color w:val="auto"/>
                <w:kern w:val="0"/>
                <w:sz w:val="18"/>
                <w:szCs w:val="18"/>
              </w:rPr>
              <w:t>，交通便利。</w:t>
            </w:r>
          </w:p>
        </w:tc>
        <w:tc>
          <w:tcPr>
            <w:tcW w:w="1106" w:type="dxa"/>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3" w:type="dxa"/>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p>
        </w:tc>
        <w:tc>
          <w:tcPr>
            <w:tcW w:w="4197" w:type="dxa"/>
            <w:vAlign w:val="center"/>
          </w:tcPr>
          <w:p>
            <w:pPr>
              <w:autoSpaceDE w:val="0"/>
              <w:autoSpaceDN w:val="0"/>
              <w:adjustRightInd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在城市中心区不应建一级汽车加油加气加氢站、</w:t>
            </w:r>
            <w:r>
              <w:rPr>
                <w:rFonts w:ascii="Times New Roman" w:hAnsi="Times New Roman" w:cs="Times New Roman"/>
                <w:color w:val="auto"/>
                <w:kern w:val="0"/>
                <w:sz w:val="18"/>
                <w:szCs w:val="18"/>
              </w:rPr>
              <w:t>CNG</w:t>
            </w:r>
            <w:r>
              <w:rPr>
                <w:rFonts w:hint="eastAsia" w:ascii="Times New Roman" w:hAnsi="Times New Roman" w:cs="宋体"/>
                <w:color w:val="auto"/>
                <w:kern w:val="0"/>
                <w:sz w:val="18"/>
                <w:szCs w:val="18"/>
              </w:rPr>
              <w:t>加气母站。</w:t>
            </w:r>
          </w:p>
        </w:tc>
        <w:tc>
          <w:tcPr>
            <w:tcW w:w="1080" w:type="dxa"/>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4.0.2</w:t>
            </w:r>
          </w:p>
        </w:tc>
        <w:tc>
          <w:tcPr>
            <w:tcW w:w="2254" w:type="dxa"/>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该站为二级加油站</w:t>
            </w:r>
          </w:p>
        </w:tc>
        <w:tc>
          <w:tcPr>
            <w:tcW w:w="1106" w:type="dxa"/>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3" w:type="dxa"/>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3</w:t>
            </w:r>
          </w:p>
        </w:tc>
        <w:tc>
          <w:tcPr>
            <w:tcW w:w="4197" w:type="dxa"/>
            <w:vAlign w:val="center"/>
          </w:tcPr>
          <w:p>
            <w:pPr>
              <w:autoSpaceDE w:val="0"/>
              <w:autoSpaceDN w:val="0"/>
              <w:adjustRightInd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城市建成区内的汽车加油加气加氢站宜靠近城市道路，但不宜选在城市干道的交叉路口附近。</w:t>
            </w:r>
          </w:p>
        </w:tc>
        <w:tc>
          <w:tcPr>
            <w:tcW w:w="1080" w:type="dxa"/>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4.0.3</w:t>
            </w:r>
          </w:p>
        </w:tc>
        <w:tc>
          <w:tcPr>
            <w:tcW w:w="2254" w:type="dxa"/>
            <w:vAlign w:val="center"/>
          </w:tcPr>
          <w:p>
            <w:pPr>
              <w:spacing w:line="240" w:lineRule="exact"/>
              <w:rPr>
                <w:rFonts w:ascii="Times New Roman" w:hAnsi="Times New Roman" w:cs="Times New Roman"/>
                <w:color w:val="auto"/>
                <w:sz w:val="18"/>
                <w:szCs w:val="18"/>
              </w:rPr>
            </w:pPr>
            <w:r>
              <w:rPr>
                <w:rFonts w:hint="eastAsia" w:ascii="Times New Roman" w:hAnsi="Times New Roman" w:cs="宋体"/>
                <w:color w:val="auto"/>
                <w:sz w:val="18"/>
                <w:szCs w:val="18"/>
              </w:rPr>
              <w:t>不在城市干道交叉路口附近</w:t>
            </w:r>
          </w:p>
        </w:tc>
        <w:tc>
          <w:tcPr>
            <w:tcW w:w="1106" w:type="dxa"/>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43" w:type="dxa"/>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4</w:t>
            </w:r>
          </w:p>
        </w:tc>
        <w:tc>
          <w:tcPr>
            <w:tcW w:w="4197" w:type="dxa"/>
            <w:vAlign w:val="center"/>
          </w:tcPr>
          <w:p>
            <w:pPr>
              <w:autoSpaceDE w:val="0"/>
              <w:autoSpaceDN w:val="0"/>
              <w:adjustRightInd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架空电力线路不应跨越汽车加油加气加氢站的作业区。架空通信线路不应跨越加气站、加氢合建站中加氢设施的作业区。</w:t>
            </w:r>
          </w:p>
        </w:tc>
        <w:tc>
          <w:tcPr>
            <w:tcW w:w="1080" w:type="dxa"/>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4.0.12</w:t>
            </w:r>
          </w:p>
        </w:tc>
        <w:tc>
          <w:tcPr>
            <w:tcW w:w="2254" w:type="dxa"/>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kern w:val="0"/>
                <w:sz w:val="18"/>
                <w:szCs w:val="18"/>
              </w:rPr>
              <w:t>无架空电力线路跨越加油站的作业区，</w:t>
            </w:r>
          </w:p>
        </w:tc>
        <w:tc>
          <w:tcPr>
            <w:tcW w:w="1106" w:type="dxa"/>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43" w:type="dxa"/>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5</w:t>
            </w:r>
          </w:p>
        </w:tc>
        <w:tc>
          <w:tcPr>
            <w:tcW w:w="4197" w:type="dxa"/>
            <w:vAlign w:val="center"/>
          </w:tcPr>
          <w:p>
            <w:pPr>
              <w:autoSpaceDE w:val="0"/>
              <w:autoSpaceDN w:val="0"/>
              <w:adjustRightInd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与汽车加油加气加氢站无关的可燃介质管道不应穿越汽车加油加气加氢站的用地范围。</w:t>
            </w:r>
          </w:p>
        </w:tc>
        <w:tc>
          <w:tcPr>
            <w:tcW w:w="1080" w:type="dxa"/>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4.0.13</w:t>
            </w:r>
          </w:p>
        </w:tc>
        <w:tc>
          <w:tcPr>
            <w:tcW w:w="2254" w:type="dxa"/>
            <w:vAlign w:val="center"/>
          </w:tcPr>
          <w:p>
            <w:pPr>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不存在可燃介质管道穿越加油站用地范围</w:t>
            </w:r>
          </w:p>
        </w:tc>
        <w:tc>
          <w:tcPr>
            <w:tcW w:w="1106" w:type="dxa"/>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符合要求</w:t>
            </w:r>
          </w:p>
        </w:tc>
      </w:tr>
    </w:tbl>
    <w:p>
      <w:pPr>
        <w:jc w:val="center"/>
        <w:rPr>
          <w:rFonts w:ascii="Times New Roman" w:hAnsi="Times New Roman" w:cs="Times New Roman"/>
          <w:color w:val="auto"/>
          <w:lang w:val="zh-CN"/>
        </w:rPr>
      </w:pPr>
      <w:r>
        <w:rPr>
          <w:rFonts w:hint="eastAsia" w:ascii="Times New Roman" w:hAnsi="Times New Roman" w:cs="宋体"/>
          <w:color w:val="auto"/>
          <w:lang w:val="zh-CN"/>
        </w:rPr>
        <w:t>表</w:t>
      </w:r>
      <w:r>
        <w:rPr>
          <w:rFonts w:ascii="Times New Roman" w:hAnsi="Times New Roman" w:cs="Times New Roman"/>
          <w:color w:val="auto"/>
          <w:lang w:val="zh-CN"/>
        </w:rPr>
        <w:t xml:space="preserve">6-2 </w:t>
      </w:r>
      <w:r>
        <w:rPr>
          <w:rFonts w:hint="eastAsia" w:ascii="Times New Roman" w:hAnsi="Times New Roman" w:cs="宋体"/>
          <w:color w:val="auto"/>
          <w:lang w:val="zh-CN"/>
        </w:rPr>
        <w:t>汽油设备与站外建（构）筑物的安全间距（</w:t>
      </w:r>
      <w:r>
        <w:rPr>
          <w:rFonts w:ascii="Times New Roman" w:hAnsi="Times New Roman" w:cs="Times New Roman"/>
          <w:color w:val="auto"/>
          <w:lang w:val="zh-CN"/>
        </w:rPr>
        <w:t>m</w:t>
      </w:r>
      <w:r>
        <w:rPr>
          <w:rFonts w:hint="eastAsia" w:ascii="Times New Roman" w:hAnsi="Times New Roman" w:cs="宋体"/>
          <w:color w:val="auto"/>
          <w:lang w:val="zh-CN"/>
        </w:rPr>
        <w:t>）</w:t>
      </w:r>
    </w:p>
    <w:tbl>
      <w:tblPr>
        <w:tblStyle w:val="20"/>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98"/>
        <w:gridCol w:w="1195"/>
        <w:gridCol w:w="709"/>
        <w:gridCol w:w="789"/>
        <w:gridCol w:w="909"/>
        <w:gridCol w:w="1075"/>
        <w:gridCol w:w="993"/>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Merge w:val="restart"/>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站外建（构）筑物</w:t>
            </w:r>
          </w:p>
        </w:tc>
        <w:tc>
          <w:tcPr>
            <w:tcW w:w="2693" w:type="dxa"/>
            <w:gridSpan w:val="3"/>
            <w:vAlign w:val="center"/>
          </w:tcPr>
          <w:p>
            <w:pPr>
              <w:jc w:val="center"/>
              <w:rPr>
                <w:rFonts w:ascii="Times New Roman" w:hAnsi="Times New Roman" w:cs="Times New Roman"/>
                <w:b/>
                <w:bCs/>
                <w:color w:val="auto"/>
                <w:sz w:val="18"/>
                <w:szCs w:val="18"/>
              </w:rPr>
            </w:pPr>
            <w:r>
              <w:rPr>
                <w:rFonts w:hint="eastAsia" w:ascii="Times New Roman" w:hAnsi="Times New Roman" w:cs="宋体"/>
                <w:color w:val="auto"/>
                <w:sz w:val="18"/>
                <w:szCs w:val="18"/>
              </w:rPr>
              <w:t>二级站</w:t>
            </w:r>
          </w:p>
        </w:tc>
        <w:tc>
          <w:tcPr>
            <w:tcW w:w="2977" w:type="dxa"/>
            <w:gridSpan w:val="3"/>
            <w:vMerge w:val="restart"/>
            <w:vAlign w:val="center"/>
          </w:tcPr>
          <w:p>
            <w:pPr>
              <w:widowControl/>
              <w:ind w:left="-95" w:leftChars="-50" w:hanging="10" w:hangingChars="6"/>
              <w:jc w:val="center"/>
              <w:rPr>
                <w:rFonts w:ascii="Times New Roman" w:hAnsi="Times New Roman" w:cs="Times New Roman"/>
                <w:color w:val="auto"/>
                <w:sz w:val="18"/>
                <w:szCs w:val="18"/>
              </w:rPr>
            </w:pPr>
            <w:r>
              <w:rPr>
                <w:rFonts w:hint="eastAsia" w:ascii="Times New Roman" w:hAnsi="Times New Roman" w:cs="宋体"/>
                <w:color w:val="auto"/>
                <w:sz w:val="18"/>
                <w:szCs w:val="18"/>
              </w:rPr>
              <w:t>现场情况</w:t>
            </w:r>
          </w:p>
        </w:tc>
        <w:tc>
          <w:tcPr>
            <w:tcW w:w="816" w:type="dxa"/>
            <w:vMerge w:val="restart"/>
            <w:vAlign w:val="center"/>
          </w:tcPr>
          <w:p>
            <w:pPr>
              <w:widowControl/>
              <w:jc w:val="center"/>
              <w:rPr>
                <w:rFonts w:ascii="Times New Roman" w:hAnsi="Times New Roman" w:cs="Times New Roman"/>
                <w:color w:val="auto"/>
                <w:sz w:val="18"/>
                <w:szCs w:val="18"/>
              </w:rPr>
            </w:pPr>
            <w:r>
              <w:rPr>
                <w:rFonts w:hint="eastAsia" w:ascii="Times New Roman" w:hAnsi="Times New Roman" w:cs="宋体"/>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Merge w:val="continue"/>
            <w:vAlign w:val="center"/>
          </w:tcPr>
          <w:p>
            <w:pPr>
              <w:jc w:val="center"/>
              <w:rPr>
                <w:rFonts w:ascii="Times New Roman" w:hAnsi="Times New Roman" w:cs="Times New Roman"/>
                <w:color w:val="auto"/>
                <w:sz w:val="18"/>
                <w:szCs w:val="18"/>
              </w:rPr>
            </w:pPr>
          </w:p>
        </w:tc>
        <w:tc>
          <w:tcPr>
            <w:tcW w:w="2693" w:type="dxa"/>
            <w:gridSpan w:val="3"/>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有卸油和加油油气</w:t>
            </w:r>
          </w:p>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回收系统</w:t>
            </w:r>
          </w:p>
        </w:tc>
        <w:tc>
          <w:tcPr>
            <w:tcW w:w="2977" w:type="dxa"/>
            <w:gridSpan w:val="3"/>
            <w:vMerge w:val="continue"/>
            <w:vAlign w:val="center"/>
          </w:tcPr>
          <w:p>
            <w:pPr>
              <w:widowControl/>
              <w:jc w:val="center"/>
              <w:rPr>
                <w:rFonts w:ascii="Times New Roman" w:hAnsi="Times New Roman" w:cs="Times New Roman"/>
                <w:color w:val="auto"/>
                <w:sz w:val="18"/>
                <w:szCs w:val="18"/>
              </w:rPr>
            </w:pPr>
          </w:p>
        </w:tc>
        <w:tc>
          <w:tcPr>
            <w:tcW w:w="816" w:type="dxa"/>
            <w:vMerge w:val="continue"/>
            <w:vAlign w:val="center"/>
          </w:tcPr>
          <w:p>
            <w:pPr>
              <w:widowControl/>
              <w:jc w:val="center"/>
              <w:rPr>
                <w:rFonts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Merge w:val="continue"/>
            <w:vAlign w:val="center"/>
          </w:tcPr>
          <w:p>
            <w:pPr>
              <w:jc w:val="center"/>
              <w:rPr>
                <w:rFonts w:ascii="Times New Roman" w:hAnsi="Times New Roman" w:cs="Times New Roman"/>
                <w:color w:val="auto"/>
                <w:sz w:val="18"/>
                <w:szCs w:val="18"/>
              </w:rPr>
            </w:pPr>
          </w:p>
        </w:tc>
        <w:tc>
          <w:tcPr>
            <w:tcW w:w="1195"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汽油</w:t>
            </w:r>
            <w:r>
              <w:rPr>
                <w:rFonts w:ascii="Times New Roman" w:hAnsi="Times New Roman" w:cs="Times New Roman"/>
                <w:b/>
                <w:bCs/>
                <w:color w:val="auto"/>
                <w:sz w:val="18"/>
                <w:szCs w:val="18"/>
              </w:rPr>
              <w:t>(</w:t>
            </w:r>
            <w:r>
              <w:rPr>
                <w:rFonts w:hint="eastAsia" w:ascii="Times New Roman" w:hAnsi="Times New Roman" w:cs="宋体"/>
                <w:b/>
                <w:bCs/>
                <w:color w:val="auto"/>
                <w:sz w:val="18"/>
                <w:szCs w:val="18"/>
              </w:rPr>
              <w:t>埋地油罐</w:t>
            </w:r>
            <w:r>
              <w:rPr>
                <w:rFonts w:ascii="Times New Roman" w:hAnsi="Times New Roman" w:cs="Times New Roman"/>
                <w:b/>
                <w:bCs/>
                <w:color w:val="auto"/>
                <w:sz w:val="18"/>
                <w:szCs w:val="18"/>
              </w:rPr>
              <w:t>)</w:t>
            </w:r>
          </w:p>
        </w:tc>
        <w:tc>
          <w:tcPr>
            <w:tcW w:w="709"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汽油</w:t>
            </w:r>
            <w:r>
              <w:rPr>
                <w:rFonts w:ascii="Times New Roman" w:hAnsi="Times New Roman" w:cs="Times New Roman"/>
                <w:b/>
                <w:bCs/>
                <w:color w:val="auto"/>
                <w:sz w:val="18"/>
                <w:szCs w:val="18"/>
              </w:rPr>
              <w:t>(</w:t>
            </w:r>
            <w:r>
              <w:rPr>
                <w:rFonts w:hint="eastAsia" w:ascii="Times New Roman" w:hAnsi="Times New Roman" w:cs="宋体"/>
                <w:b/>
                <w:bCs/>
                <w:color w:val="auto"/>
                <w:sz w:val="18"/>
                <w:szCs w:val="18"/>
              </w:rPr>
              <w:t>通气管口</w:t>
            </w:r>
            <w:r>
              <w:rPr>
                <w:rFonts w:ascii="Times New Roman" w:hAnsi="Times New Roman" w:cs="Times New Roman"/>
                <w:b/>
                <w:bCs/>
                <w:color w:val="auto"/>
                <w:sz w:val="18"/>
                <w:szCs w:val="18"/>
              </w:rPr>
              <w:t>)</w:t>
            </w:r>
          </w:p>
        </w:tc>
        <w:tc>
          <w:tcPr>
            <w:tcW w:w="789"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汽油加油机</w:t>
            </w:r>
          </w:p>
        </w:tc>
        <w:tc>
          <w:tcPr>
            <w:tcW w:w="909"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汽油</w:t>
            </w:r>
            <w:r>
              <w:rPr>
                <w:rFonts w:ascii="Times New Roman" w:hAnsi="Times New Roman" w:cs="Times New Roman"/>
                <w:b/>
                <w:bCs/>
                <w:color w:val="auto"/>
                <w:sz w:val="18"/>
                <w:szCs w:val="18"/>
              </w:rPr>
              <w:t>(</w:t>
            </w:r>
            <w:r>
              <w:rPr>
                <w:rFonts w:hint="eastAsia" w:ascii="Times New Roman" w:hAnsi="Times New Roman" w:cs="宋体"/>
                <w:b/>
                <w:bCs/>
                <w:color w:val="auto"/>
                <w:sz w:val="18"/>
                <w:szCs w:val="18"/>
              </w:rPr>
              <w:t>埋地油罐</w:t>
            </w:r>
            <w:r>
              <w:rPr>
                <w:rFonts w:ascii="Times New Roman" w:hAnsi="Times New Roman" w:cs="Times New Roman"/>
                <w:b/>
                <w:bCs/>
                <w:color w:val="auto"/>
                <w:sz w:val="18"/>
                <w:szCs w:val="18"/>
              </w:rPr>
              <w:t>)</w:t>
            </w:r>
          </w:p>
        </w:tc>
        <w:tc>
          <w:tcPr>
            <w:tcW w:w="1075"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汽油</w:t>
            </w:r>
            <w:r>
              <w:rPr>
                <w:rFonts w:ascii="Times New Roman" w:hAnsi="Times New Roman" w:cs="Times New Roman"/>
                <w:b/>
                <w:bCs/>
                <w:color w:val="auto"/>
                <w:sz w:val="18"/>
                <w:szCs w:val="18"/>
              </w:rPr>
              <w:t>(</w:t>
            </w:r>
            <w:r>
              <w:rPr>
                <w:rFonts w:hint="eastAsia" w:ascii="Times New Roman" w:hAnsi="Times New Roman" w:cs="宋体"/>
                <w:b/>
                <w:bCs/>
                <w:color w:val="auto"/>
                <w:sz w:val="18"/>
                <w:szCs w:val="18"/>
              </w:rPr>
              <w:t>通气管口</w:t>
            </w:r>
            <w:r>
              <w:rPr>
                <w:rFonts w:ascii="Times New Roman" w:hAnsi="Times New Roman" w:cs="Times New Roman"/>
                <w:b/>
                <w:bCs/>
                <w:color w:val="auto"/>
                <w:sz w:val="18"/>
                <w:szCs w:val="18"/>
              </w:rPr>
              <w:t>)</w:t>
            </w:r>
          </w:p>
        </w:tc>
        <w:tc>
          <w:tcPr>
            <w:tcW w:w="993"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汽油加油机</w:t>
            </w:r>
          </w:p>
        </w:tc>
        <w:tc>
          <w:tcPr>
            <w:tcW w:w="816" w:type="dxa"/>
            <w:vMerge w:val="continue"/>
            <w:vAlign w:val="center"/>
          </w:tcPr>
          <w:p>
            <w:pPr>
              <w:jc w:val="center"/>
              <w:rPr>
                <w:rFonts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重要公共建筑物</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35</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35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35</w:t>
            </w:r>
          </w:p>
        </w:tc>
        <w:tc>
          <w:tcPr>
            <w:tcW w:w="909"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1075"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明火地点或散发火花地点</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17.5</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909"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1075"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民用建筑物保护类别</w:t>
            </w:r>
          </w:p>
        </w:tc>
        <w:tc>
          <w:tcPr>
            <w:tcW w:w="1498"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一类保护物</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14</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11</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11</w:t>
            </w:r>
          </w:p>
        </w:tc>
        <w:tc>
          <w:tcPr>
            <w:tcW w:w="909"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1075"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jc w:val="center"/>
              <w:rPr>
                <w:rFonts w:ascii="Times New Roman" w:hAnsi="Times New Roman" w:cs="Times New Roman"/>
                <w:color w:val="auto"/>
                <w:sz w:val="18"/>
                <w:szCs w:val="18"/>
              </w:rPr>
            </w:pPr>
          </w:p>
        </w:tc>
        <w:tc>
          <w:tcPr>
            <w:tcW w:w="1498"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二类保护物</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11</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8.5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8.5</w:t>
            </w:r>
          </w:p>
        </w:tc>
        <w:tc>
          <w:tcPr>
            <w:tcW w:w="909"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1075"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jc w:val="center"/>
              <w:rPr>
                <w:rFonts w:ascii="Times New Roman" w:hAnsi="Times New Roman" w:cs="Times New Roman"/>
                <w:color w:val="auto"/>
                <w:sz w:val="18"/>
                <w:szCs w:val="18"/>
              </w:rPr>
            </w:pPr>
          </w:p>
        </w:tc>
        <w:tc>
          <w:tcPr>
            <w:tcW w:w="1498"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三类保护物</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8.5</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7</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7</w:t>
            </w:r>
          </w:p>
        </w:tc>
        <w:tc>
          <w:tcPr>
            <w:tcW w:w="909" w:type="dxa"/>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50.5</w:t>
            </w:r>
          </w:p>
        </w:tc>
        <w:tc>
          <w:tcPr>
            <w:tcW w:w="1075" w:type="dxa"/>
          </w:tcPr>
          <w:p>
            <w:pPr>
              <w:widowControl/>
              <w:jc w:val="center"/>
              <w:rPr>
                <w:rFonts w:hint="default" w:eastAsia="宋体"/>
                <w:color w:val="auto"/>
                <w:lang w:val="en-US" w:eastAsia="zh-CN"/>
              </w:rPr>
            </w:pPr>
            <w:r>
              <w:rPr>
                <w:rFonts w:hint="eastAsia"/>
                <w:color w:val="auto"/>
                <w:lang w:val="en-US" w:eastAsia="zh-CN"/>
              </w:rPr>
              <w:t>20</w:t>
            </w:r>
          </w:p>
        </w:tc>
        <w:tc>
          <w:tcPr>
            <w:tcW w:w="993" w:type="dxa"/>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45.5</w:t>
            </w:r>
          </w:p>
        </w:tc>
        <w:tc>
          <w:tcPr>
            <w:tcW w:w="816" w:type="dxa"/>
            <w:vAlign w:val="center"/>
          </w:tcPr>
          <w:p>
            <w:pPr>
              <w:widowControl/>
              <w:jc w:val="center"/>
              <w:rPr>
                <w:rFonts w:ascii="Times New Roman" w:hAnsi="Times New Roman" w:cs="Times New Roman"/>
                <w:color w:val="auto"/>
                <w:sz w:val="18"/>
                <w:szCs w:val="18"/>
              </w:rPr>
            </w:pPr>
            <w:r>
              <w:rPr>
                <w:rFonts w:hint="eastAsia" w:ascii="Times New Roman" w:hAnsi="Times New Roman" w:cs="宋体"/>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甲、乙类物品生产厂房、库房和甲、乙类液体储罐</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15.5</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909"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1075"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595" w:type="dxa"/>
            <w:gridSpan w:val="2"/>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丙、丁、戊类物品生产厂房、库房和丙类液体储罐以及单罐容积不大于</w:t>
            </w:r>
            <w:r>
              <w:rPr>
                <w:rFonts w:ascii="Times New Roman" w:hAnsi="Times New Roman" w:cs="Times New Roman"/>
                <w:color w:val="auto"/>
                <w:sz w:val="18"/>
                <w:szCs w:val="18"/>
              </w:rPr>
              <w:t>50m³</w:t>
            </w:r>
            <w:r>
              <w:rPr>
                <w:rFonts w:hint="eastAsia" w:ascii="Times New Roman" w:hAnsi="Times New Roman" w:cs="宋体"/>
                <w:color w:val="auto"/>
                <w:sz w:val="18"/>
                <w:szCs w:val="18"/>
              </w:rPr>
              <w:t>的埋地甲、乙类液体储罐</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11</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10.5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10.5</w:t>
            </w:r>
          </w:p>
        </w:tc>
        <w:tc>
          <w:tcPr>
            <w:tcW w:w="909"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1075"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室外变配电站</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15.5</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909"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1075"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铁路、地上城市轨道线路</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15.5</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15.5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15.5</w:t>
            </w:r>
          </w:p>
        </w:tc>
        <w:tc>
          <w:tcPr>
            <w:tcW w:w="909"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1075"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城市快速路、主干路和高速公路、一级公路、二级公路</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5.5</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909"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40.5</w:t>
            </w:r>
          </w:p>
        </w:tc>
        <w:tc>
          <w:tcPr>
            <w:tcW w:w="1075"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42</w:t>
            </w:r>
          </w:p>
        </w:tc>
        <w:tc>
          <w:tcPr>
            <w:tcW w:w="993"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35.8</w:t>
            </w:r>
          </w:p>
        </w:tc>
        <w:tc>
          <w:tcPr>
            <w:tcW w:w="816"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城市次干路、支路和三级公路、四级公路</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909" w:type="dxa"/>
            <w:vAlign w:val="center"/>
          </w:tcPr>
          <w:p>
            <w:pPr>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25.4</w:t>
            </w:r>
          </w:p>
        </w:tc>
        <w:tc>
          <w:tcPr>
            <w:tcW w:w="1075" w:type="dxa"/>
            <w:vAlign w:val="center"/>
          </w:tcPr>
          <w:p>
            <w:pPr>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69.2</w:t>
            </w:r>
          </w:p>
        </w:tc>
        <w:tc>
          <w:tcPr>
            <w:tcW w:w="993" w:type="dxa"/>
            <w:vAlign w:val="center"/>
          </w:tcPr>
          <w:p>
            <w:pPr>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22.8</w:t>
            </w:r>
          </w:p>
        </w:tc>
        <w:tc>
          <w:tcPr>
            <w:tcW w:w="816" w:type="dxa"/>
            <w:vAlign w:val="center"/>
          </w:tcPr>
          <w:p>
            <w:pPr>
              <w:widowControl/>
              <w:jc w:val="center"/>
              <w:rPr>
                <w:rFonts w:ascii="Times New Roman" w:hAnsi="Times New Roman" w:cs="Times New Roman"/>
                <w:color w:val="auto"/>
                <w:sz w:val="18"/>
                <w:szCs w:val="18"/>
              </w:rPr>
            </w:pPr>
            <w:r>
              <w:rPr>
                <w:rFonts w:hint="eastAsia" w:ascii="Times New Roman" w:hAnsi="Times New Roman" w:cs="宋体"/>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架空通信线路</w:t>
            </w:r>
          </w:p>
        </w:tc>
        <w:tc>
          <w:tcPr>
            <w:tcW w:w="2693" w:type="dxa"/>
            <w:gridSpan w:val="3"/>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909"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25.5</w:t>
            </w:r>
          </w:p>
        </w:tc>
        <w:tc>
          <w:tcPr>
            <w:tcW w:w="1075"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65.5</w:t>
            </w:r>
          </w:p>
        </w:tc>
        <w:tc>
          <w:tcPr>
            <w:tcW w:w="993"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23.0</w:t>
            </w:r>
          </w:p>
        </w:tc>
        <w:tc>
          <w:tcPr>
            <w:tcW w:w="816"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097" w:type="dxa"/>
            <w:vMerge w:val="restart"/>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架空电力线路</w:t>
            </w:r>
          </w:p>
        </w:tc>
        <w:tc>
          <w:tcPr>
            <w:tcW w:w="1498"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无绝缘层</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1.0</w:t>
            </w:r>
            <w:r>
              <w:rPr>
                <w:rFonts w:ascii="Times New Roman" w:hAnsi="Times New Roman" w:cs="Times New Roman"/>
                <w:i/>
                <w:iCs/>
                <w:color w:val="auto"/>
                <w:sz w:val="18"/>
                <w:szCs w:val="18"/>
              </w:rPr>
              <w:t>H</w:t>
            </w:r>
            <w:r>
              <w:rPr>
                <w:rFonts w:hint="eastAsia" w:ascii="Times New Roman" w:hAnsi="Times New Roman" w:cs="宋体"/>
                <w:color w:val="auto"/>
                <w:sz w:val="18"/>
                <w:szCs w:val="18"/>
              </w:rPr>
              <w:t>，且≥</w:t>
            </w:r>
            <w:r>
              <w:rPr>
                <w:rFonts w:ascii="Times New Roman" w:hAnsi="Times New Roman" w:cs="Times New Roman"/>
                <w:color w:val="auto"/>
                <w:sz w:val="18"/>
                <w:szCs w:val="18"/>
              </w:rPr>
              <w:t>6.5m</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6.5</w:t>
            </w:r>
          </w:p>
        </w:tc>
        <w:tc>
          <w:tcPr>
            <w:tcW w:w="909"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w:t>
            </w:r>
          </w:p>
        </w:tc>
        <w:tc>
          <w:tcPr>
            <w:tcW w:w="1075"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hint="eastAsia" w:ascii="Times New Roman" w:hAnsi="Times New Roman" w:cs="宋体"/>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097" w:type="dxa"/>
            <w:vMerge w:val="continue"/>
            <w:vAlign w:val="center"/>
          </w:tcPr>
          <w:p>
            <w:pPr>
              <w:jc w:val="center"/>
              <w:rPr>
                <w:rFonts w:ascii="Times New Roman" w:hAnsi="Times New Roman" w:cs="Times New Roman"/>
                <w:color w:val="auto"/>
                <w:sz w:val="18"/>
                <w:szCs w:val="18"/>
              </w:rPr>
            </w:pPr>
          </w:p>
        </w:tc>
        <w:tc>
          <w:tcPr>
            <w:tcW w:w="1498"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有绝缘层</w:t>
            </w:r>
          </w:p>
        </w:tc>
        <w:tc>
          <w:tcPr>
            <w:tcW w:w="1195"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0.75</w:t>
            </w:r>
            <w:r>
              <w:rPr>
                <w:rFonts w:ascii="Times New Roman" w:hAnsi="Times New Roman" w:cs="Times New Roman"/>
                <w:i/>
                <w:iCs/>
                <w:color w:val="auto"/>
                <w:sz w:val="18"/>
                <w:szCs w:val="18"/>
              </w:rPr>
              <w:t>H</w:t>
            </w:r>
            <w:r>
              <w:rPr>
                <w:rFonts w:hint="eastAsia" w:ascii="Times New Roman" w:hAnsi="Times New Roman" w:cs="宋体"/>
                <w:color w:val="auto"/>
                <w:sz w:val="18"/>
                <w:szCs w:val="18"/>
              </w:rPr>
              <w:t>，且≥</w:t>
            </w:r>
            <w:r>
              <w:rPr>
                <w:rFonts w:ascii="Times New Roman" w:hAnsi="Times New Roman" w:cs="Times New Roman"/>
                <w:color w:val="auto"/>
                <w:sz w:val="18"/>
                <w:szCs w:val="18"/>
              </w:rPr>
              <w:t>5m</w:t>
            </w:r>
          </w:p>
        </w:tc>
        <w:tc>
          <w:tcPr>
            <w:tcW w:w="70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789"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909"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27.2</w:t>
            </w:r>
          </w:p>
        </w:tc>
        <w:tc>
          <w:tcPr>
            <w:tcW w:w="1075"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67.4</w:t>
            </w:r>
          </w:p>
        </w:tc>
        <w:tc>
          <w:tcPr>
            <w:tcW w:w="993"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71.0</w:t>
            </w:r>
          </w:p>
        </w:tc>
        <w:tc>
          <w:tcPr>
            <w:tcW w:w="816"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符合</w:t>
            </w:r>
          </w:p>
        </w:tc>
      </w:tr>
    </w:tbl>
    <w:p>
      <w:pPr>
        <w:jc w:val="center"/>
        <w:rPr>
          <w:rFonts w:hint="eastAsia" w:ascii="Times New Roman" w:hAnsi="Times New Roman" w:cs="宋体"/>
          <w:color w:val="auto"/>
          <w:lang w:val="zh-CN"/>
        </w:rPr>
      </w:pPr>
    </w:p>
    <w:p>
      <w:pPr>
        <w:jc w:val="center"/>
        <w:rPr>
          <w:rFonts w:ascii="Times New Roman" w:hAnsi="Times New Roman" w:cs="Times New Roman"/>
          <w:b/>
          <w:bCs/>
          <w:color w:val="auto"/>
          <w:lang w:val="zh-CN"/>
        </w:rPr>
      </w:pPr>
      <w:r>
        <w:rPr>
          <w:rFonts w:hint="eastAsia" w:ascii="Times New Roman" w:hAnsi="Times New Roman" w:cs="宋体"/>
          <w:b/>
          <w:bCs/>
          <w:color w:val="auto"/>
          <w:lang w:val="zh-CN"/>
        </w:rPr>
        <w:t>表</w:t>
      </w:r>
      <w:r>
        <w:rPr>
          <w:rFonts w:ascii="Times New Roman" w:hAnsi="Times New Roman" w:cs="Times New Roman"/>
          <w:b/>
          <w:bCs/>
          <w:color w:val="auto"/>
          <w:lang w:val="zh-CN"/>
        </w:rPr>
        <w:t xml:space="preserve">6-3 </w:t>
      </w:r>
      <w:r>
        <w:rPr>
          <w:rFonts w:hint="eastAsia" w:ascii="Times New Roman" w:hAnsi="Times New Roman" w:cs="宋体"/>
          <w:b/>
          <w:bCs/>
          <w:color w:val="auto"/>
          <w:lang w:val="zh-CN"/>
        </w:rPr>
        <w:t>柴油设备与站外建（构）筑物的安全间距（</w:t>
      </w:r>
      <w:r>
        <w:rPr>
          <w:rFonts w:ascii="Times New Roman" w:hAnsi="Times New Roman" w:cs="Times New Roman"/>
          <w:b/>
          <w:bCs/>
          <w:color w:val="auto"/>
          <w:lang w:val="zh-CN"/>
        </w:rPr>
        <w:t>m</w:t>
      </w:r>
      <w:r>
        <w:rPr>
          <w:rFonts w:hint="eastAsia" w:ascii="Times New Roman" w:hAnsi="Times New Roman" w:cs="宋体"/>
          <w:b/>
          <w:bCs/>
          <w:color w:val="auto"/>
          <w:lang w:val="zh-CN"/>
        </w:rPr>
        <w:t>）</w:t>
      </w:r>
    </w:p>
    <w:tbl>
      <w:tblPr>
        <w:tblStyle w:val="20"/>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1401"/>
        <w:gridCol w:w="992"/>
        <w:gridCol w:w="850"/>
        <w:gridCol w:w="851"/>
        <w:gridCol w:w="992"/>
        <w:gridCol w:w="992"/>
        <w:gridCol w:w="993"/>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595" w:type="dxa"/>
            <w:gridSpan w:val="2"/>
            <w:vMerge w:val="restart"/>
            <w:vAlign w:val="center"/>
          </w:tcPr>
          <w:p>
            <w:pPr>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站外建（构）筑物</w:t>
            </w:r>
          </w:p>
        </w:tc>
        <w:tc>
          <w:tcPr>
            <w:tcW w:w="2693" w:type="dxa"/>
            <w:gridSpan w:val="3"/>
            <w:vAlign w:val="center"/>
          </w:tcPr>
          <w:p>
            <w:pPr>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二级站规范要求</w:t>
            </w:r>
          </w:p>
        </w:tc>
        <w:tc>
          <w:tcPr>
            <w:tcW w:w="2977" w:type="dxa"/>
            <w:gridSpan w:val="3"/>
            <w:vAlign w:val="center"/>
          </w:tcPr>
          <w:p>
            <w:pPr>
              <w:widowControl/>
              <w:ind w:left="-94" w:leftChars="-50" w:hanging="11" w:hangingChars="6"/>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现场情况</w:t>
            </w:r>
          </w:p>
        </w:tc>
        <w:tc>
          <w:tcPr>
            <w:tcW w:w="816" w:type="dxa"/>
            <w:vMerge w:val="restart"/>
            <w:vAlign w:val="center"/>
          </w:tcPr>
          <w:p>
            <w:pPr>
              <w:widowControl/>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Merge w:val="continue"/>
            <w:vAlign w:val="center"/>
          </w:tcPr>
          <w:p>
            <w:pPr>
              <w:jc w:val="center"/>
              <w:rPr>
                <w:rFonts w:ascii="Times New Roman" w:hAnsi="Times New Roman" w:cs="Times New Roman"/>
                <w:color w:val="auto"/>
                <w:sz w:val="18"/>
                <w:szCs w:val="18"/>
              </w:rPr>
            </w:pPr>
          </w:p>
        </w:tc>
        <w:tc>
          <w:tcPr>
            <w:tcW w:w="992"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柴油</w:t>
            </w:r>
            <w:r>
              <w:rPr>
                <w:rFonts w:ascii="Times New Roman" w:hAnsi="Times New Roman" w:cs="Times New Roman"/>
                <w:b/>
                <w:bCs/>
                <w:color w:val="auto"/>
                <w:sz w:val="18"/>
                <w:szCs w:val="18"/>
              </w:rPr>
              <w:t>(</w:t>
            </w:r>
            <w:r>
              <w:rPr>
                <w:rFonts w:hint="eastAsia" w:ascii="Times New Roman" w:hAnsi="Times New Roman" w:cs="宋体"/>
                <w:b/>
                <w:bCs/>
                <w:color w:val="auto"/>
                <w:sz w:val="18"/>
                <w:szCs w:val="18"/>
              </w:rPr>
              <w:t>埋地油罐</w:t>
            </w:r>
            <w:r>
              <w:rPr>
                <w:rFonts w:ascii="Times New Roman" w:hAnsi="Times New Roman" w:cs="Times New Roman"/>
                <w:b/>
                <w:bCs/>
                <w:color w:val="auto"/>
                <w:sz w:val="18"/>
                <w:szCs w:val="18"/>
              </w:rPr>
              <w:t>)</w:t>
            </w:r>
          </w:p>
        </w:tc>
        <w:tc>
          <w:tcPr>
            <w:tcW w:w="850"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柴油</w:t>
            </w:r>
            <w:r>
              <w:rPr>
                <w:rFonts w:ascii="Times New Roman" w:hAnsi="Times New Roman" w:cs="Times New Roman"/>
                <w:b/>
                <w:bCs/>
                <w:color w:val="auto"/>
                <w:sz w:val="18"/>
                <w:szCs w:val="18"/>
              </w:rPr>
              <w:t>(</w:t>
            </w:r>
            <w:r>
              <w:rPr>
                <w:rFonts w:hint="eastAsia" w:ascii="Times New Roman" w:hAnsi="Times New Roman" w:cs="宋体"/>
                <w:b/>
                <w:bCs/>
                <w:color w:val="auto"/>
                <w:sz w:val="18"/>
                <w:szCs w:val="18"/>
              </w:rPr>
              <w:t>通气管口</w:t>
            </w:r>
            <w:r>
              <w:rPr>
                <w:rFonts w:ascii="Times New Roman" w:hAnsi="Times New Roman" w:cs="Times New Roman"/>
                <w:b/>
                <w:bCs/>
                <w:color w:val="auto"/>
                <w:sz w:val="18"/>
                <w:szCs w:val="18"/>
              </w:rPr>
              <w:t>)</w:t>
            </w:r>
          </w:p>
        </w:tc>
        <w:tc>
          <w:tcPr>
            <w:tcW w:w="851"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柴油加油机</w:t>
            </w:r>
          </w:p>
        </w:tc>
        <w:tc>
          <w:tcPr>
            <w:tcW w:w="992"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柴油</w:t>
            </w:r>
            <w:r>
              <w:rPr>
                <w:rFonts w:ascii="Times New Roman" w:hAnsi="Times New Roman" w:cs="Times New Roman"/>
                <w:b/>
                <w:bCs/>
                <w:color w:val="auto"/>
                <w:sz w:val="18"/>
                <w:szCs w:val="18"/>
              </w:rPr>
              <w:t>(</w:t>
            </w:r>
            <w:r>
              <w:rPr>
                <w:rFonts w:hint="eastAsia" w:ascii="Times New Roman" w:hAnsi="Times New Roman" w:cs="宋体"/>
                <w:b/>
                <w:bCs/>
                <w:color w:val="auto"/>
                <w:sz w:val="18"/>
                <w:szCs w:val="18"/>
              </w:rPr>
              <w:t>埋地油罐</w:t>
            </w:r>
            <w:r>
              <w:rPr>
                <w:rFonts w:ascii="Times New Roman" w:hAnsi="Times New Roman" w:cs="Times New Roman"/>
                <w:b/>
                <w:bCs/>
                <w:color w:val="auto"/>
                <w:sz w:val="18"/>
                <w:szCs w:val="18"/>
              </w:rPr>
              <w:t>)</w:t>
            </w:r>
          </w:p>
        </w:tc>
        <w:tc>
          <w:tcPr>
            <w:tcW w:w="992"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柴油</w:t>
            </w:r>
            <w:r>
              <w:rPr>
                <w:rFonts w:ascii="Times New Roman" w:hAnsi="Times New Roman" w:cs="Times New Roman"/>
                <w:b/>
                <w:bCs/>
                <w:color w:val="auto"/>
                <w:sz w:val="18"/>
                <w:szCs w:val="18"/>
              </w:rPr>
              <w:t>(</w:t>
            </w:r>
            <w:r>
              <w:rPr>
                <w:rFonts w:hint="eastAsia" w:ascii="Times New Roman" w:hAnsi="Times New Roman" w:cs="宋体"/>
                <w:b/>
                <w:bCs/>
                <w:color w:val="auto"/>
                <w:sz w:val="18"/>
                <w:szCs w:val="18"/>
              </w:rPr>
              <w:t>通气管口</w:t>
            </w:r>
            <w:r>
              <w:rPr>
                <w:rFonts w:ascii="Times New Roman" w:hAnsi="Times New Roman" w:cs="Times New Roman"/>
                <w:b/>
                <w:bCs/>
                <w:color w:val="auto"/>
                <w:sz w:val="18"/>
                <w:szCs w:val="18"/>
              </w:rPr>
              <w:t>)</w:t>
            </w:r>
          </w:p>
        </w:tc>
        <w:tc>
          <w:tcPr>
            <w:tcW w:w="993" w:type="dxa"/>
            <w:vAlign w:val="center"/>
          </w:tcPr>
          <w:p>
            <w:pPr>
              <w:jc w:val="center"/>
              <w:rPr>
                <w:rFonts w:ascii="Times New Roman" w:hAnsi="Times New Roman" w:cs="Times New Roman"/>
                <w:color w:val="auto"/>
                <w:sz w:val="18"/>
                <w:szCs w:val="18"/>
              </w:rPr>
            </w:pPr>
            <w:r>
              <w:rPr>
                <w:rFonts w:hint="eastAsia" w:ascii="Times New Roman" w:hAnsi="Times New Roman" w:cs="宋体"/>
                <w:b/>
                <w:bCs/>
                <w:color w:val="auto"/>
                <w:sz w:val="18"/>
                <w:szCs w:val="18"/>
              </w:rPr>
              <w:t>柴油加油机</w:t>
            </w:r>
          </w:p>
        </w:tc>
        <w:tc>
          <w:tcPr>
            <w:tcW w:w="816" w:type="dxa"/>
            <w:vMerge w:val="continue"/>
            <w:vAlign w:val="center"/>
          </w:tcPr>
          <w:p>
            <w:pPr>
              <w:jc w:val="center"/>
              <w:rPr>
                <w:rFonts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重要公共建筑物</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25</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25</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25</w:t>
            </w:r>
          </w:p>
        </w:tc>
        <w:tc>
          <w:tcPr>
            <w:tcW w:w="992" w:type="dxa"/>
            <w:vAlign w:val="center"/>
          </w:tcPr>
          <w:p>
            <w:pPr>
              <w:widowControl/>
              <w:jc w:val="center"/>
              <w:rPr>
                <w:rFonts w:ascii="Times New Roman" w:hAnsi="Times New Roman" w:cs="Times New Roman"/>
                <w:b/>
                <w:bCs/>
                <w:color w:val="auto"/>
                <w:sz w:val="18"/>
                <w:szCs w:val="18"/>
              </w:rPr>
            </w:pPr>
            <w:r>
              <w:rPr>
                <w:rFonts w:ascii="Times New Roman" w:hAnsi="Times New Roman" w:cs="Times New Roman"/>
                <w:color w:val="auto"/>
                <w:sz w:val="18"/>
                <w:szCs w:val="18"/>
              </w:rPr>
              <w:t>/</w:t>
            </w:r>
          </w:p>
        </w:tc>
        <w:tc>
          <w:tcPr>
            <w:tcW w:w="992" w:type="dxa"/>
            <w:vAlign w:val="center"/>
          </w:tcPr>
          <w:p>
            <w:pPr>
              <w:widowControl/>
              <w:jc w:val="center"/>
              <w:rPr>
                <w:rFonts w:ascii="Times New Roman" w:hAnsi="Times New Roman" w:cs="Times New Roman"/>
                <w:b/>
                <w:bCs/>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b/>
                <w:bCs/>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明火地点或散发火花地点</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10</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10</w:t>
            </w:r>
          </w:p>
        </w:tc>
        <w:tc>
          <w:tcPr>
            <w:tcW w:w="992" w:type="dxa"/>
            <w:vAlign w:val="center"/>
          </w:tcPr>
          <w:p>
            <w:pPr>
              <w:widowControl/>
              <w:jc w:val="center"/>
              <w:rPr>
                <w:rFonts w:ascii="Times New Roman" w:hAnsi="Times New Roman" w:cs="Times New Roman"/>
                <w:b/>
                <w:bCs/>
                <w:color w:val="auto"/>
                <w:sz w:val="18"/>
                <w:szCs w:val="18"/>
              </w:rPr>
            </w:pPr>
            <w:r>
              <w:rPr>
                <w:rFonts w:ascii="Times New Roman" w:hAnsi="Times New Roman" w:cs="Times New Roman"/>
                <w:color w:val="auto"/>
                <w:sz w:val="18"/>
                <w:szCs w:val="18"/>
              </w:rPr>
              <w:t>/</w:t>
            </w:r>
          </w:p>
        </w:tc>
        <w:tc>
          <w:tcPr>
            <w:tcW w:w="992" w:type="dxa"/>
            <w:vAlign w:val="center"/>
          </w:tcPr>
          <w:p>
            <w:pPr>
              <w:widowControl/>
              <w:jc w:val="center"/>
              <w:rPr>
                <w:rFonts w:ascii="Times New Roman" w:hAnsi="Times New Roman" w:cs="Times New Roman"/>
                <w:b/>
                <w:bCs/>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b/>
                <w:bCs/>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194" w:type="dxa"/>
            <w:vMerge w:val="restart"/>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民用建筑物保护类别</w:t>
            </w:r>
          </w:p>
        </w:tc>
        <w:tc>
          <w:tcPr>
            <w:tcW w:w="1401"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一类保护物</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194" w:type="dxa"/>
            <w:vMerge w:val="continue"/>
            <w:vAlign w:val="center"/>
          </w:tcPr>
          <w:p>
            <w:pPr>
              <w:jc w:val="center"/>
              <w:rPr>
                <w:rFonts w:ascii="Times New Roman" w:hAnsi="Times New Roman" w:cs="Times New Roman"/>
                <w:color w:val="auto"/>
                <w:sz w:val="18"/>
                <w:szCs w:val="18"/>
              </w:rPr>
            </w:pPr>
          </w:p>
        </w:tc>
        <w:tc>
          <w:tcPr>
            <w:tcW w:w="1401"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二类保护物</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vMerge w:val="continue"/>
            <w:vAlign w:val="center"/>
          </w:tcPr>
          <w:p>
            <w:pPr>
              <w:jc w:val="center"/>
              <w:rPr>
                <w:rFonts w:ascii="Times New Roman" w:hAnsi="Times New Roman" w:cs="Times New Roman"/>
                <w:color w:val="auto"/>
                <w:sz w:val="18"/>
                <w:szCs w:val="18"/>
              </w:rPr>
            </w:pPr>
          </w:p>
        </w:tc>
        <w:tc>
          <w:tcPr>
            <w:tcW w:w="1401"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三类保护物</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w:t>
            </w:r>
          </w:p>
        </w:tc>
        <w:tc>
          <w:tcPr>
            <w:tcW w:w="992" w:type="dxa"/>
            <w:vAlign w:val="center"/>
          </w:tcPr>
          <w:p>
            <w:pPr>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53.3</w:t>
            </w:r>
          </w:p>
        </w:tc>
        <w:tc>
          <w:tcPr>
            <w:tcW w:w="992" w:type="dxa"/>
            <w:vAlign w:val="center"/>
          </w:tcPr>
          <w:p>
            <w:pPr>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20</w:t>
            </w:r>
          </w:p>
        </w:tc>
        <w:tc>
          <w:tcPr>
            <w:tcW w:w="993" w:type="dxa"/>
            <w:vAlign w:val="center"/>
          </w:tcPr>
          <w:p>
            <w:pPr>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45.5</w:t>
            </w:r>
          </w:p>
        </w:tc>
        <w:tc>
          <w:tcPr>
            <w:tcW w:w="816"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甲、乙类物品生产厂房、库房和甲、乙类液体储罐</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11</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9</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9</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spacing w:line="240" w:lineRule="exact"/>
              <w:jc w:val="center"/>
              <w:rPr>
                <w:rFonts w:ascii="Times New Roman" w:hAnsi="Times New Roman" w:cs="Times New Roman"/>
                <w:color w:val="auto"/>
              </w:rPr>
            </w:pPr>
            <w:r>
              <w:rPr>
                <w:rFonts w:hint="eastAsia" w:ascii="Times New Roman" w:hAnsi="Times New Roman" w:cs="宋体"/>
                <w:color w:val="auto"/>
                <w:sz w:val="18"/>
                <w:szCs w:val="18"/>
              </w:rPr>
              <w:t>丙、丁、戊类物品生产厂房、库房和丙类液体储罐以及单罐容积不大于</w:t>
            </w:r>
            <w:r>
              <w:rPr>
                <w:rFonts w:ascii="Times New Roman" w:hAnsi="Times New Roman" w:cs="Times New Roman"/>
                <w:color w:val="auto"/>
                <w:sz w:val="18"/>
                <w:szCs w:val="18"/>
              </w:rPr>
              <w:t>50m³</w:t>
            </w:r>
            <w:r>
              <w:rPr>
                <w:rFonts w:hint="eastAsia" w:ascii="Times New Roman" w:hAnsi="Times New Roman" w:cs="宋体"/>
                <w:color w:val="auto"/>
                <w:sz w:val="18"/>
                <w:szCs w:val="18"/>
              </w:rPr>
              <w:t>的埋地甲、乙类液体储罐</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9</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9</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9</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595" w:type="dxa"/>
            <w:gridSpan w:val="2"/>
            <w:vAlign w:val="center"/>
          </w:tcPr>
          <w:p>
            <w:pPr>
              <w:jc w:val="center"/>
              <w:rPr>
                <w:rFonts w:ascii="Times New Roman" w:hAnsi="Times New Roman" w:cs="Times New Roman"/>
                <w:color w:val="auto"/>
                <w:sz w:val="18"/>
                <w:szCs w:val="18"/>
              </w:rPr>
            </w:pPr>
            <w:r>
              <w:rPr>
                <w:rFonts w:ascii="Times New Roman" w:hAnsi="Times New Roman" w:cs="Times New Roman"/>
                <w:color w:val="auto"/>
              </w:rPr>
              <w:br w:type="page"/>
            </w:r>
            <w:r>
              <w:rPr>
                <w:rFonts w:hint="eastAsia" w:ascii="Times New Roman" w:hAnsi="Times New Roman" w:cs="宋体"/>
                <w:color w:val="auto"/>
                <w:sz w:val="18"/>
                <w:szCs w:val="18"/>
              </w:rPr>
              <w:t>室外变配电站</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12.5</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铁路、地上城市轨道线路</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15</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15</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15</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2"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993"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城市快速路、主干路和高速公路、一级公路、二级公路</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3</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3</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3</w:t>
            </w:r>
          </w:p>
        </w:tc>
        <w:tc>
          <w:tcPr>
            <w:tcW w:w="992"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38.3</w:t>
            </w:r>
          </w:p>
        </w:tc>
        <w:tc>
          <w:tcPr>
            <w:tcW w:w="992"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42</w:t>
            </w:r>
          </w:p>
        </w:tc>
        <w:tc>
          <w:tcPr>
            <w:tcW w:w="993"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35.8</w:t>
            </w:r>
          </w:p>
        </w:tc>
        <w:tc>
          <w:tcPr>
            <w:tcW w:w="816" w:type="dxa"/>
            <w:vAlign w:val="center"/>
          </w:tcPr>
          <w:p>
            <w:pPr>
              <w:widowControl/>
              <w:jc w:val="center"/>
              <w:rPr>
                <w:rFonts w:ascii="Times New Roman" w:hAnsi="Times New Roman" w:cs="Times New Roman"/>
                <w:color w:val="auto"/>
                <w:sz w:val="18"/>
                <w:szCs w:val="18"/>
              </w:rPr>
            </w:pPr>
            <w:r>
              <w:rPr>
                <w:rFonts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城市次干路、支路和三级公路、四级公路</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3</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3</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3</w:t>
            </w:r>
          </w:p>
        </w:tc>
        <w:tc>
          <w:tcPr>
            <w:tcW w:w="992" w:type="dxa"/>
            <w:vAlign w:val="center"/>
          </w:tcPr>
          <w:p>
            <w:pPr>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27.7</w:t>
            </w:r>
          </w:p>
        </w:tc>
        <w:tc>
          <w:tcPr>
            <w:tcW w:w="992" w:type="dxa"/>
            <w:vAlign w:val="center"/>
          </w:tcPr>
          <w:p>
            <w:pPr>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69.2</w:t>
            </w:r>
          </w:p>
        </w:tc>
        <w:tc>
          <w:tcPr>
            <w:tcW w:w="993" w:type="dxa"/>
            <w:vAlign w:val="center"/>
          </w:tcPr>
          <w:p>
            <w:pPr>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22.8</w:t>
            </w:r>
          </w:p>
        </w:tc>
        <w:tc>
          <w:tcPr>
            <w:tcW w:w="816"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5" w:type="dxa"/>
            <w:gridSpan w:val="2"/>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架空通信线路</w:t>
            </w:r>
          </w:p>
        </w:tc>
        <w:tc>
          <w:tcPr>
            <w:tcW w:w="2693" w:type="dxa"/>
            <w:gridSpan w:val="3"/>
            <w:vAlign w:val="center"/>
          </w:tcPr>
          <w:p>
            <w:pPr>
              <w:jc w:val="center"/>
              <w:rPr>
                <w:rFonts w:ascii="Times New Roman" w:hAnsi="Times New Roman" w:cs="Times New Roman"/>
                <w:b/>
                <w:bCs/>
                <w:color w:val="auto"/>
                <w:sz w:val="18"/>
                <w:szCs w:val="18"/>
              </w:rPr>
            </w:pPr>
            <w:r>
              <w:rPr>
                <w:rFonts w:ascii="Times New Roman" w:hAnsi="Times New Roman" w:cs="Times New Roman"/>
                <w:color w:val="auto"/>
                <w:sz w:val="18"/>
                <w:szCs w:val="18"/>
              </w:rPr>
              <w:t>5</w:t>
            </w:r>
          </w:p>
        </w:tc>
        <w:tc>
          <w:tcPr>
            <w:tcW w:w="992" w:type="dxa"/>
            <w:vAlign w:val="center"/>
          </w:tcPr>
          <w:p>
            <w:pPr>
              <w:widowControl/>
              <w:jc w:val="center"/>
              <w:rPr>
                <w:rFonts w:hint="default" w:ascii="Times New Roman" w:hAnsi="Times New Roman" w:eastAsia="宋体" w:cs="Times New Roman"/>
                <w:b/>
                <w:bCs/>
                <w:color w:val="auto"/>
                <w:sz w:val="18"/>
                <w:szCs w:val="18"/>
                <w:lang w:val="en-US" w:eastAsia="zh-CN"/>
              </w:rPr>
            </w:pPr>
            <w:r>
              <w:rPr>
                <w:rFonts w:hint="eastAsia" w:ascii="Times New Roman" w:hAnsi="Times New Roman" w:cs="Times New Roman"/>
                <w:color w:val="auto"/>
                <w:sz w:val="18"/>
                <w:szCs w:val="18"/>
                <w:lang w:val="en-US" w:eastAsia="zh-CN"/>
              </w:rPr>
              <w:t>27.8</w:t>
            </w:r>
          </w:p>
        </w:tc>
        <w:tc>
          <w:tcPr>
            <w:tcW w:w="992"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69.3</w:t>
            </w:r>
          </w:p>
        </w:tc>
        <w:tc>
          <w:tcPr>
            <w:tcW w:w="993"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23.0</w:t>
            </w:r>
          </w:p>
        </w:tc>
        <w:tc>
          <w:tcPr>
            <w:tcW w:w="816"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vMerge w:val="restart"/>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架空电力线路（</w:t>
            </w:r>
            <w:r>
              <w:rPr>
                <w:rFonts w:ascii="Times New Roman" w:hAnsi="Times New Roman" w:cs="Times New Roman"/>
                <w:i/>
                <w:iCs/>
                <w:color w:val="auto"/>
                <w:sz w:val="18"/>
                <w:szCs w:val="18"/>
              </w:rPr>
              <w:t>H</w:t>
            </w:r>
            <w:r>
              <w:rPr>
                <w:rFonts w:ascii="Times New Roman" w:hAnsi="Times New Roman" w:cs="Times New Roman"/>
                <w:color w:val="auto"/>
                <w:sz w:val="18"/>
                <w:szCs w:val="18"/>
              </w:rPr>
              <w:t>=9</w:t>
            </w:r>
            <w:r>
              <w:rPr>
                <w:rFonts w:hint="eastAsia" w:ascii="Times New Roman" w:hAnsi="Times New Roman" w:cs="宋体"/>
                <w:color w:val="auto"/>
                <w:sz w:val="18"/>
                <w:szCs w:val="18"/>
              </w:rPr>
              <w:t>）</w:t>
            </w:r>
          </w:p>
        </w:tc>
        <w:tc>
          <w:tcPr>
            <w:tcW w:w="1401" w:type="dxa"/>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无绝缘层</w:t>
            </w:r>
          </w:p>
        </w:tc>
        <w:tc>
          <w:tcPr>
            <w:tcW w:w="992" w:type="dxa"/>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0.75</w:t>
            </w:r>
            <w:r>
              <w:rPr>
                <w:rFonts w:ascii="Times New Roman" w:hAnsi="Times New Roman" w:cs="Times New Roman"/>
                <w:i/>
                <w:iCs/>
                <w:color w:val="auto"/>
                <w:sz w:val="18"/>
                <w:szCs w:val="18"/>
              </w:rPr>
              <w:t>H</w:t>
            </w:r>
            <w:r>
              <w:rPr>
                <w:rFonts w:hint="eastAsia" w:ascii="Times New Roman" w:hAnsi="Times New Roman" w:cs="宋体"/>
                <w:color w:val="auto"/>
                <w:sz w:val="18"/>
                <w:szCs w:val="18"/>
              </w:rPr>
              <w:t>，且≥</w:t>
            </w:r>
            <w:r>
              <w:rPr>
                <w:rFonts w:ascii="Times New Roman" w:hAnsi="Times New Roman" w:cs="Times New Roman"/>
                <w:color w:val="auto"/>
                <w:sz w:val="18"/>
                <w:szCs w:val="18"/>
              </w:rPr>
              <w:t>6.5m</w:t>
            </w:r>
          </w:p>
        </w:tc>
        <w:tc>
          <w:tcPr>
            <w:tcW w:w="850" w:type="dxa"/>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6.5</w:t>
            </w:r>
          </w:p>
        </w:tc>
        <w:tc>
          <w:tcPr>
            <w:tcW w:w="851" w:type="dxa"/>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6.5</w:t>
            </w:r>
          </w:p>
        </w:tc>
        <w:tc>
          <w:tcPr>
            <w:tcW w:w="992" w:type="dxa"/>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w:t>
            </w:r>
          </w:p>
        </w:tc>
        <w:tc>
          <w:tcPr>
            <w:tcW w:w="992" w:type="dxa"/>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w:t>
            </w:r>
          </w:p>
        </w:tc>
        <w:tc>
          <w:tcPr>
            <w:tcW w:w="993" w:type="dxa"/>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w:t>
            </w:r>
          </w:p>
        </w:tc>
        <w:tc>
          <w:tcPr>
            <w:tcW w:w="816" w:type="dxa"/>
          </w:tcPr>
          <w:p>
            <w:pPr>
              <w:widowControl/>
              <w:jc w:val="center"/>
              <w:rPr>
                <w:rFonts w:ascii="Times New Roman" w:hAnsi="Times New Roman" w:cs="Times New Roman"/>
                <w:color w:val="auto"/>
                <w:sz w:val="18"/>
                <w:szCs w:val="18"/>
              </w:rPr>
            </w:pPr>
            <w:r>
              <w:rPr>
                <w:rFonts w:hint="eastAsia" w:ascii="Times New Roman" w:hAnsi="Times New Roman" w:cs="宋体"/>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vMerge w:val="continue"/>
            <w:vAlign w:val="center"/>
          </w:tcPr>
          <w:p>
            <w:pPr>
              <w:jc w:val="center"/>
              <w:rPr>
                <w:rFonts w:ascii="Times New Roman" w:hAnsi="Times New Roman" w:cs="Times New Roman"/>
                <w:color w:val="auto"/>
                <w:sz w:val="18"/>
                <w:szCs w:val="18"/>
              </w:rPr>
            </w:pPr>
          </w:p>
        </w:tc>
        <w:tc>
          <w:tcPr>
            <w:tcW w:w="1401" w:type="dxa"/>
            <w:vAlign w:val="center"/>
          </w:tcPr>
          <w:p>
            <w:pPr>
              <w:jc w:val="center"/>
              <w:rPr>
                <w:rFonts w:ascii="Times New Roman" w:hAnsi="Times New Roman" w:cs="Times New Roman"/>
                <w:color w:val="auto"/>
                <w:sz w:val="18"/>
                <w:szCs w:val="18"/>
              </w:rPr>
            </w:pPr>
            <w:r>
              <w:rPr>
                <w:rFonts w:hint="eastAsia" w:ascii="Times New Roman" w:hAnsi="Times New Roman" w:cs="宋体"/>
                <w:color w:val="auto"/>
                <w:sz w:val="18"/>
                <w:szCs w:val="18"/>
              </w:rPr>
              <w:t>有绝缘层</w:t>
            </w:r>
          </w:p>
        </w:tc>
        <w:tc>
          <w:tcPr>
            <w:tcW w:w="992"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0.5</w:t>
            </w:r>
            <w:r>
              <w:rPr>
                <w:rFonts w:ascii="Times New Roman" w:hAnsi="Times New Roman" w:cs="Times New Roman"/>
                <w:i/>
                <w:iCs/>
                <w:color w:val="auto"/>
                <w:sz w:val="18"/>
                <w:szCs w:val="18"/>
              </w:rPr>
              <w:t>H</w:t>
            </w:r>
            <w:r>
              <w:rPr>
                <w:rFonts w:hint="eastAsia" w:ascii="Times New Roman" w:hAnsi="Times New Roman" w:cs="宋体"/>
                <w:color w:val="auto"/>
                <w:sz w:val="18"/>
                <w:szCs w:val="18"/>
              </w:rPr>
              <w:t>，且≥</w:t>
            </w:r>
            <w:r>
              <w:rPr>
                <w:rFonts w:ascii="Times New Roman" w:hAnsi="Times New Roman" w:cs="Times New Roman"/>
                <w:color w:val="auto"/>
                <w:sz w:val="18"/>
                <w:szCs w:val="18"/>
              </w:rPr>
              <w:t>5m</w:t>
            </w:r>
          </w:p>
        </w:tc>
        <w:tc>
          <w:tcPr>
            <w:tcW w:w="850"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851" w:type="dxa"/>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c>
          <w:tcPr>
            <w:tcW w:w="992"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29.6</w:t>
            </w:r>
          </w:p>
        </w:tc>
        <w:tc>
          <w:tcPr>
            <w:tcW w:w="992"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71.0</w:t>
            </w:r>
          </w:p>
        </w:tc>
        <w:tc>
          <w:tcPr>
            <w:tcW w:w="993" w:type="dxa"/>
            <w:vAlign w:val="center"/>
          </w:tcPr>
          <w:p>
            <w:pPr>
              <w:widowControl/>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24.7</w:t>
            </w:r>
          </w:p>
        </w:tc>
        <w:tc>
          <w:tcPr>
            <w:tcW w:w="816" w:type="dxa"/>
            <w:vAlign w:val="center"/>
          </w:tcPr>
          <w:p>
            <w:pPr>
              <w:widowControl/>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符合</w:t>
            </w:r>
          </w:p>
        </w:tc>
      </w:tr>
    </w:tbl>
    <w:p>
      <w:pPr>
        <w:spacing w:line="400" w:lineRule="exact"/>
        <w:jc w:val="left"/>
        <w:rPr>
          <w:rFonts w:ascii="Times New Roman" w:hAnsi="Times New Roman" w:cs="Times New Roman"/>
          <w:color w:val="auto"/>
          <w:sz w:val="28"/>
          <w:szCs w:val="28"/>
        </w:rPr>
      </w:pPr>
      <w:r>
        <w:rPr>
          <w:rFonts w:hint="eastAsia" w:ascii="Times New Roman" w:hAnsi="Times New Roman" w:cs="宋体"/>
          <w:b/>
          <w:bCs/>
          <w:color w:val="auto"/>
          <w:sz w:val="24"/>
          <w:szCs w:val="24"/>
        </w:rPr>
        <w:t>注：上述表格中</w:t>
      </w:r>
      <w:r>
        <w:rPr>
          <w:rFonts w:ascii="Times New Roman" w:hAnsi="Times New Roman" w:cs="Times New Roman"/>
          <w:b/>
          <w:bCs/>
          <w:color w:val="auto"/>
          <w:sz w:val="24"/>
          <w:szCs w:val="24"/>
        </w:rPr>
        <w:t>“</w:t>
      </w:r>
      <w:r>
        <w:rPr>
          <w:rFonts w:ascii="Times New Roman" w:hAnsi="Times New Roman" w:cs="Times New Roman"/>
          <w:color w:val="auto"/>
          <w:sz w:val="24"/>
          <w:szCs w:val="24"/>
        </w:rPr>
        <w:t>/</w:t>
      </w:r>
      <w:r>
        <w:rPr>
          <w:rFonts w:ascii="Times New Roman" w:hAnsi="Times New Roman" w:cs="Times New Roman"/>
          <w:b/>
          <w:bCs/>
          <w:color w:val="auto"/>
          <w:sz w:val="24"/>
          <w:szCs w:val="24"/>
        </w:rPr>
        <w:t>”</w:t>
      </w:r>
      <w:r>
        <w:rPr>
          <w:rFonts w:hint="eastAsia" w:ascii="Times New Roman" w:hAnsi="Times New Roman" w:cs="宋体"/>
          <w:b/>
          <w:bCs/>
          <w:color w:val="auto"/>
          <w:sz w:val="24"/>
          <w:szCs w:val="24"/>
        </w:rPr>
        <w:t>表示</w:t>
      </w:r>
      <w:r>
        <w:rPr>
          <w:rFonts w:ascii="Times New Roman" w:hAnsi="Times New Roman" w:cs="Times New Roman"/>
          <w:b/>
          <w:bCs/>
          <w:color w:val="auto"/>
          <w:sz w:val="24"/>
          <w:szCs w:val="24"/>
        </w:rPr>
        <w:t>“</w:t>
      </w:r>
      <w:r>
        <w:rPr>
          <w:rFonts w:hint="eastAsia" w:ascii="Times New Roman" w:hAnsi="Times New Roman" w:cs="宋体"/>
          <w:b/>
          <w:bCs/>
          <w:color w:val="auto"/>
          <w:sz w:val="24"/>
          <w:szCs w:val="24"/>
        </w:rPr>
        <w:t>无此项</w:t>
      </w:r>
      <w:r>
        <w:rPr>
          <w:rFonts w:ascii="Times New Roman" w:hAnsi="Times New Roman" w:cs="Times New Roman"/>
          <w:b/>
          <w:bCs/>
          <w:color w:val="auto"/>
          <w:sz w:val="24"/>
          <w:szCs w:val="24"/>
        </w:rPr>
        <w:t>”</w:t>
      </w:r>
      <w:r>
        <w:rPr>
          <w:rFonts w:hint="eastAsia" w:ascii="Times New Roman" w:hAnsi="Times New Roman" w:cs="宋体"/>
          <w:b/>
          <w:bCs/>
          <w:color w:val="auto"/>
          <w:sz w:val="24"/>
          <w:szCs w:val="24"/>
        </w:rPr>
        <w:t>。</w:t>
      </w:r>
    </w:p>
    <w:p>
      <w:pPr>
        <w:spacing w:line="600" w:lineRule="exact"/>
        <w:ind w:firstLine="544" w:firstLineChars="200"/>
        <w:rPr>
          <w:rFonts w:ascii="Times New Roman" w:hAnsi="Times New Roman" w:cs="Times New Roman"/>
          <w:color w:val="auto"/>
          <w:spacing w:val="-4"/>
        </w:rPr>
      </w:pPr>
      <w:r>
        <w:rPr>
          <w:rFonts w:hint="eastAsia" w:ascii="Times New Roman" w:hAnsi="Times New Roman" w:cs="宋体"/>
          <w:color w:val="auto"/>
          <w:spacing w:val="-4"/>
          <w:sz w:val="28"/>
          <w:szCs w:val="28"/>
        </w:rPr>
        <w:t>由站址（周边环境）检查表检查结果可以看出，项目选址及外部距离符合有关标准的规定。因此，建设项目与站外建筑相互之间存在的影响较小。</w:t>
      </w:r>
    </w:p>
    <w:p>
      <w:pPr>
        <w:keepNext/>
        <w:keepLines/>
        <w:spacing w:line="600" w:lineRule="exact"/>
        <w:outlineLvl w:val="1"/>
        <w:rPr>
          <w:rFonts w:ascii="Times New Roman" w:hAnsi="Times New Roman" w:cs="Times New Roman"/>
          <w:b/>
          <w:bCs/>
          <w:color w:val="auto"/>
          <w:sz w:val="28"/>
          <w:szCs w:val="28"/>
        </w:rPr>
      </w:pPr>
      <w:bookmarkStart w:id="147" w:name="_Toc1533"/>
      <w:bookmarkStart w:id="148" w:name="_Toc20260"/>
      <w:r>
        <w:rPr>
          <w:rFonts w:ascii="Times New Roman" w:hAnsi="Times New Roman" w:cs="Times New Roman"/>
          <w:b/>
          <w:bCs/>
          <w:color w:val="auto"/>
          <w:sz w:val="28"/>
          <w:szCs w:val="28"/>
        </w:rPr>
        <w:t xml:space="preserve">6.2 </w:t>
      </w:r>
      <w:r>
        <w:rPr>
          <w:rFonts w:hint="eastAsia" w:ascii="Times New Roman" w:hAnsi="Times New Roman" w:cs="宋体"/>
          <w:b/>
          <w:bCs/>
          <w:color w:val="auto"/>
          <w:sz w:val="28"/>
          <w:szCs w:val="28"/>
        </w:rPr>
        <w:t>加油站站内平面布置符合性评价</w:t>
      </w:r>
      <w:bookmarkEnd w:id="147"/>
      <w:bookmarkEnd w:id="148"/>
    </w:p>
    <w:p>
      <w:pPr>
        <w:tabs>
          <w:tab w:val="left" w:pos="785"/>
        </w:tabs>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w:t>
      </w:r>
      <w:r>
        <w:rPr>
          <w:rFonts w:hint="eastAsia" w:ascii="Times New Roman" w:hAnsi="Times New Roman" w:cs="宋体"/>
          <w:color w:val="auto"/>
          <w:spacing w:val="-4"/>
          <w:sz w:val="28"/>
          <w:szCs w:val="28"/>
        </w:rPr>
        <w:t>《汽车加油加气加氢站技术标准》</w:t>
      </w:r>
      <w:r>
        <w:rPr>
          <w:rFonts w:ascii="Times New Roman" w:hAnsi="Times New Roman" w:cs="Times New Roman"/>
          <w:color w:val="auto"/>
          <w:spacing w:val="-4"/>
          <w:sz w:val="28"/>
          <w:szCs w:val="28"/>
        </w:rPr>
        <w:t>GB50156-2021</w:t>
      </w:r>
      <w:r>
        <w:rPr>
          <w:rFonts w:hint="eastAsia" w:ascii="Times New Roman" w:hAnsi="Times New Roman" w:cs="宋体"/>
          <w:color w:val="auto"/>
          <w:kern w:val="0"/>
          <w:sz w:val="28"/>
          <w:szCs w:val="28"/>
        </w:rPr>
        <w:t>，对项目总平面布置</w:t>
      </w:r>
      <w:r>
        <w:rPr>
          <w:rFonts w:hint="eastAsia" w:ascii="Times New Roman" w:hAnsi="Times New Roman" w:cs="宋体"/>
          <w:color w:val="auto"/>
          <w:sz w:val="28"/>
          <w:szCs w:val="28"/>
        </w:rPr>
        <w:t>进行符合性评价，见表</w:t>
      </w:r>
      <w:r>
        <w:rPr>
          <w:rFonts w:ascii="Times New Roman" w:hAnsi="Times New Roman" w:cs="Times New Roman"/>
          <w:color w:val="auto"/>
          <w:sz w:val="28"/>
          <w:szCs w:val="28"/>
        </w:rPr>
        <w:t>6-4</w:t>
      </w:r>
      <w:r>
        <w:rPr>
          <w:rFonts w:hint="eastAsia" w:ascii="Times New Roman" w:hAnsi="Times New Roman" w:cs="宋体"/>
          <w:color w:val="auto"/>
          <w:sz w:val="28"/>
          <w:szCs w:val="28"/>
        </w:rPr>
        <w:t>、</w:t>
      </w:r>
      <w:r>
        <w:rPr>
          <w:rFonts w:ascii="Times New Roman" w:hAnsi="Times New Roman" w:cs="Times New Roman"/>
          <w:color w:val="auto"/>
          <w:sz w:val="28"/>
          <w:szCs w:val="28"/>
        </w:rPr>
        <w:t>6-5</w:t>
      </w:r>
      <w:r>
        <w:rPr>
          <w:rFonts w:hint="eastAsia" w:ascii="Times New Roman" w:hAnsi="Times New Roman" w:cs="宋体"/>
          <w:color w:val="auto"/>
          <w:sz w:val="28"/>
          <w:szCs w:val="28"/>
        </w:rPr>
        <w:t>。</w:t>
      </w:r>
    </w:p>
    <w:p>
      <w:pPr>
        <w:spacing w:line="600" w:lineRule="exact"/>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 xml:space="preserve">6-4  </w:t>
      </w:r>
      <w:r>
        <w:rPr>
          <w:rFonts w:hint="eastAsia" w:ascii="Times New Roman" w:hAnsi="Times New Roman" w:cs="宋体"/>
          <w:b/>
          <w:bCs/>
          <w:color w:val="auto"/>
          <w:sz w:val="24"/>
          <w:szCs w:val="24"/>
        </w:rPr>
        <w:t>总平面布置安全检查表</w:t>
      </w:r>
    </w:p>
    <w:tbl>
      <w:tblPr>
        <w:tblStyle w:val="20"/>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8"/>
        <w:gridCol w:w="4917"/>
        <w:gridCol w:w="584"/>
        <w:gridCol w:w="2416"/>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488" w:type="dxa"/>
            <w:vAlign w:val="center"/>
          </w:tcPr>
          <w:p>
            <w:pPr>
              <w:keepNext w:val="0"/>
              <w:keepLines w:val="0"/>
              <w:pageBreakBefore w:val="0"/>
              <w:widowControl w:val="0"/>
              <w:kinsoku/>
              <w:wordWrap/>
              <w:overflowPunct/>
              <w:topLinePunct w:val="0"/>
              <w:bidi w:val="0"/>
              <w:adjustRightInd w:val="0"/>
              <w:snapToGrid w:val="0"/>
              <w:spacing w:line="320" w:lineRule="exact"/>
              <w:jc w:val="center"/>
              <w:textAlignment w:val="auto"/>
              <w:rPr>
                <w:rFonts w:ascii="Times New Roman" w:hAnsi="Times New Roman" w:cs="Times New Roman"/>
                <w:color w:val="auto"/>
              </w:rPr>
            </w:pPr>
            <w:r>
              <w:rPr>
                <w:rFonts w:hint="eastAsia" w:ascii="Times New Roman" w:hAnsi="Times New Roman" w:cs="宋体"/>
                <w:b/>
                <w:bCs/>
                <w:color w:val="auto"/>
              </w:rPr>
              <w:t>序号</w:t>
            </w:r>
          </w:p>
        </w:tc>
        <w:tc>
          <w:tcPr>
            <w:tcW w:w="4917" w:type="dxa"/>
            <w:vAlign w:val="center"/>
          </w:tcPr>
          <w:p>
            <w:pPr>
              <w:keepNext w:val="0"/>
              <w:keepLines w:val="0"/>
              <w:pageBreakBefore w:val="0"/>
              <w:widowControl w:val="0"/>
              <w:kinsoku/>
              <w:wordWrap/>
              <w:overflowPunct/>
              <w:topLinePunct w:val="0"/>
              <w:bidi w:val="0"/>
              <w:adjustRightInd w:val="0"/>
              <w:snapToGrid w:val="0"/>
              <w:spacing w:line="320" w:lineRule="exact"/>
              <w:jc w:val="center"/>
              <w:textAlignment w:val="auto"/>
              <w:rPr>
                <w:rFonts w:ascii="Times New Roman" w:hAnsi="Times New Roman" w:cs="Times New Roman"/>
                <w:color w:val="auto"/>
              </w:rPr>
            </w:pPr>
            <w:r>
              <w:rPr>
                <w:rFonts w:hint="eastAsia" w:ascii="Times New Roman" w:hAnsi="Times New Roman" w:cs="宋体"/>
                <w:b/>
                <w:bCs/>
                <w:color w:val="auto"/>
              </w:rPr>
              <w:t>检查内容</w:t>
            </w:r>
          </w:p>
        </w:tc>
        <w:tc>
          <w:tcPr>
            <w:tcW w:w="584" w:type="dxa"/>
            <w:vAlign w:val="center"/>
          </w:tcPr>
          <w:p>
            <w:pPr>
              <w:keepNext w:val="0"/>
              <w:keepLines w:val="0"/>
              <w:pageBreakBefore w:val="0"/>
              <w:widowControl w:val="0"/>
              <w:kinsoku/>
              <w:wordWrap/>
              <w:overflowPunct/>
              <w:topLinePunct w:val="0"/>
              <w:bidi w:val="0"/>
              <w:adjustRightInd w:val="0"/>
              <w:snapToGrid w:val="0"/>
              <w:spacing w:line="320" w:lineRule="exact"/>
              <w:jc w:val="center"/>
              <w:textAlignment w:val="auto"/>
              <w:rPr>
                <w:rFonts w:ascii="Times New Roman" w:hAnsi="Times New Roman" w:cs="Times New Roman"/>
                <w:color w:val="auto"/>
              </w:rPr>
            </w:pPr>
            <w:r>
              <w:rPr>
                <w:rFonts w:hint="eastAsia" w:ascii="Times New Roman" w:hAnsi="Times New Roman" w:cs="宋体"/>
                <w:b/>
                <w:bCs/>
                <w:color w:val="auto"/>
              </w:rPr>
              <w:t>标准条款</w:t>
            </w:r>
          </w:p>
        </w:tc>
        <w:tc>
          <w:tcPr>
            <w:tcW w:w="2416" w:type="dxa"/>
            <w:vAlign w:val="center"/>
          </w:tcPr>
          <w:p>
            <w:pPr>
              <w:keepNext w:val="0"/>
              <w:keepLines w:val="0"/>
              <w:pageBreakBefore w:val="0"/>
              <w:widowControl w:val="0"/>
              <w:kinsoku/>
              <w:wordWrap/>
              <w:overflowPunct/>
              <w:topLinePunct w:val="0"/>
              <w:bidi w:val="0"/>
              <w:adjustRightInd w:val="0"/>
              <w:snapToGrid w:val="0"/>
              <w:spacing w:line="320" w:lineRule="exact"/>
              <w:jc w:val="center"/>
              <w:textAlignment w:val="auto"/>
              <w:rPr>
                <w:rFonts w:ascii="Times New Roman" w:hAnsi="Times New Roman" w:cs="Times New Roman"/>
                <w:color w:val="auto"/>
              </w:rPr>
            </w:pPr>
            <w:r>
              <w:rPr>
                <w:rFonts w:hint="eastAsia" w:ascii="Times New Roman" w:hAnsi="Times New Roman" w:cs="宋体"/>
                <w:b/>
                <w:bCs/>
                <w:color w:val="auto"/>
              </w:rPr>
              <w:t>检查情况</w:t>
            </w:r>
          </w:p>
        </w:tc>
        <w:tc>
          <w:tcPr>
            <w:tcW w:w="716" w:type="dxa"/>
            <w:vAlign w:val="center"/>
          </w:tcPr>
          <w:p>
            <w:pPr>
              <w:keepNext w:val="0"/>
              <w:keepLines w:val="0"/>
              <w:pageBreakBefore w:val="0"/>
              <w:widowControl w:val="0"/>
              <w:kinsoku/>
              <w:wordWrap/>
              <w:overflowPunct/>
              <w:topLinePunct w:val="0"/>
              <w:bidi w:val="0"/>
              <w:adjustRightInd w:val="0"/>
              <w:snapToGrid w:val="0"/>
              <w:spacing w:line="320" w:lineRule="exact"/>
              <w:jc w:val="center"/>
              <w:textAlignment w:val="auto"/>
              <w:rPr>
                <w:rFonts w:ascii="Times New Roman" w:hAnsi="Times New Roman" w:cs="Times New Roman"/>
                <w:b/>
                <w:bCs/>
                <w:color w:val="auto"/>
              </w:rPr>
            </w:pPr>
            <w:r>
              <w:rPr>
                <w:rFonts w:hint="eastAsia" w:ascii="Times New Roman" w:hAnsi="Times New Roman" w:cs="宋体"/>
                <w:b/>
                <w:bCs/>
                <w:color w:val="auto"/>
              </w:rPr>
              <w:t>评价</w:t>
            </w:r>
          </w:p>
          <w:p>
            <w:pPr>
              <w:keepNext w:val="0"/>
              <w:keepLines w:val="0"/>
              <w:pageBreakBefore w:val="0"/>
              <w:widowControl w:val="0"/>
              <w:kinsoku/>
              <w:wordWrap/>
              <w:overflowPunct/>
              <w:topLinePunct w:val="0"/>
              <w:bidi w:val="0"/>
              <w:adjustRightInd w:val="0"/>
              <w:snapToGrid w:val="0"/>
              <w:spacing w:line="320" w:lineRule="exact"/>
              <w:jc w:val="center"/>
              <w:textAlignment w:val="auto"/>
              <w:rPr>
                <w:rFonts w:ascii="Times New Roman" w:hAnsi="Times New Roman" w:cs="Times New Roman"/>
                <w:color w:val="auto"/>
              </w:rPr>
            </w:pPr>
            <w:r>
              <w:rPr>
                <w:rFonts w:hint="eastAsia" w:ascii="Times New Roman" w:hAnsi="Times New Roman" w:cs="宋体"/>
                <w:b/>
                <w:bCs/>
                <w:color w:val="auto"/>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488"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ascii="Times New Roman" w:hAnsi="Times New Roman" w:cs="Times New Roman"/>
                <w:color w:val="auto"/>
              </w:rPr>
              <w:t>1</w:t>
            </w:r>
          </w:p>
        </w:tc>
        <w:tc>
          <w:tcPr>
            <w:tcW w:w="4917" w:type="dxa"/>
            <w:vAlign w:val="center"/>
          </w:tcPr>
          <w:p>
            <w:pPr>
              <w:keepNext w:val="0"/>
              <w:keepLines w:val="0"/>
              <w:pageBreakBefore w:val="0"/>
              <w:widowControl w:val="0"/>
              <w:kinsoku/>
              <w:wordWrap/>
              <w:overflowPunct/>
              <w:topLinePunct w:val="0"/>
              <w:autoSpaceDE w:val="0"/>
              <w:autoSpaceDN w:val="0"/>
              <w:bidi w:val="0"/>
              <w:adjustRightInd w:val="0"/>
              <w:spacing w:line="320" w:lineRule="exact"/>
              <w:jc w:val="left"/>
              <w:textAlignment w:val="auto"/>
              <w:rPr>
                <w:rFonts w:ascii="Times New Roman" w:hAnsi="Times New Roman" w:cs="Times New Roman"/>
                <w:color w:val="auto"/>
              </w:rPr>
            </w:pPr>
            <w:r>
              <w:rPr>
                <w:rFonts w:hint="eastAsia" w:ascii="Times New Roman" w:hAnsi="Times New Roman" w:cs="宋体"/>
                <w:color w:val="auto"/>
              </w:rPr>
              <w:t>车辆入口和出口应分开设置</w:t>
            </w:r>
            <w:r>
              <w:rPr>
                <w:rFonts w:hint="eastAsia" w:ascii="Times New Roman" w:hAnsi="Times New Roman" w:cs="宋体"/>
                <w:color w:val="auto"/>
                <w:kern w:val="0"/>
              </w:rPr>
              <w:t>。</w:t>
            </w:r>
          </w:p>
        </w:tc>
        <w:tc>
          <w:tcPr>
            <w:tcW w:w="584" w:type="dxa"/>
            <w:vAlign w:val="center"/>
          </w:tcPr>
          <w:p>
            <w:pPr>
              <w:keepNext w:val="0"/>
              <w:keepLines w:val="0"/>
              <w:pageBreakBefore w:val="0"/>
              <w:widowControl w:val="0"/>
              <w:kinsoku/>
              <w:wordWrap/>
              <w:overflowPunct/>
              <w:topLinePunct w:val="0"/>
              <w:bidi w:val="0"/>
              <w:adjustRightInd w:val="0"/>
              <w:spacing w:line="320" w:lineRule="exact"/>
              <w:jc w:val="center"/>
              <w:textAlignment w:val="auto"/>
              <w:rPr>
                <w:rFonts w:ascii="Times New Roman" w:hAnsi="Times New Roman" w:cs="Times New Roman"/>
                <w:color w:val="auto"/>
              </w:rPr>
            </w:pPr>
            <w:r>
              <w:rPr>
                <w:rFonts w:ascii="Times New Roman" w:hAnsi="Times New Roman" w:cs="Times New Roman"/>
                <w:color w:val="auto"/>
                <w:kern w:val="0"/>
              </w:rPr>
              <w:t>5.0.1</w:t>
            </w:r>
          </w:p>
        </w:tc>
        <w:tc>
          <w:tcPr>
            <w:tcW w:w="2416" w:type="dxa"/>
            <w:vAlign w:val="center"/>
          </w:tcPr>
          <w:p>
            <w:pPr>
              <w:keepNext w:val="0"/>
              <w:keepLines w:val="0"/>
              <w:pageBreakBefore w:val="0"/>
              <w:widowControl w:val="0"/>
              <w:kinsoku/>
              <w:wordWrap/>
              <w:overflowPunct/>
              <w:topLinePunct w:val="0"/>
              <w:bidi w:val="0"/>
              <w:adjustRightInd w:val="0"/>
              <w:spacing w:line="320" w:lineRule="exact"/>
              <w:textAlignment w:val="auto"/>
              <w:rPr>
                <w:rFonts w:ascii="Times New Roman" w:hAnsi="Times New Roman" w:cs="Times New Roman"/>
                <w:color w:val="auto"/>
              </w:rPr>
            </w:pPr>
            <w:r>
              <w:rPr>
                <w:rFonts w:hint="eastAsia" w:ascii="Times New Roman" w:hAnsi="Times New Roman" w:cs="宋体"/>
                <w:color w:val="auto"/>
                <w:kern w:val="0"/>
              </w:rPr>
              <w:t>出、入口分开设置。</w:t>
            </w:r>
          </w:p>
        </w:tc>
        <w:tc>
          <w:tcPr>
            <w:tcW w:w="716"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7" w:hRule="atLeast"/>
          <w:jc w:val="center"/>
        </w:trPr>
        <w:tc>
          <w:tcPr>
            <w:tcW w:w="488"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4917" w:type="dxa"/>
            <w:vAlign w:val="center"/>
          </w:tcPr>
          <w:p>
            <w:pPr>
              <w:keepNext w:val="0"/>
              <w:keepLines w:val="0"/>
              <w:pageBreakBefore w:val="0"/>
              <w:widowControl w:val="0"/>
              <w:kinsoku/>
              <w:wordWrap/>
              <w:overflowPunct/>
              <w:topLinePunct w:val="0"/>
              <w:autoSpaceDE w:val="0"/>
              <w:autoSpaceDN w:val="0"/>
              <w:bidi w:val="0"/>
              <w:adjustRightInd w:val="0"/>
              <w:spacing w:line="320" w:lineRule="exact"/>
              <w:jc w:val="left"/>
              <w:textAlignment w:val="auto"/>
              <w:rPr>
                <w:rFonts w:ascii="Times New Roman" w:hAnsi="Times New Roman" w:cs="Times New Roman"/>
                <w:color w:val="auto"/>
              </w:rPr>
            </w:pPr>
            <w:r>
              <w:rPr>
                <w:rFonts w:hint="eastAsia" w:ascii="Times New Roman" w:hAnsi="Times New Roman" w:cs="宋体"/>
                <w:color w:val="auto"/>
              </w:rPr>
              <w:t>站区内停车场和道路应符合下列规定：</w:t>
            </w:r>
            <w:r>
              <w:rPr>
                <w:rFonts w:ascii="Times New Roman" w:hAnsi="Times New Roman" w:cs="Times New Roman"/>
                <w:color w:val="auto"/>
              </w:rPr>
              <w:t>1</w:t>
            </w:r>
            <w:r>
              <w:rPr>
                <w:rFonts w:hint="eastAsia" w:ascii="Times New Roman" w:hAnsi="Times New Roman" w:cs="宋体"/>
                <w:color w:val="auto"/>
              </w:rPr>
              <w:t>站内车道或停车位宽度应按车辆类型确定。</w:t>
            </w:r>
            <w:r>
              <w:rPr>
                <w:rFonts w:ascii="Times New Roman" w:hAnsi="Times New Roman" w:cs="Times New Roman"/>
                <w:color w:val="auto"/>
              </w:rPr>
              <w:t>CNG</w:t>
            </w:r>
            <w:r>
              <w:rPr>
                <w:rFonts w:hint="eastAsia" w:ascii="Times New Roman" w:hAnsi="Times New Roman" w:cs="宋体"/>
                <w:color w:val="auto"/>
              </w:rPr>
              <w:t>加气母站内单车道或单车停车位宽度不应小事</w:t>
            </w:r>
            <w:r>
              <w:rPr>
                <w:rFonts w:ascii="Times New Roman" w:hAnsi="Times New Roman" w:cs="Times New Roman"/>
                <w:color w:val="auto"/>
              </w:rPr>
              <w:t>5m</w:t>
            </w:r>
            <w:r>
              <w:rPr>
                <w:rFonts w:hint="eastAsia" w:ascii="Times New Roman" w:hAnsi="Times New Roman" w:cs="宋体"/>
                <w:color w:val="auto"/>
              </w:rPr>
              <w:t>，双车道或双车停车位宽度不应小于</w:t>
            </w:r>
            <w:r>
              <w:rPr>
                <w:rFonts w:ascii="Times New Roman" w:hAnsi="Times New Roman" w:cs="Times New Roman"/>
                <w:color w:val="auto"/>
              </w:rPr>
              <w:t>9m</w:t>
            </w:r>
            <w:r>
              <w:rPr>
                <w:rFonts w:hint="eastAsia" w:ascii="Times New Roman" w:hAnsi="Times New Roman" w:cs="宋体"/>
                <w:color w:val="auto"/>
              </w:rPr>
              <w:t>；其他类型汽车加油加气加氢站的车道或停车位，单车道或单车停车位宽度不应小于</w:t>
            </w:r>
            <w:r>
              <w:rPr>
                <w:rFonts w:ascii="Times New Roman" w:hAnsi="Times New Roman" w:cs="Times New Roman"/>
                <w:color w:val="auto"/>
              </w:rPr>
              <w:t>4m</w:t>
            </w:r>
            <w:r>
              <w:rPr>
                <w:rFonts w:hint="eastAsia" w:ascii="Times New Roman" w:hAnsi="Times New Roman" w:cs="宋体"/>
                <w:color w:val="auto"/>
              </w:rPr>
              <w:t>，双车道或双车停车位宽度不应小于</w:t>
            </w:r>
            <w:r>
              <w:rPr>
                <w:rFonts w:ascii="Times New Roman" w:hAnsi="Times New Roman" w:cs="Times New Roman"/>
                <w:color w:val="auto"/>
              </w:rPr>
              <w:t>6m</w:t>
            </w:r>
            <w:r>
              <w:rPr>
                <w:rFonts w:hint="eastAsia" w:ascii="Times New Roman" w:hAnsi="Times New Roman" w:cs="宋体"/>
                <w:color w:val="auto"/>
              </w:rPr>
              <w:t>。</w:t>
            </w:r>
            <w:r>
              <w:rPr>
                <w:rFonts w:ascii="Times New Roman" w:hAnsi="Times New Roman" w:cs="Times New Roman"/>
                <w:color w:val="auto"/>
              </w:rPr>
              <w:t>2</w:t>
            </w:r>
            <w:r>
              <w:rPr>
                <w:rFonts w:hint="eastAsia" w:ascii="Times New Roman" w:hAnsi="Times New Roman" w:cs="宋体"/>
                <w:color w:val="auto"/>
              </w:rPr>
              <w:t>站内的道路转弯胖径应按行驶车型确定，且不宜小</w:t>
            </w:r>
            <w:r>
              <w:rPr>
                <w:rFonts w:ascii="Times New Roman" w:hAnsi="Times New Roman" w:cs="Times New Roman"/>
                <w:color w:val="auto"/>
              </w:rPr>
              <w:t>3</w:t>
            </w:r>
            <w:r>
              <w:rPr>
                <w:rFonts w:hint="eastAsia" w:ascii="Times New Roman" w:hAnsi="Times New Roman" w:cs="宋体"/>
                <w:color w:val="auto"/>
              </w:rPr>
              <w:t>站内停车位应为平坡，道路坡度不应大于</w:t>
            </w:r>
            <w:r>
              <w:rPr>
                <w:rFonts w:ascii="Times New Roman" w:hAnsi="Times New Roman" w:cs="Times New Roman"/>
                <w:color w:val="auto"/>
              </w:rPr>
              <w:t>8%</w:t>
            </w:r>
            <w:r>
              <w:rPr>
                <w:rFonts w:hint="eastAsia" w:ascii="Times New Roman" w:hAnsi="Times New Roman" w:cs="宋体"/>
                <w:color w:val="auto"/>
              </w:rPr>
              <w:t>，且宜坡向站外。</w:t>
            </w:r>
          </w:p>
          <w:p>
            <w:pPr>
              <w:keepNext w:val="0"/>
              <w:keepLines w:val="0"/>
              <w:pageBreakBefore w:val="0"/>
              <w:widowControl w:val="0"/>
              <w:kinsoku/>
              <w:wordWrap/>
              <w:overflowPunct/>
              <w:topLinePunct w:val="0"/>
              <w:autoSpaceDE w:val="0"/>
              <w:autoSpaceDN w:val="0"/>
              <w:bidi w:val="0"/>
              <w:adjustRightInd w:val="0"/>
              <w:spacing w:line="320" w:lineRule="exact"/>
              <w:jc w:val="left"/>
              <w:textAlignment w:val="auto"/>
              <w:rPr>
                <w:rFonts w:ascii="Times New Roman" w:hAnsi="Times New Roman" w:cs="Times New Roman"/>
                <w:color w:val="auto"/>
              </w:rPr>
            </w:pPr>
            <w:r>
              <w:rPr>
                <w:rFonts w:ascii="Times New Roman" w:hAnsi="Times New Roman" w:cs="Times New Roman"/>
                <w:color w:val="auto"/>
              </w:rPr>
              <w:t>4</w:t>
            </w:r>
            <w:r>
              <w:rPr>
                <w:rFonts w:hint="eastAsia" w:ascii="Times New Roman" w:hAnsi="Times New Roman" w:cs="宋体"/>
                <w:color w:val="auto"/>
              </w:rPr>
              <w:t>作业区内的停车场和道路路面不应采用沥青路面。</w:t>
            </w:r>
          </w:p>
        </w:tc>
        <w:tc>
          <w:tcPr>
            <w:tcW w:w="584" w:type="dxa"/>
            <w:vAlign w:val="center"/>
          </w:tcPr>
          <w:p>
            <w:pPr>
              <w:keepNext w:val="0"/>
              <w:keepLines w:val="0"/>
              <w:pageBreakBefore w:val="0"/>
              <w:widowControl w:val="0"/>
              <w:kinsoku/>
              <w:wordWrap/>
              <w:overflowPunct/>
              <w:topLinePunct w:val="0"/>
              <w:bidi w:val="0"/>
              <w:adjustRightInd w:val="0"/>
              <w:spacing w:line="32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5.0.2</w:t>
            </w:r>
          </w:p>
        </w:tc>
        <w:tc>
          <w:tcPr>
            <w:tcW w:w="2416" w:type="dxa"/>
            <w:vAlign w:val="center"/>
          </w:tcPr>
          <w:p>
            <w:pPr>
              <w:keepNext w:val="0"/>
              <w:keepLines w:val="0"/>
              <w:pageBreakBefore w:val="0"/>
              <w:widowControl w:val="0"/>
              <w:kinsoku/>
              <w:wordWrap/>
              <w:overflowPunct/>
              <w:topLinePunct w:val="0"/>
              <w:bidi w:val="0"/>
              <w:adjustRightInd w:val="0"/>
              <w:spacing w:line="320" w:lineRule="exact"/>
              <w:textAlignment w:val="auto"/>
              <w:rPr>
                <w:rFonts w:ascii="Times New Roman" w:hAnsi="Times New Roman" w:cs="Times New Roman"/>
                <w:color w:val="auto"/>
                <w:kern w:val="0"/>
              </w:rPr>
            </w:pPr>
            <w:r>
              <w:rPr>
                <w:rFonts w:hint="eastAsia" w:ascii="Times New Roman" w:hAnsi="Times New Roman" w:cs="宋体"/>
                <w:color w:val="auto"/>
                <w:kern w:val="0"/>
              </w:rPr>
              <w:t>单车道宽度不小于</w:t>
            </w:r>
            <w:r>
              <w:rPr>
                <w:rFonts w:ascii="Times New Roman" w:hAnsi="Times New Roman" w:cs="Times New Roman"/>
                <w:color w:val="auto"/>
                <w:kern w:val="0"/>
              </w:rPr>
              <w:t>5m</w:t>
            </w:r>
            <w:r>
              <w:rPr>
                <w:rFonts w:hint="eastAsia" w:ascii="Times New Roman" w:hAnsi="Times New Roman" w:cs="宋体"/>
                <w:color w:val="auto"/>
                <w:kern w:val="0"/>
              </w:rPr>
              <w:t>，双车道宽度不小于</w:t>
            </w:r>
            <w:r>
              <w:rPr>
                <w:rFonts w:ascii="Times New Roman" w:hAnsi="Times New Roman" w:cs="Times New Roman"/>
                <w:color w:val="auto"/>
                <w:kern w:val="0"/>
              </w:rPr>
              <w:t>8m</w:t>
            </w:r>
            <w:r>
              <w:rPr>
                <w:rFonts w:hint="eastAsia" w:ascii="Times New Roman" w:hAnsi="Times New Roman" w:cs="宋体"/>
                <w:color w:val="auto"/>
                <w:kern w:val="0"/>
              </w:rPr>
              <w:t>；转弯半径不小于</w:t>
            </w:r>
            <w:r>
              <w:rPr>
                <w:rFonts w:ascii="Times New Roman" w:hAnsi="Times New Roman" w:cs="Times New Roman"/>
                <w:color w:val="auto"/>
                <w:kern w:val="0"/>
              </w:rPr>
              <w:t>9m</w:t>
            </w:r>
            <w:r>
              <w:rPr>
                <w:rFonts w:hint="eastAsia" w:ascii="Times New Roman" w:hAnsi="Times New Roman" w:cs="宋体"/>
                <w:color w:val="auto"/>
                <w:kern w:val="0"/>
              </w:rPr>
              <w:t>；站内不采用沥青路面。</w:t>
            </w:r>
          </w:p>
        </w:tc>
        <w:tc>
          <w:tcPr>
            <w:tcW w:w="716"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88"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ascii="Times New Roman" w:hAnsi="Times New Roman" w:cs="Times New Roman"/>
                <w:color w:val="auto"/>
              </w:rPr>
              <w:t>3</w:t>
            </w:r>
          </w:p>
        </w:tc>
        <w:tc>
          <w:tcPr>
            <w:tcW w:w="4917" w:type="dxa"/>
            <w:vAlign w:val="center"/>
          </w:tcPr>
          <w:p>
            <w:pPr>
              <w:keepNext w:val="0"/>
              <w:keepLines w:val="0"/>
              <w:pageBreakBefore w:val="0"/>
              <w:widowControl w:val="0"/>
              <w:kinsoku/>
              <w:wordWrap/>
              <w:overflowPunct/>
              <w:topLinePunct w:val="0"/>
              <w:autoSpaceDE w:val="0"/>
              <w:autoSpaceDN w:val="0"/>
              <w:bidi w:val="0"/>
              <w:adjustRightInd w:val="0"/>
              <w:spacing w:line="320" w:lineRule="exact"/>
              <w:jc w:val="left"/>
              <w:textAlignment w:val="auto"/>
              <w:rPr>
                <w:rFonts w:ascii="Times New Roman" w:hAnsi="Times New Roman" w:cs="Times New Roman"/>
                <w:color w:val="auto"/>
              </w:rPr>
            </w:pPr>
            <w:r>
              <w:rPr>
                <w:rFonts w:hint="eastAsia" w:ascii="Times New Roman" w:hAnsi="Times New Roman" w:cs="宋体"/>
                <w:color w:val="auto"/>
              </w:rPr>
              <w:t>加油加气加氢站作业区内，不得有</w:t>
            </w:r>
            <w:r>
              <w:rPr>
                <w:rFonts w:ascii="Times New Roman" w:hAnsi="Times New Roman" w:cs="Times New Roman"/>
                <w:color w:val="auto"/>
              </w:rPr>
              <w:t>“</w:t>
            </w:r>
            <w:r>
              <w:rPr>
                <w:rFonts w:hint="eastAsia" w:ascii="Times New Roman" w:hAnsi="Times New Roman" w:cs="宋体"/>
                <w:color w:val="auto"/>
              </w:rPr>
              <w:t>明火地点</w:t>
            </w:r>
            <w:r>
              <w:rPr>
                <w:rFonts w:ascii="Times New Roman" w:hAnsi="Times New Roman" w:cs="Times New Roman"/>
                <w:color w:val="auto"/>
              </w:rPr>
              <w:t>”</w:t>
            </w:r>
            <w:r>
              <w:rPr>
                <w:rFonts w:hint="eastAsia" w:ascii="Times New Roman" w:hAnsi="Times New Roman" w:cs="宋体"/>
                <w:color w:val="auto"/>
              </w:rPr>
              <w:t>或</w:t>
            </w:r>
            <w:r>
              <w:rPr>
                <w:rFonts w:ascii="Times New Roman" w:hAnsi="Times New Roman" w:cs="Times New Roman"/>
                <w:color w:val="auto"/>
              </w:rPr>
              <w:t>“</w:t>
            </w:r>
            <w:r>
              <w:rPr>
                <w:rFonts w:hint="eastAsia" w:ascii="Times New Roman" w:hAnsi="Times New Roman" w:cs="宋体"/>
                <w:color w:val="auto"/>
              </w:rPr>
              <w:t>散发火花地点</w:t>
            </w:r>
            <w:r>
              <w:rPr>
                <w:rFonts w:ascii="Times New Roman" w:hAnsi="Times New Roman" w:cs="Times New Roman"/>
                <w:color w:val="auto"/>
              </w:rPr>
              <w:t>”</w:t>
            </w:r>
            <w:r>
              <w:rPr>
                <w:rFonts w:hint="eastAsia" w:ascii="Times New Roman" w:hAnsi="Times New Roman" w:cs="宋体"/>
                <w:color w:val="auto"/>
              </w:rPr>
              <w:t>。</w:t>
            </w:r>
          </w:p>
        </w:tc>
        <w:tc>
          <w:tcPr>
            <w:tcW w:w="584" w:type="dxa"/>
            <w:vAlign w:val="center"/>
          </w:tcPr>
          <w:p>
            <w:pPr>
              <w:keepNext w:val="0"/>
              <w:keepLines w:val="0"/>
              <w:pageBreakBefore w:val="0"/>
              <w:widowControl w:val="0"/>
              <w:kinsoku/>
              <w:wordWrap/>
              <w:overflowPunct/>
              <w:topLinePunct w:val="0"/>
              <w:bidi w:val="0"/>
              <w:adjustRightInd w:val="0"/>
              <w:spacing w:line="32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5.0.5</w:t>
            </w:r>
          </w:p>
        </w:tc>
        <w:tc>
          <w:tcPr>
            <w:tcW w:w="2416" w:type="dxa"/>
            <w:vAlign w:val="center"/>
          </w:tcPr>
          <w:p>
            <w:pPr>
              <w:keepNext w:val="0"/>
              <w:keepLines w:val="0"/>
              <w:pageBreakBefore w:val="0"/>
              <w:widowControl w:val="0"/>
              <w:kinsoku/>
              <w:wordWrap/>
              <w:overflowPunct/>
              <w:topLinePunct w:val="0"/>
              <w:bidi w:val="0"/>
              <w:adjustRightInd w:val="0"/>
              <w:spacing w:line="320" w:lineRule="exact"/>
              <w:textAlignment w:val="auto"/>
              <w:rPr>
                <w:rFonts w:ascii="Times New Roman" w:hAnsi="Times New Roman" w:cs="Times New Roman"/>
                <w:color w:val="auto"/>
                <w:kern w:val="0"/>
              </w:rPr>
            </w:pPr>
            <w:r>
              <w:rPr>
                <w:rFonts w:hint="eastAsia" w:ascii="Times New Roman" w:hAnsi="Times New Roman" w:cs="宋体"/>
                <w:color w:val="auto"/>
                <w:kern w:val="0"/>
              </w:rPr>
              <w:t>站内不存在</w:t>
            </w:r>
            <w:r>
              <w:rPr>
                <w:rFonts w:ascii="Times New Roman" w:hAnsi="Times New Roman" w:cs="Times New Roman"/>
                <w:color w:val="auto"/>
              </w:rPr>
              <w:t>“</w:t>
            </w:r>
            <w:r>
              <w:rPr>
                <w:rFonts w:hint="eastAsia" w:ascii="Times New Roman" w:hAnsi="Times New Roman" w:cs="宋体"/>
                <w:color w:val="auto"/>
              </w:rPr>
              <w:t>明火地点</w:t>
            </w:r>
            <w:r>
              <w:rPr>
                <w:rFonts w:ascii="Times New Roman" w:hAnsi="Times New Roman" w:cs="Times New Roman"/>
                <w:color w:val="auto"/>
              </w:rPr>
              <w:t>”</w:t>
            </w:r>
            <w:r>
              <w:rPr>
                <w:rFonts w:hint="eastAsia" w:ascii="Times New Roman" w:hAnsi="Times New Roman" w:cs="宋体"/>
                <w:color w:val="auto"/>
              </w:rPr>
              <w:t>或</w:t>
            </w:r>
            <w:r>
              <w:rPr>
                <w:rFonts w:ascii="Times New Roman" w:hAnsi="Times New Roman" w:cs="Times New Roman"/>
                <w:color w:val="auto"/>
              </w:rPr>
              <w:t>“</w:t>
            </w:r>
            <w:r>
              <w:rPr>
                <w:rFonts w:hint="eastAsia" w:ascii="Times New Roman" w:hAnsi="Times New Roman" w:cs="宋体"/>
                <w:color w:val="auto"/>
              </w:rPr>
              <w:t>散发火花地点</w:t>
            </w:r>
            <w:r>
              <w:rPr>
                <w:rFonts w:ascii="Times New Roman" w:hAnsi="Times New Roman" w:cs="Times New Roman"/>
                <w:color w:val="auto"/>
              </w:rPr>
              <w:t>”</w:t>
            </w:r>
            <w:r>
              <w:rPr>
                <w:rFonts w:hint="eastAsia" w:ascii="Times New Roman" w:hAnsi="Times New Roman" w:cs="宋体"/>
                <w:color w:val="auto"/>
              </w:rPr>
              <w:t>。</w:t>
            </w:r>
          </w:p>
        </w:tc>
        <w:tc>
          <w:tcPr>
            <w:tcW w:w="716"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88"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ascii="Times New Roman" w:hAnsi="Times New Roman" w:cs="Times New Roman"/>
                <w:color w:val="auto"/>
              </w:rPr>
              <w:t>4</w:t>
            </w:r>
          </w:p>
        </w:tc>
        <w:tc>
          <w:tcPr>
            <w:tcW w:w="4917" w:type="dxa"/>
            <w:vAlign w:val="center"/>
          </w:tcPr>
          <w:p>
            <w:pPr>
              <w:keepNext w:val="0"/>
              <w:keepLines w:val="0"/>
              <w:pageBreakBefore w:val="0"/>
              <w:widowControl w:val="0"/>
              <w:kinsoku/>
              <w:wordWrap/>
              <w:overflowPunct/>
              <w:topLinePunct w:val="0"/>
              <w:autoSpaceDE w:val="0"/>
              <w:autoSpaceDN w:val="0"/>
              <w:bidi w:val="0"/>
              <w:adjustRightInd w:val="0"/>
              <w:spacing w:line="320" w:lineRule="exact"/>
              <w:jc w:val="left"/>
              <w:textAlignment w:val="auto"/>
              <w:rPr>
                <w:rFonts w:ascii="Times New Roman" w:hAnsi="Times New Roman" w:cs="Times New Roman"/>
                <w:color w:val="auto"/>
              </w:rPr>
            </w:pPr>
            <w:r>
              <w:rPr>
                <w:rFonts w:hint="eastAsia" w:ascii="Times New Roman" w:hAnsi="Times New Roman" w:cs="宋体"/>
                <w:color w:val="auto"/>
              </w:rPr>
              <w:t>加油加气加氢站的变配电间或室外变压器应布置在作业区之外。变配电间的起算点应为门窗等洞口。</w:t>
            </w:r>
          </w:p>
        </w:tc>
        <w:tc>
          <w:tcPr>
            <w:tcW w:w="584" w:type="dxa"/>
            <w:vAlign w:val="center"/>
          </w:tcPr>
          <w:p>
            <w:pPr>
              <w:pStyle w:val="37"/>
              <w:keepNext w:val="0"/>
              <w:keepLines w:val="0"/>
              <w:pageBreakBefore w:val="0"/>
              <w:widowControl w:val="0"/>
              <w:kinsoku/>
              <w:wordWrap/>
              <w:overflowPunct/>
              <w:topLinePunct w:val="0"/>
              <w:bidi w:val="0"/>
              <w:spacing w:line="320" w:lineRule="exact"/>
              <w:jc w:val="center"/>
              <w:textAlignment w:val="auto"/>
              <w:rPr>
                <w:color w:val="auto"/>
              </w:rPr>
            </w:pPr>
            <w:r>
              <w:rPr>
                <w:color w:val="auto"/>
                <w:kern w:val="0"/>
              </w:rPr>
              <w:t>5.0.8</w:t>
            </w:r>
          </w:p>
        </w:tc>
        <w:tc>
          <w:tcPr>
            <w:tcW w:w="2416" w:type="dxa"/>
            <w:vAlign w:val="center"/>
          </w:tcPr>
          <w:p>
            <w:pPr>
              <w:keepNext w:val="0"/>
              <w:keepLines w:val="0"/>
              <w:pageBreakBefore w:val="0"/>
              <w:widowControl w:val="0"/>
              <w:kinsoku/>
              <w:wordWrap/>
              <w:overflowPunct/>
              <w:topLinePunct w:val="0"/>
              <w:bidi w:val="0"/>
              <w:adjustRightInd w:val="0"/>
              <w:spacing w:line="320" w:lineRule="exact"/>
              <w:textAlignment w:val="auto"/>
              <w:rPr>
                <w:rFonts w:ascii="Times New Roman" w:hAnsi="Times New Roman" w:cs="Times New Roman"/>
                <w:color w:val="auto"/>
                <w:kern w:val="0"/>
              </w:rPr>
            </w:pPr>
            <w:r>
              <w:rPr>
                <w:rFonts w:hint="eastAsia" w:ascii="Times New Roman" w:hAnsi="Times New Roman" w:cs="宋体"/>
                <w:color w:val="auto"/>
                <w:kern w:val="0"/>
              </w:rPr>
              <w:t>配电间位于爆炸危险区域外。</w:t>
            </w:r>
          </w:p>
        </w:tc>
        <w:tc>
          <w:tcPr>
            <w:tcW w:w="716"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488"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ascii="Times New Roman" w:hAnsi="Times New Roman" w:cs="Times New Roman"/>
                <w:color w:val="auto"/>
              </w:rPr>
              <w:t>5</w:t>
            </w:r>
          </w:p>
        </w:tc>
        <w:tc>
          <w:tcPr>
            <w:tcW w:w="4917" w:type="dxa"/>
            <w:vAlign w:val="center"/>
          </w:tcPr>
          <w:p>
            <w:pPr>
              <w:keepNext w:val="0"/>
              <w:keepLines w:val="0"/>
              <w:pageBreakBefore w:val="0"/>
              <w:widowControl w:val="0"/>
              <w:kinsoku/>
              <w:wordWrap/>
              <w:overflowPunct/>
              <w:topLinePunct w:val="0"/>
              <w:autoSpaceDE w:val="0"/>
              <w:autoSpaceDN w:val="0"/>
              <w:bidi w:val="0"/>
              <w:adjustRightInd w:val="0"/>
              <w:spacing w:line="320" w:lineRule="exact"/>
              <w:jc w:val="left"/>
              <w:textAlignment w:val="auto"/>
              <w:rPr>
                <w:rFonts w:ascii="Times New Roman" w:hAnsi="Times New Roman" w:cs="Times New Roman"/>
                <w:color w:val="auto"/>
              </w:rPr>
            </w:pPr>
            <w:r>
              <w:rPr>
                <w:rFonts w:hint="eastAsia" w:ascii="Times New Roman" w:hAnsi="Times New Roman" w:cs="宋体"/>
                <w:color w:val="auto"/>
              </w:rPr>
              <w:t>站房不应布置在爆炸危险区域。站房部分位于作业区内时，建筑面积等应符合本标准第</w:t>
            </w:r>
            <w:r>
              <w:rPr>
                <w:rFonts w:ascii="Times New Roman" w:hAnsi="Times New Roman" w:cs="Times New Roman"/>
                <w:color w:val="auto"/>
              </w:rPr>
              <w:t>14.2.10</w:t>
            </w:r>
            <w:r>
              <w:rPr>
                <w:rFonts w:hint="eastAsia" w:ascii="Times New Roman" w:hAnsi="Times New Roman" w:cs="宋体"/>
                <w:color w:val="auto"/>
              </w:rPr>
              <w:t>条的规定。</w:t>
            </w:r>
          </w:p>
        </w:tc>
        <w:tc>
          <w:tcPr>
            <w:tcW w:w="584" w:type="dxa"/>
            <w:vAlign w:val="center"/>
          </w:tcPr>
          <w:p>
            <w:pPr>
              <w:pStyle w:val="37"/>
              <w:keepNext w:val="0"/>
              <w:keepLines w:val="0"/>
              <w:pageBreakBefore w:val="0"/>
              <w:widowControl w:val="0"/>
              <w:kinsoku/>
              <w:wordWrap/>
              <w:overflowPunct/>
              <w:topLinePunct w:val="0"/>
              <w:bidi w:val="0"/>
              <w:spacing w:line="320" w:lineRule="exact"/>
              <w:jc w:val="center"/>
              <w:textAlignment w:val="auto"/>
              <w:rPr>
                <w:color w:val="auto"/>
              </w:rPr>
            </w:pPr>
            <w:r>
              <w:rPr>
                <w:color w:val="auto"/>
                <w:kern w:val="0"/>
              </w:rPr>
              <w:t>5.0.9</w:t>
            </w:r>
          </w:p>
        </w:tc>
        <w:tc>
          <w:tcPr>
            <w:tcW w:w="2416" w:type="dxa"/>
            <w:vAlign w:val="center"/>
          </w:tcPr>
          <w:p>
            <w:pPr>
              <w:keepNext w:val="0"/>
              <w:keepLines w:val="0"/>
              <w:pageBreakBefore w:val="0"/>
              <w:widowControl w:val="0"/>
              <w:kinsoku/>
              <w:wordWrap/>
              <w:overflowPunct/>
              <w:topLinePunct w:val="0"/>
              <w:bidi w:val="0"/>
              <w:adjustRightInd w:val="0"/>
              <w:spacing w:line="320" w:lineRule="exact"/>
              <w:textAlignment w:val="auto"/>
              <w:rPr>
                <w:rFonts w:ascii="Times New Roman" w:hAnsi="Times New Roman" w:cs="Times New Roman"/>
                <w:color w:val="auto"/>
                <w:kern w:val="0"/>
              </w:rPr>
            </w:pPr>
            <w:r>
              <w:rPr>
                <w:rFonts w:hint="eastAsia" w:ascii="Times New Roman" w:hAnsi="Times New Roman" w:cs="宋体"/>
                <w:color w:val="auto"/>
                <w:kern w:val="0"/>
              </w:rPr>
              <w:t>站房未布置在爆炸危险区域内。</w:t>
            </w:r>
          </w:p>
        </w:tc>
        <w:tc>
          <w:tcPr>
            <w:tcW w:w="716"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88"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ascii="Times New Roman" w:hAnsi="Times New Roman" w:cs="Times New Roman"/>
                <w:color w:val="auto"/>
              </w:rPr>
              <w:t>6</w:t>
            </w:r>
          </w:p>
        </w:tc>
        <w:tc>
          <w:tcPr>
            <w:tcW w:w="4917" w:type="dxa"/>
            <w:vAlign w:val="center"/>
          </w:tcPr>
          <w:p>
            <w:pPr>
              <w:keepNext w:val="0"/>
              <w:keepLines w:val="0"/>
              <w:pageBreakBefore w:val="0"/>
              <w:widowControl w:val="0"/>
              <w:kinsoku/>
              <w:wordWrap/>
              <w:overflowPunct/>
              <w:topLinePunct w:val="0"/>
              <w:autoSpaceDE w:val="0"/>
              <w:autoSpaceDN w:val="0"/>
              <w:bidi w:val="0"/>
              <w:adjustRightInd w:val="0"/>
              <w:spacing w:line="320" w:lineRule="exact"/>
              <w:jc w:val="left"/>
              <w:textAlignment w:val="auto"/>
              <w:rPr>
                <w:rFonts w:ascii="Times New Roman" w:hAnsi="Times New Roman" w:cs="Times New Roman"/>
                <w:color w:val="auto"/>
              </w:rPr>
            </w:pPr>
            <w:r>
              <w:rPr>
                <w:rFonts w:hint="eastAsia" w:ascii="Times New Roman" w:hAnsi="Times New Roman" w:cs="宋体"/>
                <w:color w:val="auto"/>
              </w:rPr>
              <w:t>汽车加油加气加氢站内的爆炸危险区域，不应超出站区围墙和可用地界线。</w:t>
            </w:r>
          </w:p>
        </w:tc>
        <w:tc>
          <w:tcPr>
            <w:tcW w:w="584" w:type="dxa"/>
            <w:vAlign w:val="center"/>
          </w:tcPr>
          <w:p>
            <w:pPr>
              <w:pStyle w:val="37"/>
              <w:keepNext w:val="0"/>
              <w:keepLines w:val="0"/>
              <w:pageBreakBefore w:val="0"/>
              <w:widowControl w:val="0"/>
              <w:kinsoku/>
              <w:wordWrap/>
              <w:overflowPunct/>
              <w:topLinePunct w:val="0"/>
              <w:bidi w:val="0"/>
              <w:spacing w:line="320" w:lineRule="exact"/>
              <w:jc w:val="center"/>
              <w:textAlignment w:val="auto"/>
              <w:rPr>
                <w:color w:val="auto"/>
              </w:rPr>
            </w:pPr>
            <w:r>
              <w:rPr>
                <w:color w:val="auto"/>
                <w:kern w:val="0"/>
              </w:rPr>
              <w:t>5.0.11</w:t>
            </w:r>
          </w:p>
        </w:tc>
        <w:tc>
          <w:tcPr>
            <w:tcW w:w="2416" w:type="dxa"/>
            <w:vAlign w:val="center"/>
          </w:tcPr>
          <w:p>
            <w:pPr>
              <w:keepNext w:val="0"/>
              <w:keepLines w:val="0"/>
              <w:pageBreakBefore w:val="0"/>
              <w:widowControl w:val="0"/>
              <w:kinsoku/>
              <w:wordWrap/>
              <w:overflowPunct/>
              <w:topLinePunct w:val="0"/>
              <w:bidi w:val="0"/>
              <w:adjustRightInd w:val="0"/>
              <w:spacing w:line="320" w:lineRule="exact"/>
              <w:textAlignment w:val="auto"/>
              <w:rPr>
                <w:rFonts w:ascii="Times New Roman" w:hAnsi="Times New Roman" w:cs="Times New Roman"/>
                <w:color w:val="auto"/>
                <w:kern w:val="0"/>
              </w:rPr>
            </w:pPr>
            <w:r>
              <w:rPr>
                <w:rFonts w:hint="eastAsia" w:ascii="Times New Roman" w:hAnsi="Times New Roman" w:cs="宋体"/>
                <w:color w:val="auto"/>
                <w:kern w:val="0"/>
              </w:rPr>
              <w:t>爆炸危险区域不超出站区围墙和可用地界线。</w:t>
            </w:r>
          </w:p>
        </w:tc>
        <w:tc>
          <w:tcPr>
            <w:tcW w:w="716" w:type="dxa"/>
            <w:vAlign w:val="center"/>
          </w:tcPr>
          <w:p>
            <w:pPr>
              <w:keepNext w:val="0"/>
              <w:keepLines w:val="0"/>
              <w:pageBreakBefore w:val="0"/>
              <w:widowControl w:val="0"/>
              <w:kinsoku/>
              <w:wordWrap/>
              <w:overflowPunct/>
              <w:topLinePunct w:val="0"/>
              <w:bidi w:val="0"/>
              <w:adjustRightInd w:val="0"/>
              <w:spacing w:line="320" w:lineRule="exact"/>
              <w:jc w:val="center"/>
              <w:textAlignment w:val="auto"/>
              <w:rPr>
                <w:rFonts w:ascii="Times New Roman" w:hAnsi="Times New Roman" w:cs="Times New Roman"/>
                <w:color w:val="auto"/>
                <w:kern w:val="0"/>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8" w:hRule="atLeast"/>
          <w:jc w:val="center"/>
        </w:trPr>
        <w:tc>
          <w:tcPr>
            <w:tcW w:w="488" w:type="dxa"/>
            <w:vAlign w:val="center"/>
          </w:tcPr>
          <w:p>
            <w:pPr>
              <w:keepNext w:val="0"/>
              <w:keepLines w:val="0"/>
              <w:pageBreakBefore w:val="0"/>
              <w:widowControl w:val="0"/>
              <w:kinsoku/>
              <w:wordWrap/>
              <w:overflowPunct/>
              <w:topLinePunct w:val="0"/>
              <w:bidi w:val="0"/>
              <w:spacing w:line="320" w:lineRule="exact"/>
              <w:jc w:val="center"/>
              <w:textAlignment w:val="auto"/>
              <w:rPr>
                <w:rFonts w:ascii="Times New Roman" w:hAnsi="Times New Roman" w:cs="Times New Roman"/>
                <w:color w:val="auto"/>
              </w:rPr>
            </w:pPr>
            <w:r>
              <w:rPr>
                <w:rFonts w:ascii="Times New Roman" w:hAnsi="Times New Roman" w:cs="Times New Roman"/>
                <w:color w:val="auto"/>
              </w:rPr>
              <w:t>7</w:t>
            </w:r>
          </w:p>
        </w:tc>
        <w:tc>
          <w:tcPr>
            <w:tcW w:w="4917" w:type="dxa"/>
            <w:vAlign w:val="center"/>
          </w:tcPr>
          <w:p>
            <w:pPr>
              <w:keepNext w:val="0"/>
              <w:keepLines w:val="0"/>
              <w:pageBreakBefore w:val="0"/>
              <w:widowControl w:val="0"/>
              <w:kinsoku/>
              <w:wordWrap/>
              <w:overflowPunct/>
              <w:topLinePunct w:val="0"/>
              <w:autoSpaceDE w:val="0"/>
              <w:autoSpaceDN w:val="0"/>
              <w:bidi w:val="0"/>
              <w:adjustRightInd w:val="0"/>
              <w:spacing w:line="320" w:lineRule="exact"/>
              <w:jc w:val="left"/>
              <w:textAlignment w:val="auto"/>
              <w:rPr>
                <w:rFonts w:ascii="Times New Roman" w:hAnsi="Times New Roman" w:cs="Times New Roman"/>
                <w:color w:val="auto"/>
              </w:rPr>
            </w:pPr>
            <w:r>
              <w:rPr>
                <w:rFonts w:hint="eastAsia" w:ascii="Times New Roman" w:hAnsi="Times New Roman" w:cs="宋体"/>
                <w:color w:val="auto"/>
              </w:rPr>
              <w:t>汽车加油加气加氢站的工艺设备与站外建（构）筑物之间，宜设置不燃烧体实体围墙，围墙高度相对于站内和站外地坪均不宜低于</w:t>
            </w:r>
            <w:r>
              <w:rPr>
                <w:rFonts w:ascii="Times New Roman" w:hAnsi="Times New Roman" w:cs="Times New Roman"/>
                <w:color w:val="auto"/>
              </w:rPr>
              <w:t>2.2m</w:t>
            </w:r>
            <w:r>
              <w:rPr>
                <w:rFonts w:hint="eastAsia" w:ascii="Times New Roman" w:hAnsi="Times New Roman" w:cs="宋体"/>
                <w:color w:val="auto"/>
              </w:rPr>
              <w:t>。当汽车加油加气加氢站的工艺设备与站外建（构）筑物之间的距离大于本标准表</w:t>
            </w:r>
            <w:r>
              <w:rPr>
                <w:rFonts w:ascii="Times New Roman" w:hAnsi="Times New Roman" w:cs="Times New Roman"/>
                <w:color w:val="auto"/>
              </w:rPr>
              <w:t>4.0.4~</w:t>
            </w:r>
            <w:r>
              <w:rPr>
                <w:rFonts w:hint="eastAsia" w:ascii="Times New Roman" w:hAnsi="Times New Roman" w:cs="宋体"/>
                <w:color w:val="auto"/>
              </w:rPr>
              <w:t>表</w:t>
            </w:r>
            <w:r>
              <w:rPr>
                <w:rFonts w:ascii="Times New Roman" w:hAnsi="Times New Roman" w:cs="Times New Roman"/>
                <w:color w:val="auto"/>
              </w:rPr>
              <w:t>4.0.8</w:t>
            </w:r>
            <w:r>
              <w:rPr>
                <w:rFonts w:hint="eastAsia" w:ascii="Times New Roman" w:hAnsi="Times New Roman" w:cs="宋体"/>
                <w:color w:val="auto"/>
              </w:rPr>
              <w:t>中安全间距的</w:t>
            </w:r>
            <w:r>
              <w:rPr>
                <w:rFonts w:ascii="Times New Roman" w:hAnsi="Times New Roman" w:cs="Times New Roman"/>
                <w:color w:val="auto"/>
              </w:rPr>
              <w:t>1.5</w:t>
            </w:r>
            <w:r>
              <w:rPr>
                <w:rFonts w:hint="eastAsia" w:ascii="Times New Roman" w:hAnsi="Times New Roman" w:cs="宋体"/>
                <w:color w:val="auto"/>
              </w:rPr>
              <w:t>倍，且大于</w:t>
            </w:r>
            <w:r>
              <w:rPr>
                <w:rFonts w:ascii="Times New Roman" w:hAnsi="Times New Roman" w:cs="Times New Roman"/>
                <w:color w:val="auto"/>
              </w:rPr>
              <w:t>25m</w:t>
            </w:r>
            <w:r>
              <w:rPr>
                <w:rFonts w:hint="eastAsia" w:ascii="Times New Roman" w:hAnsi="Times New Roman" w:cs="宋体"/>
                <w:color w:val="auto"/>
              </w:rPr>
              <w:t>时，可设置非实体围墙。面向车辆入口和出口道路的一侧可设非实体围墙或不设围墙。与站区限毗邻的一、二级耐火等级的站外建（构）筑物，其面向加油加气加氢站侧无门、窗、孔洞的外墙，可视为站区实体围墙的一部分，但站内工艺设备与其的安全距离应符合本标准表</w:t>
            </w:r>
            <w:r>
              <w:rPr>
                <w:rFonts w:ascii="Times New Roman" w:hAnsi="Times New Roman" w:cs="Times New Roman"/>
                <w:color w:val="auto"/>
              </w:rPr>
              <w:t>4.0.4~</w:t>
            </w:r>
            <w:r>
              <w:rPr>
                <w:rFonts w:hint="eastAsia" w:ascii="Times New Roman" w:hAnsi="Times New Roman" w:cs="宋体"/>
                <w:color w:val="auto"/>
              </w:rPr>
              <w:t>表</w:t>
            </w:r>
            <w:r>
              <w:rPr>
                <w:rFonts w:ascii="Times New Roman" w:hAnsi="Times New Roman" w:cs="Times New Roman"/>
                <w:color w:val="auto"/>
              </w:rPr>
              <w:t>4.0.8</w:t>
            </w:r>
            <w:r>
              <w:rPr>
                <w:rFonts w:hint="eastAsia" w:ascii="Times New Roman" w:hAnsi="Times New Roman" w:cs="宋体"/>
                <w:color w:val="auto"/>
              </w:rPr>
              <w:t>的相关规定。</w:t>
            </w:r>
          </w:p>
        </w:tc>
        <w:tc>
          <w:tcPr>
            <w:tcW w:w="584" w:type="dxa"/>
            <w:vAlign w:val="center"/>
          </w:tcPr>
          <w:p>
            <w:pPr>
              <w:pStyle w:val="37"/>
              <w:keepNext w:val="0"/>
              <w:keepLines w:val="0"/>
              <w:pageBreakBefore w:val="0"/>
              <w:widowControl w:val="0"/>
              <w:kinsoku/>
              <w:wordWrap/>
              <w:overflowPunct/>
              <w:topLinePunct w:val="0"/>
              <w:bidi w:val="0"/>
              <w:spacing w:line="320" w:lineRule="exact"/>
              <w:jc w:val="center"/>
              <w:textAlignment w:val="auto"/>
              <w:rPr>
                <w:color w:val="auto"/>
              </w:rPr>
            </w:pPr>
            <w:r>
              <w:rPr>
                <w:color w:val="auto"/>
                <w:kern w:val="0"/>
              </w:rPr>
              <w:t>5.0.12</w:t>
            </w:r>
          </w:p>
        </w:tc>
        <w:tc>
          <w:tcPr>
            <w:tcW w:w="2416" w:type="dxa"/>
            <w:vAlign w:val="center"/>
          </w:tcPr>
          <w:p>
            <w:pPr>
              <w:keepNext w:val="0"/>
              <w:keepLines w:val="0"/>
              <w:pageBreakBefore w:val="0"/>
              <w:widowControl w:val="0"/>
              <w:kinsoku/>
              <w:wordWrap/>
              <w:overflowPunct/>
              <w:topLinePunct w:val="0"/>
              <w:bidi w:val="0"/>
              <w:adjustRightInd w:val="0"/>
              <w:spacing w:line="320" w:lineRule="exact"/>
              <w:textAlignment w:val="auto"/>
              <w:rPr>
                <w:rFonts w:ascii="Times New Roman" w:hAnsi="Times New Roman" w:cs="Times New Roman"/>
                <w:color w:val="auto"/>
                <w:kern w:val="0"/>
              </w:rPr>
            </w:pPr>
            <w:r>
              <w:rPr>
                <w:rFonts w:hint="eastAsia" w:ascii="Times New Roman" w:hAnsi="Times New Roman" w:cs="宋体"/>
                <w:color w:val="auto"/>
                <w:kern w:val="0"/>
              </w:rPr>
              <w:t>站区东、</w:t>
            </w:r>
            <w:r>
              <w:rPr>
                <w:rFonts w:hint="eastAsia" w:ascii="Times New Roman" w:hAnsi="Times New Roman" w:cs="宋体"/>
                <w:color w:val="auto"/>
                <w:kern w:val="0"/>
                <w:lang w:val="en-US" w:eastAsia="zh-CN"/>
              </w:rPr>
              <w:t>南</w:t>
            </w:r>
            <w:r>
              <w:rPr>
                <w:rFonts w:hint="eastAsia" w:ascii="Times New Roman" w:hAnsi="Times New Roman" w:cs="宋体"/>
                <w:color w:val="auto"/>
                <w:kern w:val="0"/>
              </w:rPr>
              <w:t>、</w:t>
            </w:r>
            <w:r>
              <w:rPr>
                <w:rFonts w:hint="eastAsia" w:ascii="Times New Roman" w:hAnsi="Times New Roman" w:cs="宋体"/>
                <w:color w:val="auto"/>
                <w:kern w:val="0"/>
                <w:lang w:val="en-US" w:eastAsia="zh-CN"/>
              </w:rPr>
              <w:t>西</w:t>
            </w:r>
            <w:r>
              <w:rPr>
                <w:rFonts w:hint="eastAsia" w:ascii="Times New Roman" w:hAnsi="Times New Roman" w:cs="宋体"/>
                <w:color w:val="auto"/>
                <w:kern w:val="0"/>
              </w:rPr>
              <w:t>面设有围墙，面向出入口道路一侧不设围墙。</w:t>
            </w:r>
          </w:p>
        </w:tc>
        <w:tc>
          <w:tcPr>
            <w:tcW w:w="716" w:type="dxa"/>
            <w:vAlign w:val="center"/>
          </w:tcPr>
          <w:p>
            <w:pPr>
              <w:keepNext w:val="0"/>
              <w:keepLines w:val="0"/>
              <w:pageBreakBefore w:val="0"/>
              <w:widowControl w:val="0"/>
              <w:kinsoku/>
              <w:wordWrap/>
              <w:overflowPunct/>
              <w:topLinePunct w:val="0"/>
              <w:bidi w:val="0"/>
              <w:adjustRightInd w:val="0"/>
              <w:spacing w:line="320" w:lineRule="exact"/>
              <w:jc w:val="center"/>
              <w:textAlignment w:val="auto"/>
              <w:rPr>
                <w:rFonts w:ascii="Times New Roman" w:hAnsi="Times New Roman" w:cs="Times New Roman"/>
                <w:color w:val="auto"/>
                <w:kern w:val="0"/>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88" w:type="dxa"/>
            <w:vAlign w:val="center"/>
          </w:tcPr>
          <w:p>
            <w:pPr>
              <w:spacing w:line="340" w:lineRule="exact"/>
              <w:jc w:val="center"/>
              <w:rPr>
                <w:rFonts w:ascii="Times New Roman" w:hAnsi="Times New Roman" w:cs="Times New Roman"/>
                <w:color w:val="auto"/>
              </w:rPr>
            </w:pPr>
            <w:r>
              <w:rPr>
                <w:rFonts w:ascii="Times New Roman" w:hAnsi="Times New Roman" w:cs="Times New Roman"/>
                <w:color w:val="auto"/>
              </w:rPr>
              <w:t>8</w:t>
            </w:r>
          </w:p>
        </w:tc>
        <w:tc>
          <w:tcPr>
            <w:tcW w:w="4917" w:type="dxa"/>
            <w:vAlign w:val="center"/>
          </w:tcPr>
          <w:p>
            <w:pPr>
              <w:autoSpaceDE w:val="0"/>
              <w:autoSpaceDN w:val="0"/>
              <w:adjustRightInd w:val="0"/>
              <w:spacing w:line="340" w:lineRule="exact"/>
              <w:jc w:val="left"/>
              <w:rPr>
                <w:rFonts w:ascii="Times New Roman" w:hAnsi="Times New Roman" w:cs="Times New Roman"/>
                <w:color w:val="auto"/>
              </w:rPr>
            </w:pPr>
            <w:r>
              <w:rPr>
                <w:rFonts w:hint="eastAsia" w:ascii="Times New Roman" w:hAnsi="Times New Roman" w:cs="宋体"/>
                <w:color w:val="auto"/>
              </w:rPr>
              <w:t>加油站内设施之间的防火间距，不应小于表</w:t>
            </w:r>
            <w:r>
              <w:rPr>
                <w:rFonts w:ascii="Times New Roman" w:hAnsi="Times New Roman" w:cs="Times New Roman"/>
                <w:color w:val="auto"/>
              </w:rPr>
              <w:t>5.0.13-1</w:t>
            </w:r>
            <w:r>
              <w:rPr>
                <w:rFonts w:hint="eastAsia" w:ascii="Times New Roman" w:hAnsi="Times New Roman" w:cs="宋体"/>
                <w:color w:val="auto"/>
              </w:rPr>
              <w:t>的规定。</w:t>
            </w:r>
          </w:p>
        </w:tc>
        <w:tc>
          <w:tcPr>
            <w:tcW w:w="584" w:type="dxa"/>
            <w:vAlign w:val="center"/>
          </w:tcPr>
          <w:p>
            <w:pPr>
              <w:pStyle w:val="37"/>
              <w:spacing w:line="340" w:lineRule="exact"/>
              <w:jc w:val="center"/>
              <w:rPr>
                <w:color w:val="auto"/>
              </w:rPr>
            </w:pPr>
            <w:r>
              <w:rPr>
                <w:color w:val="auto"/>
                <w:kern w:val="0"/>
              </w:rPr>
              <w:t>5.0.13</w:t>
            </w:r>
          </w:p>
        </w:tc>
        <w:tc>
          <w:tcPr>
            <w:tcW w:w="2416" w:type="dxa"/>
            <w:vAlign w:val="center"/>
          </w:tcPr>
          <w:p>
            <w:pPr>
              <w:adjustRightInd w:val="0"/>
              <w:spacing w:line="340" w:lineRule="exact"/>
              <w:rPr>
                <w:rFonts w:ascii="Times New Roman" w:hAnsi="Times New Roman" w:cs="Times New Roman"/>
                <w:color w:val="auto"/>
                <w:kern w:val="0"/>
              </w:rPr>
            </w:pPr>
            <w:r>
              <w:rPr>
                <w:rFonts w:hint="eastAsia" w:ascii="Times New Roman" w:hAnsi="Times New Roman" w:cs="宋体"/>
                <w:color w:val="auto"/>
                <w:kern w:val="0"/>
              </w:rPr>
              <w:t>见本报告表</w:t>
            </w:r>
            <w:r>
              <w:rPr>
                <w:rFonts w:ascii="Times New Roman" w:hAnsi="Times New Roman" w:cs="Times New Roman"/>
                <w:color w:val="auto"/>
                <w:kern w:val="0"/>
              </w:rPr>
              <w:t>6-5</w:t>
            </w:r>
            <w:r>
              <w:rPr>
                <w:rFonts w:hint="eastAsia" w:ascii="Times New Roman" w:hAnsi="Times New Roman" w:cs="宋体"/>
                <w:color w:val="auto"/>
                <w:kern w:val="0"/>
              </w:rPr>
              <w:t>。</w:t>
            </w:r>
          </w:p>
        </w:tc>
        <w:tc>
          <w:tcPr>
            <w:tcW w:w="716" w:type="dxa"/>
            <w:vAlign w:val="center"/>
          </w:tcPr>
          <w:p>
            <w:pPr>
              <w:spacing w:line="340" w:lineRule="exact"/>
              <w:jc w:val="center"/>
              <w:rPr>
                <w:rFonts w:ascii="Times New Roman" w:hAnsi="Times New Roman" w:cs="Times New Roman"/>
                <w:color w:val="auto"/>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488" w:type="dxa"/>
            <w:vAlign w:val="center"/>
          </w:tcPr>
          <w:p>
            <w:pPr>
              <w:spacing w:line="340" w:lineRule="exact"/>
              <w:jc w:val="center"/>
              <w:rPr>
                <w:rFonts w:ascii="Times New Roman" w:hAnsi="Times New Roman" w:cs="Times New Roman"/>
                <w:color w:val="auto"/>
              </w:rPr>
            </w:pPr>
            <w:r>
              <w:rPr>
                <w:rFonts w:ascii="Times New Roman" w:hAnsi="Times New Roman" w:cs="Times New Roman"/>
                <w:color w:val="auto"/>
              </w:rPr>
              <w:t>9</w:t>
            </w:r>
          </w:p>
        </w:tc>
        <w:tc>
          <w:tcPr>
            <w:tcW w:w="4917" w:type="dxa"/>
            <w:vAlign w:val="center"/>
          </w:tcPr>
          <w:p>
            <w:pPr>
              <w:autoSpaceDE w:val="0"/>
              <w:autoSpaceDN w:val="0"/>
              <w:adjustRightInd w:val="0"/>
              <w:spacing w:line="340" w:lineRule="exact"/>
              <w:jc w:val="left"/>
              <w:rPr>
                <w:rFonts w:ascii="Times New Roman" w:hAnsi="Times New Roman" w:cs="Times New Roman"/>
                <w:color w:val="auto"/>
              </w:rPr>
            </w:pPr>
            <w:r>
              <w:rPr>
                <w:rFonts w:hint="eastAsia" w:ascii="Times New Roman" w:hAnsi="Times New Roman" w:cs="宋体"/>
                <w:color w:val="auto"/>
              </w:rPr>
              <w:t>加油站内爆炸危险区域的等级和范围划分，应符合本规范附录</w:t>
            </w:r>
            <w:r>
              <w:rPr>
                <w:rFonts w:ascii="Times New Roman" w:hAnsi="Times New Roman" w:cs="Times New Roman"/>
                <w:color w:val="auto"/>
              </w:rPr>
              <w:t>C</w:t>
            </w:r>
            <w:r>
              <w:rPr>
                <w:rFonts w:hint="eastAsia" w:ascii="Times New Roman" w:hAnsi="Times New Roman" w:cs="宋体"/>
                <w:color w:val="auto"/>
              </w:rPr>
              <w:t>的规定。</w:t>
            </w:r>
          </w:p>
        </w:tc>
        <w:tc>
          <w:tcPr>
            <w:tcW w:w="584" w:type="dxa"/>
            <w:vAlign w:val="center"/>
          </w:tcPr>
          <w:p>
            <w:pPr>
              <w:pStyle w:val="37"/>
              <w:spacing w:line="340" w:lineRule="exact"/>
              <w:jc w:val="center"/>
              <w:rPr>
                <w:color w:val="auto"/>
              </w:rPr>
            </w:pPr>
            <w:r>
              <w:rPr>
                <w:color w:val="auto"/>
                <w:kern w:val="0"/>
              </w:rPr>
              <w:t>5.0.16</w:t>
            </w:r>
          </w:p>
        </w:tc>
        <w:tc>
          <w:tcPr>
            <w:tcW w:w="2416" w:type="dxa"/>
            <w:vAlign w:val="center"/>
          </w:tcPr>
          <w:p>
            <w:pPr>
              <w:adjustRightInd w:val="0"/>
              <w:spacing w:line="340" w:lineRule="exact"/>
              <w:rPr>
                <w:rFonts w:ascii="Times New Roman" w:hAnsi="Times New Roman" w:cs="Times New Roman"/>
                <w:color w:val="auto"/>
                <w:kern w:val="0"/>
              </w:rPr>
            </w:pPr>
            <w:r>
              <w:rPr>
                <w:rFonts w:hint="eastAsia" w:ascii="Times New Roman" w:hAnsi="Times New Roman" w:cs="宋体"/>
                <w:color w:val="auto"/>
                <w:kern w:val="0"/>
              </w:rPr>
              <w:t>爆炸区域按要求划分</w:t>
            </w:r>
            <w:r>
              <w:rPr>
                <w:rFonts w:hint="eastAsia" w:ascii="Times New Roman" w:hAnsi="Times New Roman" w:cs="宋体"/>
                <w:color w:val="auto"/>
              </w:rPr>
              <w:t>。</w:t>
            </w:r>
          </w:p>
        </w:tc>
        <w:tc>
          <w:tcPr>
            <w:tcW w:w="716" w:type="dxa"/>
            <w:vAlign w:val="center"/>
          </w:tcPr>
          <w:p>
            <w:pPr>
              <w:spacing w:line="340" w:lineRule="exact"/>
              <w:jc w:val="center"/>
              <w:rPr>
                <w:rFonts w:ascii="Times New Roman" w:hAnsi="Times New Roman" w:cs="Times New Roman"/>
                <w:color w:val="auto"/>
              </w:rPr>
            </w:pPr>
            <w:r>
              <w:rPr>
                <w:rFonts w:hint="eastAsia" w:ascii="Times New Roman" w:hAnsi="Times New Roman" w:cs="宋体"/>
                <w:color w:val="auto"/>
                <w:kern w:val="0"/>
                <w:sz w:val="18"/>
                <w:szCs w:val="18"/>
              </w:rPr>
              <w:t>合格</w:t>
            </w:r>
          </w:p>
        </w:tc>
      </w:tr>
    </w:tbl>
    <w:p>
      <w:pPr>
        <w:spacing w:line="360" w:lineRule="auto"/>
        <w:ind w:firstLine="560" w:firstLineChars="200"/>
        <w:rPr>
          <w:rFonts w:ascii="Times New Roman" w:hAnsi="Times New Roman" w:cs="Times New Roman"/>
          <w:b/>
          <w:bCs/>
          <w:color w:val="auto"/>
          <w:sz w:val="24"/>
          <w:szCs w:val="24"/>
        </w:rPr>
      </w:pPr>
      <w:r>
        <w:rPr>
          <w:rFonts w:hint="eastAsia" w:ascii="Times New Roman" w:hAnsi="Times New Roman" w:cs="宋体"/>
          <w:color w:val="auto"/>
          <w:sz w:val="28"/>
          <w:szCs w:val="28"/>
        </w:rPr>
        <w:t>站内设施之间的防火间距见表</w:t>
      </w:r>
      <w:r>
        <w:rPr>
          <w:rFonts w:ascii="Times New Roman" w:hAnsi="Times New Roman" w:cs="Times New Roman"/>
          <w:color w:val="auto"/>
          <w:sz w:val="28"/>
          <w:szCs w:val="28"/>
        </w:rPr>
        <w:t>6-5</w:t>
      </w:r>
      <w:r>
        <w:rPr>
          <w:rFonts w:hint="eastAsia" w:ascii="Times New Roman" w:hAnsi="Times New Roman" w:cs="宋体"/>
          <w:color w:val="auto"/>
          <w:sz w:val="28"/>
          <w:szCs w:val="28"/>
        </w:rPr>
        <w:t>。</w:t>
      </w:r>
    </w:p>
    <w:p>
      <w:pPr>
        <w:jc w:val="center"/>
        <w:rPr>
          <w:rFonts w:ascii="Times New Roman" w:hAnsi="Times New Roman" w:cs="Times New Roman"/>
          <w:b/>
          <w:bCs/>
          <w:color w:val="auto"/>
          <w:sz w:val="28"/>
          <w:szCs w:val="28"/>
        </w:rPr>
      </w:pPr>
      <w:r>
        <w:rPr>
          <w:rFonts w:hint="eastAsia" w:ascii="Times New Roman" w:hAnsi="Times New Roman" w:cs="宋体"/>
          <w:color w:val="auto"/>
          <w:lang w:val="zh-CN"/>
        </w:rPr>
        <w:t>表</w:t>
      </w:r>
      <w:r>
        <w:rPr>
          <w:rFonts w:ascii="Times New Roman" w:hAnsi="Times New Roman" w:cs="Times New Roman"/>
          <w:color w:val="auto"/>
          <w:lang w:val="zh-CN"/>
        </w:rPr>
        <w:t>6-</w:t>
      </w:r>
      <w:r>
        <w:rPr>
          <w:rFonts w:ascii="Times New Roman" w:hAnsi="Times New Roman" w:cs="Times New Roman"/>
          <w:color w:val="auto"/>
        </w:rPr>
        <w:t xml:space="preserve">5 </w:t>
      </w:r>
      <w:r>
        <w:rPr>
          <w:rFonts w:ascii="Times New Roman" w:hAnsi="Times New Roman" w:cs="Times New Roman"/>
          <w:color w:val="auto"/>
          <w:lang w:val="zh-CN"/>
        </w:rPr>
        <w:t xml:space="preserve"> </w:t>
      </w:r>
      <w:r>
        <w:rPr>
          <w:rFonts w:hint="eastAsia" w:ascii="Times New Roman" w:hAnsi="Times New Roman" w:cs="宋体"/>
          <w:color w:val="auto"/>
          <w:lang w:val="zh-CN"/>
        </w:rPr>
        <w:t>站内设施之间的防火距离（</w:t>
      </w:r>
      <w:r>
        <w:rPr>
          <w:rFonts w:ascii="Times New Roman" w:hAnsi="Times New Roman" w:cs="Times New Roman"/>
          <w:color w:val="auto"/>
          <w:lang w:val="zh-CN"/>
        </w:rPr>
        <w:t>m</w:t>
      </w:r>
      <w:r>
        <w:rPr>
          <w:rFonts w:hint="eastAsia" w:ascii="Times New Roman" w:hAnsi="Times New Roman" w:cs="宋体"/>
          <w:color w:val="auto"/>
          <w:lang w:val="zh-CN"/>
        </w:rPr>
        <w:t>）</w:t>
      </w:r>
      <w:bookmarkStart w:id="149" w:name="_Toc21534"/>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8"/>
        <w:gridCol w:w="1927"/>
        <w:gridCol w:w="1944"/>
        <w:gridCol w:w="1388"/>
        <w:gridCol w:w="1495"/>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456"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序号</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设施名称</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相邻设施</w:t>
            </w:r>
          </w:p>
        </w:tc>
        <w:tc>
          <w:tcPr>
            <w:tcW w:w="764" w:type="pct"/>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标准要求（</w:t>
            </w:r>
            <w:r>
              <w:rPr>
                <w:rFonts w:ascii="Times New Roman" w:hAnsi="Times New Roman" w:cs="Times New Roman"/>
                <w:color w:val="auto"/>
                <w:sz w:val="18"/>
                <w:szCs w:val="18"/>
              </w:rPr>
              <w:t>m</w:t>
            </w:r>
            <w:r>
              <w:rPr>
                <w:rFonts w:hint="eastAsia" w:ascii="Times New Roman" w:hAnsi="Times New Roman" w:cs="宋体"/>
                <w:color w:val="auto"/>
                <w:sz w:val="18"/>
                <w:szCs w:val="18"/>
              </w:rPr>
              <w:t>）</w:t>
            </w:r>
          </w:p>
        </w:tc>
        <w:tc>
          <w:tcPr>
            <w:tcW w:w="823" w:type="pct"/>
            <w:vAlign w:val="center"/>
          </w:tcPr>
          <w:p>
            <w:pPr>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检查记录</w:t>
            </w:r>
            <w:r>
              <w:rPr>
                <w:rFonts w:hint="eastAsia" w:ascii="Times New Roman" w:hAnsi="Times New Roman" w:cs="宋体"/>
                <w:color w:val="auto"/>
                <w:sz w:val="18"/>
                <w:szCs w:val="18"/>
              </w:rPr>
              <w:t>（</w:t>
            </w:r>
            <w:r>
              <w:rPr>
                <w:rFonts w:ascii="Times New Roman" w:hAnsi="Times New Roman" w:cs="Times New Roman"/>
                <w:color w:val="auto"/>
                <w:sz w:val="18"/>
                <w:szCs w:val="18"/>
              </w:rPr>
              <w:t>m</w:t>
            </w:r>
            <w:r>
              <w:rPr>
                <w:rFonts w:hint="eastAsia" w:ascii="Times New Roman" w:hAnsi="Times New Roman" w:cs="宋体"/>
                <w:color w:val="auto"/>
                <w:sz w:val="18"/>
                <w:szCs w:val="18"/>
              </w:rPr>
              <w:t>）</w:t>
            </w:r>
          </w:p>
        </w:tc>
        <w:tc>
          <w:tcPr>
            <w:tcW w:w="823" w:type="pct"/>
            <w:vAlign w:val="center"/>
          </w:tcPr>
          <w:p>
            <w:pPr>
              <w:spacing w:line="240" w:lineRule="exact"/>
              <w:jc w:val="center"/>
              <w:rPr>
                <w:rFonts w:hint="eastAsia" w:ascii="Times New Roman" w:hAnsi="Times New Roman" w:eastAsia="宋体" w:cs="宋体"/>
                <w:color w:val="auto"/>
                <w:kern w:val="0"/>
                <w:sz w:val="18"/>
                <w:szCs w:val="18"/>
                <w:lang w:eastAsia="zh-CN"/>
              </w:rPr>
            </w:pPr>
            <w:r>
              <w:rPr>
                <w:rFonts w:hint="eastAsia" w:ascii="Times New Roman" w:hAnsi="Times New Roman" w:cs="宋体"/>
                <w:color w:val="auto"/>
                <w:kern w:val="0"/>
                <w:sz w:val="18"/>
                <w:szCs w:val="18"/>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456"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汽油埋地油罐</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w:t>
            </w:r>
          </w:p>
        </w:tc>
        <w:tc>
          <w:tcPr>
            <w:tcW w:w="764" w:type="pct"/>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4</w:t>
            </w:r>
          </w:p>
        </w:tc>
        <w:tc>
          <w:tcPr>
            <w:tcW w:w="823" w:type="pct"/>
            <w:vAlign w:val="center"/>
          </w:tcPr>
          <w:p>
            <w:pPr>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7.7</w:t>
            </w:r>
          </w:p>
        </w:tc>
        <w:tc>
          <w:tcPr>
            <w:tcW w:w="823" w:type="pct"/>
            <w:vAlign w:val="center"/>
          </w:tcPr>
          <w:p>
            <w:pPr>
              <w:spacing w:line="240" w:lineRule="exact"/>
              <w:jc w:val="center"/>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456"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柴油埋地油罐</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w:t>
            </w:r>
          </w:p>
        </w:tc>
        <w:tc>
          <w:tcPr>
            <w:tcW w:w="764" w:type="pct"/>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3</w:t>
            </w:r>
          </w:p>
        </w:tc>
        <w:tc>
          <w:tcPr>
            <w:tcW w:w="823" w:type="pct"/>
            <w:vAlign w:val="center"/>
          </w:tcPr>
          <w:p>
            <w:pPr>
              <w:spacing w:line="240" w:lineRule="exact"/>
              <w:jc w:val="center"/>
              <w:rPr>
                <w:rFonts w:hint="eastAsia" w:ascii="Times New Roman" w:hAnsi="Times New Roman" w:eastAsia="宋体" w:cs="Times New Roman"/>
                <w:color w:val="auto"/>
                <w:kern w:val="0"/>
                <w:sz w:val="18"/>
                <w:szCs w:val="18"/>
                <w:lang w:eastAsia="zh-CN"/>
              </w:rPr>
            </w:pPr>
            <w:r>
              <w:rPr>
                <w:rFonts w:ascii="Times New Roman" w:hAnsi="Times New Roman" w:cs="Times New Roman"/>
                <w:color w:val="auto"/>
                <w:kern w:val="0"/>
                <w:sz w:val="18"/>
                <w:szCs w:val="18"/>
              </w:rPr>
              <w:t>11.</w:t>
            </w:r>
            <w:r>
              <w:rPr>
                <w:rFonts w:hint="eastAsia" w:ascii="Times New Roman" w:hAnsi="Times New Roman" w:cs="Times New Roman"/>
                <w:color w:val="auto"/>
                <w:kern w:val="0"/>
                <w:sz w:val="18"/>
                <w:szCs w:val="18"/>
                <w:lang w:val="en-US" w:eastAsia="zh-CN"/>
              </w:rPr>
              <w:t>4</w:t>
            </w:r>
          </w:p>
        </w:tc>
        <w:tc>
          <w:tcPr>
            <w:tcW w:w="823" w:type="pct"/>
            <w:vAlign w:val="center"/>
          </w:tcPr>
          <w:p>
            <w:pPr>
              <w:spacing w:line="240" w:lineRule="exac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456" w:type="pct"/>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kern w:val="0"/>
                <w:sz w:val="18"/>
                <w:szCs w:val="18"/>
              </w:rPr>
              <w:t>3</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埋地油罐</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埋地油罐</w:t>
            </w:r>
          </w:p>
        </w:tc>
        <w:tc>
          <w:tcPr>
            <w:tcW w:w="764" w:type="pct"/>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0.5</w:t>
            </w:r>
          </w:p>
        </w:tc>
        <w:tc>
          <w:tcPr>
            <w:tcW w:w="823" w:type="pct"/>
            <w:vAlign w:val="center"/>
          </w:tcPr>
          <w:p>
            <w:pPr>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0.5</w:t>
            </w:r>
          </w:p>
        </w:tc>
        <w:tc>
          <w:tcPr>
            <w:tcW w:w="823" w:type="pct"/>
            <w:vAlign w:val="center"/>
          </w:tcPr>
          <w:p>
            <w:pPr>
              <w:spacing w:line="240" w:lineRule="exac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456" w:type="pct"/>
            <w:vAlign w:val="center"/>
          </w:tcPr>
          <w:p>
            <w:pPr>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4</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汽油埋地油罐</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站区围墙</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p>
        </w:tc>
        <w:tc>
          <w:tcPr>
            <w:tcW w:w="823" w:type="pct"/>
            <w:vAlign w:val="center"/>
          </w:tcPr>
          <w:p>
            <w:pPr>
              <w:widowControl/>
              <w:spacing w:line="240" w:lineRule="exact"/>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19.1</w:t>
            </w:r>
          </w:p>
        </w:tc>
        <w:tc>
          <w:tcPr>
            <w:tcW w:w="823" w:type="pct"/>
            <w:vAlign w:val="center"/>
          </w:tcPr>
          <w:p>
            <w:pPr>
              <w:widowControl/>
              <w:spacing w:line="240" w:lineRule="exact"/>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456" w:type="pct"/>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kern w:val="0"/>
                <w:sz w:val="18"/>
                <w:szCs w:val="18"/>
              </w:rPr>
              <w:t>5</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柴油埋地油罐</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站区围墙</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p>
        </w:tc>
        <w:tc>
          <w:tcPr>
            <w:tcW w:w="823" w:type="pct"/>
            <w:vAlign w:val="center"/>
          </w:tcPr>
          <w:p>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19.6</w:t>
            </w:r>
          </w:p>
        </w:tc>
        <w:tc>
          <w:tcPr>
            <w:tcW w:w="823" w:type="pct"/>
            <w:vAlign w:val="center"/>
          </w:tcPr>
          <w:p>
            <w:pPr>
              <w:widowControl/>
              <w:spacing w:line="240" w:lineRule="exact"/>
              <w:jc w:val="center"/>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456" w:type="pct"/>
            <w:vAlign w:val="center"/>
          </w:tcPr>
          <w:p>
            <w:pPr>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6</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汽油通气管管口</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4</w:t>
            </w:r>
          </w:p>
        </w:tc>
        <w:tc>
          <w:tcPr>
            <w:tcW w:w="823" w:type="pct"/>
            <w:vAlign w:val="center"/>
          </w:tcPr>
          <w:p>
            <w:pPr>
              <w:spacing w:line="240" w:lineRule="exact"/>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13.01</w:t>
            </w:r>
          </w:p>
        </w:tc>
        <w:tc>
          <w:tcPr>
            <w:tcW w:w="823" w:type="pct"/>
            <w:vAlign w:val="center"/>
          </w:tcPr>
          <w:p>
            <w:pPr>
              <w:spacing w:line="240" w:lineRule="exact"/>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456" w:type="pct"/>
            <w:vAlign w:val="center"/>
          </w:tcPr>
          <w:p>
            <w:pPr>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7</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柴油通气管管口</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3.5</w:t>
            </w:r>
          </w:p>
        </w:tc>
        <w:tc>
          <w:tcPr>
            <w:tcW w:w="823" w:type="pct"/>
            <w:vAlign w:val="center"/>
          </w:tcPr>
          <w:p>
            <w:pPr>
              <w:spacing w:line="240" w:lineRule="exact"/>
              <w:jc w:val="center"/>
              <w:rPr>
                <w:rFonts w:hint="default" w:ascii="Times New Roman" w:hAnsi="Times New Roman" w:cs="Times New Roman"/>
                <w:color w:val="auto"/>
                <w:sz w:val="18"/>
                <w:szCs w:val="18"/>
                <w:lang w:val="en-US"/>
              </w:rPr>
            </w:pPr>
            <w:r>
              <w:rPr>
                <w:rFonts w:hint="eastAsia" w:ascii="Times New Roman" w:hAnsi="Times New Roman" w:cs="Times New Roman"/>
                <w:color w:val="auto"/>
                <w:sz w:val="18"/>
                <w:szCs w:val="18"/>
                <w:lang w:val="en-US" w:eastAsia="zh-CN"/>
              </w:rPr>
              <w:t>13.01</w:t>
            </w:r>
          </w:p>
        </w:tc>
        <w:tc>
          <w:tcPr>
            <w:tcW w:w="823" w:type="pct"/>
            <w:vAlign w:val="center"/>
          </w:tcPr>
          <w:p>
            <w:pPr>
              <w:spacing w:line="240" w:lineRule="exact"/>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456" w:type="pct"/>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kern w:val="0"/>
                <w:sz w:val="18"/>
                <w:szCs w:val="18"/>
              </w:rPr>
              <w:t>9</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汽油通气管管口</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站区围墙</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p>
        </w:tc>
        <w:tc>
          <w:tcPr>
            <w:tcW w:w="823" w:type="pct"/>
            <w:vAlign w:val="center"/>
          </w:tcPr>
          <w:p>
            <w:pPr>
              <w:widowControl/>
              <w:spacing w:line="240" w:lineRule="exact"/>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2.58</w:t>
            </w:r>
          </w:p>
        </w:tc>
        <w:tc>
          <w:tcPr>
            <w:tcW w:w="823" w:type="pct"/>
            <w:vAlign w:val="center"/>
          </w:tcPr>
          <w:p>
            <w:pPr>
              <w:widowControl/>
              <w:spacing w:line="240" w:lineRule="exact"/>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456" w:type="pct"/>
            <w:vAlign w:val="center"/>
          </w:tcPr>
          <w:p>
            <w:pPr>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10</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柴油通气管管口</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站区围墙</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p>
        </w:tc>
        <w:tc>
          <w:tcPr>
            <w:tcW w:w="823" w:type="pct"/>
            <w:vAlign w:val="center"/>
          </w:tcPr>
          <w:p>
            <w:pPr>
              <w:widowControl/>
              <w:spacing w:line="240" w:lineRule="exact"/>
              <w:jc w:val="center"/>
              <w:rPr>
                <w:rFonts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2.58</w:t>
            </w:r>
          </w:p>
        </w:tc>
        <w:tc>
          <w:tcPr>
            <w:tcW w:w="823" w:type="pct"/>
            <w:vAlign w:val="center"/>
          </w:tcPr>
          <w:p>
            <w:pPr>
              <w:widowControl/>
              <w:spacing w:line="240" w:lineRule="exact"/>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456" w:type="pct"/>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kern w:val="0"/>
                <w:sz w:val="18"/>
                <w:szCs w:val="18"/>
              </w:rPr>
              <w:t>11</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密闭卸油点</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5</w:t>
            </w:r>
          </w:p>
        </w:tc>
        <w:tc>
          <w:tcPr>
            <w:tcW w:w="823" w:type="pct"/>
            <w:vAlign w:val="center"/>
          </w:tcPr>
          <w:p>
            <w:pPr>
              <w:spacing w:line="240" w:lineRule="exact"/>
              <w:jc w:val="center"/>
              <w:rPr>
                <w:rFonts w:hint="default"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10</w:t>
            </w:r>
          </w:p>
        </w:tc>
        <w:tc>
          <w:tcPr>
            <w:tcW w:w="823" w:type="pct"/>
            <w:vAlign w:val="center"/>
          </w:tcPr>
          <w:p>
            <w:pPr>
              <w:spacing w:line="240" w:lineRule="exact"/>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456" w:type="pct"/>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kern w:val="0"/>
                <w:sz w:val="18"/>
                <w:szCs w:val="18"/>
              </w:rPr>
              <w:t>13</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密闭卸油点</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汽油通气管</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3</w:t>
            </w:r>
          </w:p>
        </w:tc>
        <w:tc>
          <w:tcPr>
            <w:tcW w:w="823" w:type="pct"/>
            <w:vAlign w:val="center"/>
          </w:tcPr>
          <w:p>
            <w:pPr>
              <w:spacing w:line="240" w:lineRule="exact"/>
              <w:jc w:val="center"/>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val="en-US" w:eastAsia="zh-CN"/>
              </w:rPr>
              <w:t>3</w:t>
            </w:r>
          </w:p>
        </w:tc>
        <w:tc>
          <w:tcPr>
            <w:tcW w:w="823" w:type="pct"/>
            <w:vAlign w:val="center"/>
          </w:tcPr>
          <w:p>
            <w:pPr>
              <w:spacing w:line="240" w:lineRule="exact"/>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456" w:type="pct"/>
            <w:vAlign w:val="center"/>
          </w:tcPr>
          <w:p>
            <w:pPr>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14</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密闭卸油点</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柴油通气管</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p>
        </w:tc>
        <w:tc>
          <w:tcPr>
            <w:tcW w:w="823" w:type="pct"/>
            <w:vAlign w:val="center"/>
          </w:tcPr>
          <w:p>
            <w:pPr>
              <w:spacing w:line="240" w:lineRule="exact"/>
              <w:jc w:val="center"/>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val="en-US" w:eastAsia="zh-CN"/>
              </w:rPr>
              <w:t>3</w:t>
            </w:r>
          </w:p>
        </w:tc>
        <w:tc>
          <w:tcPr>
            <w:tcW w:w="823" w:type="pct"/>
            <w:vAlign w:val="center"/>
          </w:tcPr>
          <w:p>
            <w:pPr>
              <w:spacing w:line="240" w:lineRule="exact"/>
              <w:jc w:val="center"/>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456" w:type="pct"/>
            <w:vAlign w:val="center"/>
          </w:tcPr>
          <w:p>
            <w:pPr>
              <w:spacing w:line="240" w:lineRule="exact"/>
              <w:jc w:val="center"/>
              <w:rPr>
                <w:rFonts w:ascii="Times New Roman" w:hAnsi="Times New Roman" w:cs="Times New Roman"/>
                <w:color w:val="auto"/>
                <w:sz w:val="18"/>
                <w:szCs w:val="18"/>
              </w:rPr>
            </w:pPr>
            <w:r>
              <w:rPr>
                <w:rFonts w:ascii="Times New Roman" w:hAnsi="Times New Roman" w:cs="Times New Roman"/>
                <w:color w:val="auto"/>
                <w:kern w:val="0"/>
                <w:sz w:val="18"/>
                <w:szCs w:val="18"/>
              </w:rPr>
              <w:t>15</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汽油加油机</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5</w:t>
            </w:r>
          </w:p>
        </w:tc>
        <w:tc>
          <w:tcPr>
            <w:tcW w:w="823" w:type="pct"/>
            <w:vAlign w:val="center"/>
          </w:tcPr>
          <w:p>
            <w:pPr>
              <w:spacing w:line="240" w:lineRule="exact"/>
              <w:jc w:val="center"/>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val="en-US" w:eastAsia="zh-CN"/>
              </w:rPr>
              <w:t>9</w:t>
            </w:r>
          </w:p>
        </w:tc>
        <w:tc>
          <w:tcPr>
            <w:tcW w:w="823" w:type="pct"/>
            <w:vAlign w:val="center"/>
          </w:tcPr>
          <w:p>
            <w:pPr>
              <w:spacing w:line="240" w:lineRule="exact"/>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456" w:type="pct"/>
            <w:vAlign w:val="center"/>
          </w:tcPr>
          <w:p>
            <w:pPr>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16</w:t>
            </w:r>
          </w:p>
        </w:tc>
        <w:tc>
          <w:tcPr>
            <w:tcW w:w="1061"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柴油加油机</w:t>
            </w:r>
          </w:p>
        </w:tc>
        <w:tc>
          <w:tcPr>
            <w:tcW w:w="1070"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w:t>
            </w:r>
          </w:p>
        </w:tc>
        <w:tc>
          <w:tcPr>
            <w:tcW w:w="764" w:type="pct"/>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4</w:t>
            </w:r>
          </w:p>
        </w:tc>
        <w:tc>
          <w:tcPr>
            <w:tcW w:w="823" w:type="pct"/>
            <w:vAlign w:val="center"/>
          </w:tcPr>
          <w:p>
            <w:pPr>
              <w:spacing w:line="240" w:lineRule="exact"/>
              <w:jc w:val="center"/>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val="en-US" w:eastAsia="zh-CN"/>
              </w:rPr>
              <w:t>9</w:t>
            </w:r>
          </w:p>
        </w:tc>
        <w:tc>
          <w:tcPr>
            <w:tcW w:w="823" w:type="pct"/>
            <w:vAlign w:val="center"/>
          </w:tcPr>
          <w:p>
            <w:pPr>
              <w:spacing w:line="240" w:lineRule="exact"/>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kern w:val="0"/>
                <w:sz w:val="18"/>
                <w:szCs w:val="18"/>
                <w:lang w:val="en-US" w:eastAsia="zh-CN"/>
              </w:rPr>
              <w:t>合格</w:t>
            </w:r>
          </w:p>
        </w:tc>
      </w:tr>
    </w:tbl>
    <w:p>
      <w:pPr>
        <w:keepNext/>
        <w:keepLines/>
        <w:spacing w:line="600" w:lineRule="exact"/>
        <w:outlineLvl w:val="1"/>
        <w:rPr>
          <w:rFonts w:ascii="Times New Roman" w:hAnsi="Times New Roman" w:cs="Times New Roman"/>
          <w:b/>
          <w:bCs/>
          <w:color w:val="auto"/>
          <w:sz w:val="24"/>
          <w:szCs w:val="24"/>
        </w:rPr>
      </w:pPr>
      <w:bookmarkStart w:id="150" w:name="_Toc25122"/>
      <w:r>
        <w:rPr>
          <w:rFonts w:ascii="Times New Roman" w:hAnsi="Times New Roman" w:cs="Times New Roman"/>
          <w:b/>
          <w:bCs/>
          <w:color w:val="auto"/>
          <w:sz w:val="28"/>
          <w:szCs w:val="28"/>
        </w:rPr>
        <w:t xml:space="preserve">6.3 </w:t>
      </w:r>
      <w:r>
        <w:rPr>
          <w:rFonts w:hint="eastAsia" w:ascii="Times New Roman" w:hAnsi="Times New Roman" w:cs="宋体"/>
          <w:b/>
          <w:bCs/>
          <w:color w:val="auto"/>
          <w:sz w:val="28"/>
          <w:szCs w:val="28"/>
        </w:rPr>
        <w:t>加油站工艺装置符合性评价</w:t>
      </w:r>
      <w:bookmarkEnd w:id="149"/>
      <w:bookmarkEnd w:id="150"/>
    </w:p>
    <w:p>
      <w:pPr>
        <w:jc w:val="center"/>
        <w:rPr>
          <w:rFonts w:ascii="Times New Roman" w:hAnsi="Times New Roman" w:cs="Times New Roman"/>
          <w:b/>
          <w:bCs/>
          <w:color w:val="auto"/>
          <w:sz w:val="21"/>
          <w:szCs w:val="21"/>
          <w:lang w:val="zh-CN"/>
        </w:rPr>
      </w:pPr>
      <w:r>
        <w:rPr>
          <w:rFonts w:hint="eastAsia" w:ascii="Times New Roman" w:hAnsi="Times New Roman" w:cs="宋体"/>
          <w:b/>
          <w:bCs/>
          <w:color w:val="auto"/>
          <w:sz w:val="21"/>
          <w:szCs w:val="21"/>
          <w:lang w:val="zh-CN"/>
        </w:rPr>
        <w:t>表</w:t>
      </w:r>
      <w:r>
        <w:rPr>
          <w:rFonts w:ascii="Times New Roman" w:hAnsi="Times New Roman" w:cs="Times New Roman"/>
          <w:b/>
          <w:bCs/>
          <w:color w:val="auto"/>
          <w:sz w:val="21"/>
          <w:szCs w:val="21"/>
          <w:lang w:val="zh-CN"/>
        </w:rPr>
        <w:t>6-</w:t>
      </w:r>
      <w:r>
        <w:rPr>
          <w:rFonts w:ascii="Times New Roman" w:hAnsi="Times New Roman" w:cs="Times New Roman"/>
          <w:b/>
          <w:bCs/>
          <w:color w:val="auto"/>
          <w:sz w:val="21"/>
          <w:szCs w:val="21"/>
        </w:rPr>
        <w:t>6</w:t>
      </w:r>
      <w:r>
        <w:rPr>
          <w:rFonts w:ascii="Times New Roman" w:hAnsi="Times New Roman" w:cs="Times New Roman"/>
          <w:b/>
          <w:bCs/>
          <w:color w:val="auto"/>
          <w:sz w:val="21"/>
          <w:szCs w:val="21"/>
          <w:lang w:val="zh-CN"/>
        </w:rPr>
        <w:t xml:space="preserve"> </w:t>
      </w:r>
      <w:r>
        <w:rPr>
          <w:rFonts w:hint="eastAsia" w:ascii="Times New Roman" w:hAnsi="Times New Roman" w:cs="宋体"/>
          <w:b/>
          <w:bCs/>
          <w:color w:val="auto"/>
          <w:sz w:val="21"/>
          <w:szCs w:val="21"/>
          <w:lang w:val="zh-CN"/>
        </w:rPr>
        <w:t>加油站加油工艺及设施符合性评价</w:t>
      </w:r>
    </w:p>
    <w:tbl>
      <w:tblPr>
        <w:tblStyle w:val="20"/>
        <w:tblW w:w="8835" w:type="dxa"/>
        <w:jc w:val="center"/>
        <w:tblLayout w:type="fixed"/>
        <w:tblCellMar>
          <w:top w:w="0" w:type="dxa"/>
          <w:left w:w="0" w:type="dxa"/>
          <w:bottom w:w="0" w:type="dxa"/>
          <w:right w:w="0" w:type="dxa"/>
        </w:tblCellMar>
      </w:tblPr>
      <w:tblGrid>
        <w:gridCol w:w="709"/>
        <w:gridCol w:w="6096"/>
        <w:gridCol w:w="1318"/>
        <w:gridCol w:w="712"/>
      </w:tblGrid>
      <w:tr>
        <w:tblPrEx>
          <w:tblCellMar>
            <w:top w:w="0" w:type="dxa"/>
            <w:left w:w="0" w:type="dxa"/>
            <w:bottom w:w="0" w:type="dxa"/>
            <w:right w:w="0" w:type="dxa"/>
          </w:tblCellMar>
        </w:tblPrEx>
        <w:trPr>
          <w:trHeight w:val="412" w:hRule="atLeast"/>
          <w:jc w:val="center"/>
        </w:trPr>
        <w:tc>
          <w:tcPr>
            <w:tcW w:w="8835" w:type="dxa"/>
            <w:gridSpan w:val="4"/>
            <w:tcBorders>
              <w:top w:val="single" w:color="auto" w:sz="4"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油罐</w:t>
            </w:r>
          </w:p>
        </w:tc>
      </w:tr>
      <w:tr>
        <w:tblPrEx>
          <w:tblCellMar>
            <w:top w:w="0" w:type="dxa"/>
            <w:left w:w="0" w:type="dxa"/>
            <w:bottom w:w="0" w:type="dxa"/>
            <w:right w:w="0" w:type="dxa"/>
          </w:tblCellMar>
        </w:tblPrEx>
        <w:trPr>
          <w:trHeight w:val="417"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096" w:type="dxa"/>
            <w:tcBorders>
              <w:top w:val="single" w:color="auto" w:sz="8" w:space="0"/>
              <w:left w:val="single" w:color="auto" w:sz="8" w:space="0"/>
              <w:bottom w:val="single" w:color="auto" w:sz="8" w:space="0"/>
              <w:right w:val="single" w:color="auto" w:sz="4"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3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71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CellMar>
            <w:top w:w="0" w:type="dxa"/>
            <w:left w:w="0" w:type="dxa"/>
            <w:bottom w:w="0" w:type="dxa"/>
            <w:right w:w="0" w:type="dxa"/>
          </w:tblCellMar>
        </w:tblPrEx>
        <w:trPr>
          <w:trHeight w:val="774"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8" w:space="0"/>
              <w:left w:val="single" w:color="auto" w:sz="8" w:space="0"/>
              <w:bottom w:val="single" w:color="auto" w:sz="8"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spacing w:val="10"/>
                <w:sz w:val="18"/>
                <w:szCs w:val="18"/>
              </w:rPr>
              <w:t>除橇装式加油装置所配置的防火防爆油罐外，加油站的汽油罐和柴油罐应埋地设置，严禁设在室内或地下室内。</w:t>
            </w:r>
            <w:r>
              <w:rPr>
                <w:rFonts w:ascii="Times New Roman" w:hAnsi="Times New Roman" w:cs="Times New Roman"/>
                <w:b w:val="0"/>
                <w:bCs w:val="0"/>
                <w:color w:val="auto"/>
                <w:kern w:val="0"/>
                <w:sz w:val="18"/>
                <w:szCs w:val="18"/>
              </w:rPr>
              <w:t>6.1.1</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室外埋地</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8" w:space="0"/>
              <w:left w:val="single" w:color="auto" w:sz="8" w:space="0"/>
              <w:bottom w:val="single" w:color="auto" w:sz="8" w:space="0"/>
              <w:right w:val="single" w:color="auto" w:sz="4" w:space="0"/>
            </w:tcBorders>
            <w:vAlign w:val="center"/>
          </w:tcPr>
          <w:p>
            <w:pPr>
              <w:keepNext w:val="0"/>
              <w:keepLines w:val="0"/>
              <w:pageBreakBefore w:val="0"/>
              <w:widowControl w:val="0"/>
              <w:kinsoku/>
              <w:wordWrap/>
              <w:overflowPunct/>
              <w:topLinePunct w:val="0"/>
              <w:autoSpaceDE w:val="0"/>
              <w:autoSpaceDN w:val="0"/>
              <w:bidi w:val="0"/>
              <w:snapToGrid/>
              <w:spacing w:line="280" w:lineRule="exact"/>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汽车加油站的储油罐应采用卧式油罐。</w:t>
            </w:r>
            <w:r>
              <w:rPr>
                <w:rFonts w:ascii="Times New Roman" w:hAnsi="Times New Roman" w:cs="Times New Roman"/>
                <w:b w:val="0"/>
                <w:bCs w:val="0"/>
                <w:color w:val="auto"/>
                <w:kern w:val="0"/>
                <w:sz w:val="18"/>
                <w:szCs w:val="18"/>
              </w:rPr>
              <w:t>6.1.2</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卧式油罐</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合格</w:t>
            </w:r>
          </w:p>
        </w:tc>
      </w:tr>
      <w:tr>
        <w:trPr>
          <w:trHeight w:val="567"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8" w:space="0"/>
              <w:left w:val="single" w:color="auto" w:sz="8" w:space="0"/>
              <w:bottom w:val="single" w:color="auto" w:sz="8"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spacing w:val="10"/>
                <w:sz w:val="18"/>
                <w:szCs w:val="18"/>
              </w:rPr>
              <w:t>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r>
              <w:rPr>
                <w:rFonts w:ascii="Times New Roman" w:hAnsi="Times New Roman" w:cs="Times New Roman"/>
                <w:b w:val="0"/>
                <w:bCs w:val="0"/>
                <w:color w:val="auto"/>
                <w:kern w:val="0"/>
                <w:sz w:val="18"/>
                <w:szCs w:val="18"/>
              </w:rPr>
              <w:t>6.1.3</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spacing w:val="10"/>
                <w:sz w:val="18"/>
                <w:szCs w:val="18"/>
              </w:rPr>
              <w:t>该站使用</w:t>
            </w:r>
            <w:r>
              <w:rPr>
                <w:rFonts w:ascii="Times New Roman" w:hAnsi="Times New Roman" w:cs="Times New Roman"/>
                <w:b w:val="0"/>
                <w:bCs w:val="0"/>
                <w:color w:val="auto"/>
                <w:spacing w:val="10"/>
                <w:sz w:val="18"/>
                <w:szCs w:val="18"/>
              </w:rPr>
              <w:t>SF</w:t>
            </w:r>
            <w:r>
              <w:rPr>
                <w:rFonts w:hint="eastAsia" w:ascii="Times New Roman" w:hAnsi="Times New Roman" w:cs="宋体"/>
                <w:b w:val="0"/>
                <w:bCs w:val="0"/>
                <w:color w:val="auto"/>
                <w:spacing w:val="10"/>
                <w:sz w:val="18"/>
                <w:szCs w:val="18"/>
              </w:rPr>
              <w:t>双层罐，内钢外玻璃纤维增强塑料双层油罐</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8" w:space="0"/>
              <w:left w:val="single" w:color="auto" w:sz="8" w:space="0"/>
              <w:bottom w:val="single" w:color="auto" w:sz="8"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单层钢制油罐、双层钢制油罐和内钢外玻璃纤维增强塑料双层油罐的内层罐的罐体结构设计，可按现行行业标准《铜制常压储罐</w:t>
            </w:r>
            <w:r>
              <w:rPr>
                <w:rFonts w:ascii="Times New Roman" w:hAnsi="Times New Roman" w:cs="Times New Roman"/>
                <w:b w:val="0"/>
                <w:bCs w:val="0"/>
                <w:color w:val="auto"/>
                <w:kern w:val="0"/>
                <w:sz w:val="18"/>
                <w:szCs w:val="18"/>
              </w:rPr>
              <w:t xml:space="preserve"> </w:t>
            </w:r>
            <w:r>
              <w:rPr>
                <w:rFonts w:hint="eastAsia" w:ascii="Times New Roman" w:hAnsi="Times New Roman" w:cs="宋体"/>
                <w:b w:val="0"/>
                <w:bCs w:val="0"/>
                <w:color w:val="auto"/>
                <w:kern w:val="0"/>
                <w:sz w:val="18"/>
                <w:szCs w:val="18"/>
              </w:rPr>
              <w:t>第一部分：储存对水有污染的易燃和不易燃液体的埋地卧式圆简形单层和双层储罐》</w:t>
            </w:r>
            <w:r>
              <w:rPr>
                <w:rFonts w:ascii="Times New Roman" w:hAnsi="Times New Roman" w:cs="Times New Roman"/>
                <w:b w:val="0"/>
                <w:bCs w:val="0"/>
                <w:color w:val="auto"/>
                <w:kern w:val="0"/>
                <w:sz w:val="18"/>
                <w:szCs w:val="18"/>
              </w:rPr>
              <w:t xml:space="preserve">AQ3020 </w:t>
            </w:r>
            <w:r>
              <w:rPr>
                <w:rFonts w:hint="eastAsia" w:ascii="Times New Roman" w:hAnsi="Times New Roman" w:cs="宋体"/>
                <w:b w:val="0"/>
                <w:bCs w:val="0"/>
                <w:color w:val="auto"/>
                <w:kern w:val="0"/>
                <w:sz w:val="18"/>
                <w:szCs w:val="18"/>
              </w:rPr>
              <w:t>的有关规定执行，并应符合下列规定：（</w:t>
            </w:r>
            <w:r>
              <w:rPr>
                <w:rFonts w:ascii="Times New Roman" w:hAnsi="Times New Roman" w:cs="Times New Roman"/>
                <w:b w:val="0"/>
                <w:bCs w:val="0"/>
                <w:color w:val="auto"/>
                <w:kern w:val="0"/>
                <w:sz w:val="18"/>
                <w:szCs w:val="18"/>
              </w:rPr>
              <w:t>1</w:t>
            </w:r>
            <w:r>
              <w:rPr>
                <w:rFonts w:hint="eastAsia" w:ascii="Times New Roman" w:hAnsi="Times New Roman" w:cs="宋体"/>
                <w:b w:val="0"/>
                <w:bCs w:val="0"/>
                <w:color w:val="auto"/>
                <w:kern w:val="0"/>
                <w:sz w:val="18"/>
                <w:szCs w:val="18"/>
              </w:rPr>
              <w:t>）钢制油罐的罐体和封头所用的钢板的厚度，不应小于表</w:t>
            </w:r>
            <w:r>
              <w:rPr>
                <w:rFonts w:ascii="Times New Roman" w:hAnsi="Times New Roman" w:cs="Times New Roman"/>
                <w:b w:val="0"/>
                <w:bCs w:val="0"/>
                <w:color w:val="auto"/>
                <w:kern w:val="0"/>
                <w:sz w:val="18"/>
                <w:szCs w:val="18"/>
              </w:rPr>
              <w:t>6.1.4</w:t>
            </w:r>
            <w:r>
              <w:rPr>
                <w:rFonts w:hint="eastAsia" w:ascii="Times New Roman" w:hAnsi="Times New Roman" w:cs="宋体"/>
                <w:b w:val="0"/>
                <w:bCs w:val="0"/>
                <w:color w:val="auto"/>
                <w:kern w:val="0"/>
                <w:sz w:val="18"/>
                <w:szCs w:val="18"/>
              </w:rPr>
              <w:t>的规定。（</w:t>
            </w:r>
            <w:r>
              <w:rPr>
                <w:rFonts w:ascii="Times New Roman" w:hAnsi="Times New Roman" w:cs="Times New Roman"/>
                <w:b w:val="0"/>
                <w:bCs w:val="0"/>
                <w:color w:val="auto"/>
                <w:kern w:val="0"/>
                <w:sz w:val="18"/>
                <w:szCs w:val="18"/>
              </w:rPr>
              <w:t>2</w:t>
            </w:r>
            <w:r>
              <w:rPr>
                <w:rFonts w:hint="eastAsia" w:ascii="Times New Roman" w:hAnsi="Times New Roman" w:cs="宋体"/>
                <w:b w:val="0"/>
                <w:bCs w:val="0"/>
                <w:color w:val="auto"/>
                <w:kern w:val="0"/>
                <w:sz w:val="18"/>
                <w:szCs w:val="18"/>
              </w:rPr>
              <w:t>）钢制油罐的设计内压不应低于</w:t>
            </w:r>
            <w:r>
              <w:rPr>
                <w:rFonts w:ascii="Times New Roman" w:hAnsi="Times New Roman" w:cs="Times New Roman"/>
                <w:b w:val="0"/>
                <w:bCs w:val="0"/>
                <w:color w:val="auto"/>
                <w:kern w:val="0"/>
                <w:sz w:val="18"/>
                <w:szCs w:val="18"/>
              </w:rPr>
              <w:t>0.08MPa</w:t>
            </w:r>
            <w:r>
              <w:rPr>
                <w:rFonts w:hint="eastAsia" w:ascii="Times New Roman" w:hAnsi="Times New Roman" w:cs="宋体"/>
                <w:b w:val="0"/>
                <w:bCs w:val="0"/>
                <w:color w:val="auto"/>
                <w:kern w:val="0"/>
                <w:sz w:val="18"/>
                <w:szCs w:val="18"/>
              </w:rPr>
              <w:t>。</w:t>
            </w:r>
            <w:r>
              <w:rPr>
                <w:rFonts w:ascii="Times New Roman" w:hAnsi="Times New Roman" w:cs="Times New Roman"/>
                <w:b w:val="0"/>
                <w:bCs w:val="0"/>
                <w:color w:val="auto"/>
                <w:kern w:val="0"/>
                <w:sz w:val="18"/>
                <w:szCs w:val="18"/>
              </w:rPr>
              <w:t>6.1.4</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选用内钢外玻璃纤维增强塑料双层油罐。</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8" w:space="0"/>
              <w:left w:val="single" w:color="auto" w:sz="8" w:space="0"/>
              <w:bottom w:val="single" w:color="auto" w:sz="8"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选用的双层玻璃纤维增强塑料油罐应符合现行行业标准《加油站用埋地玻璃纤维增强塑料双层油罐工程技术规范》</w:t>
            </w:r>
            <w:r>
              <w:rPr>
                <w:rFonts w:ascii="Times New Roman" w:hAnsi="Times New Roman" w:cs="Times New Roman"/>
                <w:b w:val="0"/>
                <w:bCs w:val="0"/>
                <w:color w:val="auto"/>
                <w:kern w:val="0"/>
                <w:sz w:val="18"/>
                <w:szCs w:val="18"/>
              </w:rPr>
              <w:t>SH/T3177</w:t>
            </w:r>
            <w:r>
              <w:rPr>
                <w:rFonts w:hint="eastAsia" w:ascii="Times New Roman" w:hAnsi="Times New Roman" w:cs="宋体"/>
                <w:b w:val="0"/>
                <w:bCs w:val="0"/>
                <w:color w:val="auto"/>
                <w:kern w:val="0"/>
                <w:sz w:val="18"/>
                <w:szCs w:val="18"/>
              </w:rPr>
              <w:t>的有关规定；选用的钢</w:t>
            </w:r>
            <w:r>
              <w:rPr>
                <w:rFonts w:ascii="Times New Roman" w:hAnsi="Times New Roman" w:cs="Times New Roman"/>
                <w:b w:val="0"/>
                <w:bCs w:val="0"/>
                <w:color w:val="auto"/>
                <w:kern w:val="0"/>
                <w:sz w:val="18"/>
                <w:szCs w:val="18"/>
              </w:rPr>
              <w:t>-</w:t>
            </w:r>
            <w:r>
              <w:rPr>
                <w:rFonts w:hint="eastAsia" w:ascii="Times New Roman" w:hAnsi="Times New Roman" w:cs="宋体"/>
                <w:b w:val="0"/>
                <w:bCs w:val="0"/>
                <w:color w:val="auto"/>
                <w:kern w:val="0"/>
                <w:sz w:val="18"/>
                <w:szCs w:val="18"/>
              </w:rPr>
              <w:t>玻璃纤维增强塑料双层油罐应符合现行行业标准《加油站用埋地钢</w:t>
            </w:r>
            <w:r>
              <w:rPr>
                <w:rFonts w:ascii="Times New Roman" w:hAnsi="Times New Roman" w:cs="Times New Roman"/>
                <w:b w:val="0"/>
                <w:bCs w:val="0"/>
                <w:color w:val="auto"/>
                <w:kern w:val="0"/>
                <w:sz w:val="18"/>
                <w:szCs w:val="18"/>
              </w:rPr>
              <w:t>-</w:t>
            </w:r>
            <w:r>
              <w:rPr>
                <w:rFonts w:hint="eastAsia" w:ascii="Times New Roman" w:hAnsi="Times New Roman" w:cs="宋体"/>
                <w:b w:val="0"/>
                <w:bCs w:val="0"/>
                <w:color w:val="auto"/>
                <w:kern w:val="0"/>
                <w:sz w:val="18"/>
                <w:szCs w:val="18"/>
              </w:rPr>
              <w:t>玻璃纤维增强塑料双层油罐工程技术规范》</w:t>
            </w:r>
            <w:r>
              <w:rPr>
                <w:rFonts w:ascii="Times New Roman" w:hAnsi="Times New Roman" w:cs="Times New Roman"/>
                <w:b w:val="0"/>
                <w:bCs w:val="0"/>
                <w:color w:val="auto"/>
                <w:kern w:val="0"/>
                <w:sz w:val="18"/>
                <w:szCs w:val="18"/>
              </w:rPr>
              <w:t>SH/T3178</w:t>
            </w:r>
            <w:r>
              <w:rPr>
                <w:rFonts w:hint="eastAsia" w:ascii="Times New Roman" w:hAnsi="Times New Roman" w:cs="宋体"/>
                <w:b w:val="0"/>
                <w:bCs w:val="0"/>
                <w:color w:val="auto"/>
                <w:kern w:val="0"/>
                <w:sz w:val="18"/>
                <w:szCs w:val="18"/>
              </w:rPr>
              <w:t>的有关规定。</w:t>
            </w:r>
            <w:r>
              <w:rPr>
                <w:rFonts w:ascii="Times New Roman" w:hAnsi="Times New Roman" w:cs="Times New Roman"/>
                <w:b w:val="0"/>
                <w:bCs w:val="0"/>
                <w:color w:val="auto"/>
                <w:kern w:val="0"/>
                <w:sz w:val="18"/>
                <w:szCs w:val="18"/>
              </w:rPr>
              <w:t>6.1.5</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选用的钢</w:t>
            </w:r>
            <w:r>
              <w:rPr>
                <w:rFonts w:ascii="Times New Roman" w:hAnsi="Times New Roman" w:cs="Times New Roman"/>
                <w:b w:val="0"/>
                <w:bCs w:val="0"/>
                <w:color w:val="auto"/>
                <w:kern w:val="0"/>
                <w:sz w:val="18"/>
                <w:szCs w:val="18"/>
              </w:rPr>
              <w:t>-</w:t>
            </w:r>
            <w:r>
              <w:rPr>
                <w:rFonts w:hint="eastAsia" w:ascii="Times New Roman" w:hAnsi="Times New Roman" w:cs="宋体"/>
                <w:b w:val="0"/>
                <w:bCs w:val="0"/>
                <w:color w:val="auto"/>
                <w:kern w:val="0"/>
                <w:sz w:val="18"/>
                <w:szCs w:val="18"/>
              </w:rPr>
              <w:t>玻璃纤维增强塑料双层油罐符合现行行业标准</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80" w:lineRule="exact"/>
              <w:jc w:val="center"/>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8" w:space="0"/>
              <w:left w:val="single" w:color="auto" w:sz="8" w:space="0"/>
              <w:bottom w:val="single" w:color="auto" w:sz="8" w:space="0"/>
              <w:right w:val="single" w:color="auto" w:sz="4" w:space="0"/>
            </w:tcBorders>
            <w:vAlign w:val="center"/>
          </w:tcPr>
          <w:p>
            <w:pPr>
              <w:autoSpaceDE w:val="0"/>
              <w:autoSpaceDN w:val="0"/>
              <w:adjustRightInd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加油站在役油罐进行加内衬防渗漏改造时，应符合现行国家标准《加油站在役油罐防渗漏改造工程技术标准》</w:t>
            </w:r>
            <w:r>
              <w:rPr>
                <w:rFonts w:ascii="Times New Roman" w:hAnsi="Times New Roman" w:cs="Times New Roman"/>
                <w:color w:val="auto"/>
                <w:kern w:val="0"/>
                <w:sz w:val="18"/>
                <w:szCs w:val="18"/>
              </w:rPr>
              <w:t>GB/T51344</w:t>
            </w:r>
            <w:r>
              <w:rPr>
                <w:rFonts w:hint="eastAsia" w:ascii="Times New Roman" w:hAnsi="Times New Roman" w:cs="宋体"/>
                <w:color w:val="auto"/>
                <w:kern w:val="0"/>
                <w:sz w:val="18"/>
                <w:szCs w:val="18"/>
              </w:rPr>
              <w:t>的有关规定。</w:t>
            </w:r>
            <w:r>
              <w:rPr>
                <w:rFonts w:ascii="Times New Roman" w:hAnsi="Times New Roman" w:cs="Times New Roman"/>
                <w:color w:val="auto"/>
                <w:kern w:val="0"/>
                <w:sz w:val="18"/>
                <w:szCs w:val="18"/>
              </w:rPr>
              <w:t>6.1.6</w:t>
            </w:r>
          </w:p>
        </w:tc>
        <w:tc>
          <w:tcPr>
            <w:tcW w:w="13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选用的钢</w:t>
            </w:r>
            <w:r>
              <w:rPr>
                <w:rFonts w:ascii="Times New Roman" w:hAnsi="Times New Roman" w:cs="Times New Roman"/>
                <w:color w:val="auto"/>
                <w:kern w:val="0"/>
                <w:sz w:val="18"/>
                <w:szCs w:val="18"/>
              </w:rPr>
              <w:t>-</w:t>
            </w:r>
            <w:r>
              <w:rPr>
                <w:rFonts w:hint="eastAsia" w:ascii="Times New Roman" w:hAnsi="Times New Roman" w:cs="宋体"/>
                <w:color w:val="auto"/>
                <w:kern w:val="0"/>
                <w:sz w:val="18"/>
                <w:szCs w:val="18"/>
              </w:rPr>
              <w:t>玻璃纤维增强塑料双层油罐</w:t>
            </w:r>
          </w:p>
        </w:tc>
        <w:tc>
          <w:tcPr>
            <w:tcW w:w="71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8" w:space="0"/>
              <w:left w:val="single" w:color="auto" w:sz="8" w:space="0"/>
              <w:bottom w:val="single" w:color="auto" w:sz="8" w:space="0"/>
              <w:right w:val="single" w:color="auto" w:sz="4" w:space="0"/>
            </w:tcBorders>
            <w:vAlign w:val="center"/>
          </w:tcPr>
          <w:p>
            <w:pPr>
              <w:autoSpaceDE w:val="0"/>
              <w:autoSpaceDN w:val="0"/>
              <w:adjustRightInd w:val="0"/>
              <w:spacing w:line="240" w:lineRule="exact"/>
              <w:jc w:val="lef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双层油罐内壁与外壁之间应有满足渗漏检测要求的贯通间隙。</w:t>
            </w:r>
            <w:r>
              <w:rPr>
                <w:rFonts w:ascii="Times New Roman" w:hAnsi="Times New Roman" w:cs="Times New Roman"/>
                <w:color w:val="auto"/>
                <w:kern w:val="0"/>
                <w:sz w:val="18"/>
                <w:szCs w:val="18"/>
              </w:rPr>
              <w:t>6.1.9</w:t>
            </w:r>
          </w:p>
        </w:tc>
        <w:tc>
          <w:tcPr>
            <w:tcW w:w="13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b/>
                <w:bCs/>
                <w:color w:val="auto"/>
                <w:kern w:val="0"/>
                <w:sz w:val="18"/>
                <w:szCs w:val="18"/>
              </w:rPr>
            </w:pPr>
            <w:r>
              <w:rPr>
                <w:rFonts w:ascii="Times New Roman" w:hAnsi="Times New Roman" w:cs="Times New Roman"/>
                <w:color w:val="auto"/>
                <w:spacing w:val="10"/>
                <w:sz w:val="18"/>
                <w:szCs w:val="18"/>
              </w:rPr>
              <w:t>SF</w:t>
            </w:r>
            <w:r>
              <w:rPr>
                <w:rFonts w:hint="eastAsia" w:ascii="Times New Roman" w:hAnsi="Times New Roman" w:cs="宋体"/>
                <w:color w:val="auto"/>
                <w:spacing w:val="10"/>
                <w:sz w:val="18"/>
                <w:szCs w:val="18"/>
              </w:rPr>
              <w:t>双层罐，有贯通间隙</w:t>
            </w:r>
          </w:p>
        </w:tc>
        <w:tc>
          <w:tcPr>
            <w:tcW w:w="71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8" w:space="0"/>
              <w:left w:val="single" w:color="auto" w:sz="4" w:space="0"/>
              <w:bottom w:val="single" w:color="auto" w:sz="4" w:space="0"/>
              <w:right w:val="single" w:color="auto" w:sz="8"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8" w:space="0"/>
              <w:left w:val="single" w:color="auto" w:sz="8" w:space="0"/>
              <w:bottom w:val="single" w:color="auto" w:sz="4" w:space="0"/>
              <w:right w:val="single" w:color="auto" w:sz="4" w:space="0"/>
            </w:tcBorders>
            <w:vAlign w:val="center"/>
          </w:tcPr>
          <w:p>
            <w:pPr>
              <w:autoSpaceDE w:val="0"/>
              <w:autoSpaceDN w:val="0"/>
              <w:spacing w:line="24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双层钢制油罐、内钢外玻璃纤维增强塑料双层油罐和玻璃纤维增强塑料等非金属防渗衬里的双层油罐，应设渗漏检测立管，</w:t>
            </w:r>
            <w:r>
              <w:rPr>
                <w:rFonts w:hint="eastAsia" w:ascii="Times New Roman" w:hAnsi="Times New Roman" w:cs="宋体"/>
                <w:color w:val="auto"/>
                <w:kern w:val="0"/>
                <w:sz w:val="18"/>
                <w:szCs w:val="18"/>
              </w:rPr>
              <w:t>并符合相关规定。</w:t>
            </w:r>
            <w:r>
              <w:rPr>
                <w:rFonts w:ascii="Times New Roman" w:hAnsi="Times New Roman" w:cs="Times New Roman"/>
                <w:color w:val="auto"/>
                <w:kern w:val="0"/>
                <w:sz w:val="18"/>
                <w:szCs w:val="18"/>
              </w:rPr>
              <w:t>6.1.8</w:t>
            </w:r>
          </w:p>
        </w:tc>
        <w:tc>
          <w:tcPr>
            <w:tcW w:w="13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站内设置防渗漏仪，已设置渗漏检测立管。</w:t>
            </w:r>
          </w:p>
        </w:tc>
        <w:tc>
          <w:tcPr>
            <w:tcW w:w="71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油罐应采用钢制人孔盖。</w:t>
            </w:r>
            <w:r>
              <w:rPr>
                <w:rFonts w:ascii="Times New Roman" w:hAnsi="Times New Roman" w:cs="Times New Roman"/>
                <w:color w:val="auto"/>
                <w:kern w:val="0"/>
                <w:sz w:val="18"/>
                <w:szCs w:val="18"/>
              </w:rPr>
              <w:t>6.1.11</w:t>
            </w:r>
          </w:p>
        </w:tc>
        <w:tc>
          <w:tcPr>
            <w:tcW w:w="13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采用</w:t>
            </w:r>
            <w:r>
              <w:rPr>
                <w:rFonts w:hint="eastAsia" w:ascii="Times New Roman" w:hAnsi="Times New Roman" w:cs="宋体"/>
                <w:color w:val="auto"/>
                <w:kern w:val="0"/>
                <w:sz w:val="18"/>
                <w:szCs w:val="18"/>
                <w:lang w:val="en-US" w:eastAsia="zh-CN"/>
              </w:rPr>
              <w:t>有密封圈的</w:t>
            </w:r>
            <w:r>
              <w:rPr>
                <w:rFonts w:hint="eastAsia" w:ascii="Times New Roman" w:hAnsi="Times New Roman" w:cs="宋体"/>
                <w:color w:val="auto"/>
                <w:kern w:val="0"/>
                <w:sz w:val="18"/>
                <w:szCs w:val="18"/>
              </w:rPr>
              <w:t>钢制人孔盖</w:t>
            </w:r>
          </w:p>
        </w:tc>
        <w:tc>
          <w:tcPr>
            <w:tcW w:w="71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油罐设在非车行道下面时，罐顶的覆土厚度不应小于</w:t>
            </w:r>
            <w:r>
              <w:rPr>
                <w:rFonts w:ascii="Times New Roman" w:hAnsi="Times New Roman" w:cs="Times New Roman"/>
                <w:color w:val="auto"/>
                <w:spacing w:val="10"/>
                <w:sz w:val="18"/>
                <w:szCs w:val="18"/>
              </w:rPr>
              <w:t>0.5m</w:t>
            </w:r>
            <w:r>
              <w:rPr>
                <w:rFonts w:hint="eastAsia" w:ascii="Times New Roman" w:hAnsi="Times New Roman" w:cs="宋体"/>
                <w:color w:val="auto"/>
                <w:spacing w:val="10"/>
                <w:sz w:val="18"/>
                <w:szCs w:val="18"/>
              </w:rPr>
              <w:t>；设在车行道下面时，罐顶低于路面不宜小于</w:t>
            </w:r>
            <w:r>
              <w:rPr>
                <w:rFonts w:ascii="Times New Roman" w:hAnsi="Times New Roman" w:cs="Times New Roman"/>
                <w:color w:val="auto"/>
                <w:spacing w:val="10"/>
                <w:sz w:val="18"/>
                <w:szCs w:val="18"/>
              </w:rPr>
              <w:t>0.9m</w:t>
            </w:r>
            <w:r>
              <w:rPr>
                <w:rFonts w:hint="eastAsia" w:ascii="Times New Roman" w:hAnsi="Times New Roman" w:cs="宋体"/>
                <w:color w:val="auto"/>
                <w:spacing w:val="10"/>
                <w:sz w:val="18"/>
                <w:szCs w:val="18"/>
              </w:rPr>
              <w:t>。钢制油罐的周围应回填中性沙或细土，其厚度不应小于</w:t>
            </w:r>
            <w:r>
              <w:rPr>
                <w:rFonts w:ascii="Times New Roman" w:hAnsi="Times New Roman" w:cs="Times New Roman"/>
                <w:color w:val="auto"/>
                <w:spacing w:val="10"/>
                <w:sz w:val="18"/>
                <w:szCs w:val="18"/>
              </w:rPr>
              <w:t>0.3m</w:t>
            </w:r>
            <w:r>
              <w:rPr>
                <w:rFonts w:hint="eastAsia" w:ascii="Times New Roman" w:hAnsi="Times New Roman" w:cs="宋体"/>
                <w:color w:val="auto"/>
                <w:spacing w:val="10"/>
                <w:sz w:val="18"/>
                <w:szCs w:val="18"/>
              </w:rPr>
              <w:t>；外层为玻璃纤维增强塑料材料的油罐，回填料应符合产品说明书的要求。</w:t>
            </w:r>
            <w:r>
              <w:rPr>
                <w:rFonts w:ascii="Times New Roman" w:hAnsi="Times New Roman" w:cs="Times New Roman"/>
                <w:color w:val="auto"/>
                <w:kern w:val="0"/>
                <w:sz w:val="18"/>
                <w:szCs w:val="18"/>
              </w:rPr>
              <w:t>6.1.12</w:t>
            </w:r>
          </w:p>
        </w:tc>
        <w:tc>
          <w:tcPr>
            <w:tcW w:w="1318" w:type="dxa"/>
            <w:tcBorders>
              <w:top w:val="single" w:color="auto" w:sz="4" w:space="0"/>
              <w:left w:val="single" w:color="auto" w:sz="4" w:space="0"/>
              <w:bottom w:val="single" w:color="auto" w:sz="4"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设在车行道下面，罐顶低于路面</w:t>
            </w:r>
            <w:r>
              <w:rPr>
                <w:rFonts w:hint="eastAsia" w:ascii="Times New Roman" w:hAnsi="Times New Roman" w:cs="宋体"/>
                <w:color w:val="auto"/>
                <w:kern w:val="0"/>
                <w:sz w:val="18"/>
                <w:szCs w:val="18"/>
                <w:lang w:val="en-US" w:eastAsia="zh-CN"/>
              </w:rPr>
              <w:t>大于0.9m</w:t>
            </w:r>
            <w:r>
              <w:rPr>
                <w:rFonts w:hint="eastAsia" w:ascii="Times New Roman" w:hAnsi="Times New Roman" w:cs="宋体"/>
                <w:color w:val="auto"/>
                <w:kern w:val="0"/>
                <w:sz w:val="18"/>
                <w:szCs w:val="18"/>
              </w:rPr>
              <w:t>。</w:t>
            </w:r>
          </w:p>
        </w:tc>
        <w:tc>
          <w:tcPr>
            <w:tcW w:w="71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当埋地油罐受地下水或雨水作用有上浮的可能时，应采取防止油罐上浮的措施。</w:t>
            </w:r>
            <w:r>
              <w:rPr>
                <w:rFonts w:ascii="Times New Roman" w:hAnsi="Times New Roman" w:cs="Times New Roman"/>
                <w:color w:val="auto"/>
                <w:kern w:val="0"/>
                <w:sz w:val="18"/>
                <w:szCs w:val="18"/>
              </w:rPr>
              <w:t>6.1.13</w:t>
            </w:r>
          </w:p>
        </w:tc>
        <w:tc>
          <w:tcPr>
            <w:tcW w:w="131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有防止油罐上浮措施</w:t>
            </w:r>
          </w:p>
        </w:tc>
        <w:tc>
          <w:tcPr>
            <w:tcW w:w="712"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埋地油罐的人孔应设操作井。设在行车道下面的</w:t>
            </w:r>
            <w:r>
              <w:rPr>
                <w:rFonts w:hint="eastAsia" w:ascii="Times New Roman" w:hAnsi="Times New Roman" w:cs="宋体"/>
                <w:color w:val="auto"/>
                <w:spacing w:val="10"/>
                <w:kern w:val="0"/>
                <w:sz w:val="18"/>
                <w:szCs w:val="18"/>
              </w:rPr>
              <w:t>人孔井应采用加油站车行道下专用的密闭井盖和井座。</w:t>
            </w:r>
            <w:r>
              <w:rPr>
                <w:rFonts w:ascii="Times New Roman" w:hAnsi="Times New Roman" w:cs="Times New Roman"/>
                <w:color w:val="auto"/>
                <w:kern w:val="0"/>
                <w:sz w:val="18"/>
                <w:szCs w:val="18"/>
              </w:rPr>
              <w:t>6.1.14</w:t>
            </w:r>
          </w:p>
        </w:tc>
        <w:tc>
          <w:tcPr>
            <w:tcW w:w="1318" w:type="dxa"/>
            <w:tcBorders>
              <w:top w:val="single" w:color="auto" w:sz="4" w:space="0"/>
              <w:left w:val="single" w:color="auto" w:sz="4" w:space="0"/>
              <w:bottom w:val="single" w:color="auto" w:sz="4"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采用专用密闭井盖和井座</w:t>
            </w:r>
          </w:p>
        </w:tc>
        <w:tc>
          <w:tcPr>
            <w:tcW w:w="71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40" w:lineRule="exact"/>
              <w:jc w:val="lef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油罐卸油应采取</w:t>
            </w:r>
            <w:r>
              <w:rPr>
                <w:rFonts w:hint="eastAsia" w:ascii="Times New Roman" w:hAnsi="Times New Roman" w:cs="宋体"/>
                <w:color w:val="auto"/>
                <w:spacing w:val="10"/>
                <w:kern w:val="0"/>
                <w:sz w:val="18"/>
                <w:szCs w:val="18"/>
              </w:rPr>
              <w:t>防满溢措施。</w:t>
            </w:r>
            <w:r>
              <w:rPr>
                <w:rFonts w:hint="eastAsia" w:ascii="Times New Roman" w:hAnsi="Times New Roman" w:cs="宋体"/>
                <w:color w:val="auto"/>
                <w:spacing w:val="10"/>
                <w:sz w:val="18"/>
                <w:szCs w:val="18"/>
              </w:rPr>
              <w:t>油料达到油罐容量的</w:t>
            </w:r>
            <w:r>
              <w:rPr>
                <w:rFonts w:ascii="Times New Roman" w:hAnsi="Times New Roman" w:cs="Times New Roman"/>
                <w:color w:val="auto"/>
                <w:spacing w:val="10"/>
                <w:sz w:val="18"/>
                <w:szCs w:val="18"/>
              </w:rPr>
              <w:t>90%</w:t>
            </w:r>
            <w:r>
              <w:rPr>
                <w:rFonts w:hint="eastAsia" w:ascii="Times New Roman" w:hAnsi="Times New Roman" w:cs="宋体"/>
                <w:color w:val="auto"/>
                <w:spacing w:val="10"/>
                <w:sz w:val="18"/>
                <w:szCs w:val="18"/>
              </w:rPr>
              <w:t>时，应能触动高液位报警装置；油料达到油罐容量</w:t>
            </w:r>
            <w:r>
              <w:rPr>
                <w:rFonts w:ascii="Times New Roman" w:hAnsi="Times New Roman" w:cs="Times New Roman"/>
                <w:color w:val="auto"/>
                <w:spacing w:val="10"/>
                <w:sz w:val="18"/>
                <w:szCs w:val="18"/>
              </w:rPr>
              <w:t>95%</w:t>
            </w:r>
            <w:r>
              <w:rPr>
                <w:rFonts w:hint="eastAsia" w:ascii="Times New Roman" w:hAnsi="Times New Roman" w:cs="宋体"/>
                <w:color w:val="auto"/>
                <w:spacing w:val="10"/>
                <w:sz w:val="18"/>
                <w:szCs w:val="18"/>
              </w:rPr>
              <w:t>时，应能自动停止油料继续进罐</w:t>
            </w:r>
            <w:r>
              <w:rPr>
                <w:rFonts w:hint="eastAsia" w:ascii="Times New Roman" w:hAnsi="Times New Roman" w:cs="宋体"/>
                <w:color w:val="auto"/>
                <w:spacing w:val="10"/>
                <w:kern w:val="0"/>
                <w:sz w:val="18"/>
                <w:szCs w:val="18"/>
              </w:rPr>
              <w:t>。高液位报警装置应位于工作人员便于观察的地点。</w:t>
            </w:r>
            <w:r>
              <w:rPr>
                <w:rFonts w:ascii="Times New Roman" w:hAnsi="Times New Roman" w:cs="Times New Roman"/>
                <w:color w:val="auto"/>
                <w:kern w:val="0"/>
                <w:sz w:val="18"/>
                <w:szCs w:val="18"/>
              </w:rPr>
              <w:t>6.1.15</w:t>
            </w:r>
          </w:p>
        </w:tc>
        <w:tc>
          <w:tcPr>
            <w:tcW w:w="131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设有高液位报警功能的液位监测系统</w:t>
            </w:r>
          </w:p>
        </w:tc>
        <w:tc>
          <w:tcPr>
            <w:tcW w:w="712"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设有油气回收系统的加油加气站，其站内油罐应设带有高液位报警功能的液位监测系统。单层油罐的液位监测系统尚应具备渗漏检测功能，渗漏检测分辨率不宜大于</w:t>
            </w:r>
            <w:r>
              <w:rPr>
                <w:rFonts w:ascii="Times New Roman" w:hAnsi="Times New Roman" w:cs="Times New Roman"/>
                <w:color w:val="auto"/>
                <w:spacing w:val="10"/>
                <w:sz w:val="18"/>
                <w:szCs w:val="18"/>
              </w:rPr>
              <w:t>0.8 L/h</w:t>
            </w:r>
            <w:r>
              <w:rPr>
                <w:rFonts w:hint="eastAsia" w:ascii="Times New Roman" w:hAnsi="Times New Roman" w:cs="宋体"/>
                <w:color w:val="auto"/>
                <w:spacing w:val="10"/>
                <w:sz w:val="18"/>
                <w:szCs w:val="18"/>
              </w:rPr>
              <w:t>。</w:t>
            </w:r>
            <w:r>
              <w:rPr>
                <w:rFonts w:ascii="Times New Roman" w:hAnsi="Times New Roman" w:cs="Times New Roman"/>
                <w:color w:val="auto"/>
                <w:kern w:val="0"/>
                <w:sz w:val="18"/>
                <w:szCs w:val="18"/>
              </w:rPr>
              <w:t>6.1.16</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双层油罐，设有高液位报警功能的液位监测系统</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2"/>
              <w:numPr>
                <w:ilvl w:val="0"/>
                <w:numId w:val="3"/>
              </w:numPr>
              <w:autoSpaceDE w:val="0"/>
              <w:autoSpaceDN w:val="0"/>
              <w:spacing w:line="280" w:lineRule="exact"/>
              <w:ind w:firstLineChars="0"/>
              <w:jc w:val="center"/>
              <w:rPr>
                <w:rFonts w:ascii="Times New Roman" w:hAnsi="Times New Roman" w:cs="Times New Roman"/>
                <w:b/>
                <w:bCs/>
                <w:color w:val="auto"/>
                <w:kern w:val="0"/>
                <w:sz w:val="18"/>
                <w:szCs w:val="18"/>
              </w:rPr>
            </w:pPr>
          </w:p>
        </w:tc>
        <w:tc>
          <w:tcPr>
            <w:tcW w:w="6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与土壤接触的钢制油罐外表面，其防腐设计应符合现行行业标准《石油化工设备和管道涂料防腐蚀设计标准》</w:t>
            </w:r>
            <w:r>
              <w:rPr>
                <w:rFonts w:ascii="Times New Roman" w:hAnsi="Times New Roman" w:cs="Times New Roman"/>
                <w:color w:val="auto"/>
                <w:spacing w:val="10"/>
                <w:sz w:val="18"/>
                <w:szCs w:val="18"/>
              </w:rPr>
              <w:t>SH/T 3022</w:t>
            </w:r>
            <w:r>
              <w:rPr>
                <w:rFonts w:hint="eastAsia" w:ascii="Times New Roman" w:hAnsi="Times New Roman" w:cs="宋体"/>
                <w:color w:val="auto"/>
                <w:spacing w:val="10"/>
                <w:sz w:val="18"/>
                <w:szCs w:val="18"/>
              </w:rPr>
              <w:t>的有关规定，且防腐等级不应低于加强级。</w:t>
            </w:r>
            <w:r>
              <w:rPr>
                <w:rFonts w:ascii="Times New Roman" w:hAnsi="Times New Roman" w:cs="Times New Roman"/>
                <w:color w:val="auto"/>
                <w:kern w:val="0"/>
                <w:sz w:val="18"/>
                <w:szCs w:val="18"/>
              </w:rPr>
              <w:t>6.1.17</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adjustRightInd/>
              <w:snapToGrid/>
              <w:spacing w:line="270" w:lineRule="exact"/>
              <w:jc w:val="lef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站内的油罐采用带测漏检测功能的</w:t>
            </w:r>
            <w:r>
              <w:rPr>
                <w:rFonts w:ascii="Times New Roman" w:hAnsi="Times New Roman" w:cs="Times New Roman"/>
                <w:color w:val="auto"/>
                <w:kern w:val="0"/>
                <w:sz w:val="18"/>
                <w:szCs w:val="18"/>
              </w:rPr>
              <w:t>SF</w:t>
            </w:r>
            <w:r>
              <w:rPr>
                <w:rFonts w:hint="eastAsia" w:ascii="Times New Roman" w:hAnsi="Times New Roman" w:cs="宋体"/>
                <w:color w:val="auto"/>
                <w:kern w:val="0"/>
                <w:sz w:val="18"/>
                <w:szCs w:val="18"/>
              </w:rPr>
              <w:t>双层油罐</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437" w:hRule="atLeast"/>
          <w:jc w:val="center"/>
        </w:trPr>
        <w:tc>
          <w:tcPr>
            <w:tcW w:w="883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ind w:firstLine="3945" w:firstLineChars="2183"/>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加油机</w:t>
            </w:r>
          </w:p>
        </w:tc>
      </w:tr>
      <w:tr>
        <w:tblPrEx>
          <w:tblCellMar>
            <w:top w:w="0" w:type="dxa"/>
            <w:left w:w="0" w:type="dxa"/>
            <w:bottom w:w="0" w:type="dxa"/>
            <w:right w:w="0" w:type="dxa"/>
          </w:tblCellMar>
        </w:tblPrEx>
        <w:trPr>
          <w:trHeight w:val="45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w:t>
            </w:r>
          </w:p>
        </w:tc>
        <w:tc>
          <w:tcPr>
            <w:tcW w:w="6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left"/>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加油机不得设置在室内。</w:t>
            </w:r>
            <w:r>
              <w:rPr>
                <w:rFonts w:ascii="Times New Roman" w:hAnsi="Times New Roman" w:cs="Times New Roman"/>
                <w:b w:val="0"/>
                <w:bCs w:val="0"/>
                <w:color w:val="auto"/>
                <w:kern w:val="0"/>
                <w:sz w:val="18"/>
                <w:szCs w:val="18"/>
              </w:rPr>
              <w:t>6.2.1</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室外</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p>
        </w:tc>
        <w:tc>
          <w:tcPr>
            <w:tcW w:w="6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spacing w:line="270" w:lineRule="exact"/>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spacing w:val="10"/>
                <w:sz w:val="18"/>
                <w:szCs w:val="18"/>
              </w:rPr>
              <w:t>加油枪应采用自封式加油枪，汽油加油枪的流量不应大于</w:t>
            </w:r>
            <w:r>
              <w:rPr>
                <w:rFonts w:ascii="Times New Roman" w:hAnsi="Times New Roman" w:cs="Times New Roman"/>
                <w:b w:val="0"/>
                <w:bCs w:val="0"/>
                <w:color w:val="auto"/>
                <w:spacing w:val="10"/>
                <w:sz w:val="18"/>
                <w:szCs w:val="18"/>
              </w:rPr>
              <w:t>50L/min</w:t>
            </w:r>
            <w:r>
              <w:rPr>
                <w:rFonts w:hint="eastAsia" w:ascii="Times New Roman" w:hAnsi="Times New Roman" w:cs="宋体"/>
                <w:b w:val="0"/>
                <w:bCs w:val="0"/>
                <w:color w:val="auto"/>
                <w:spacing w:val="10"/>
                <w:sz w:val="18"/>
                <w:szCs w:val="18"/>
              </w:rPr>
              <w:t>。</w:t>
            </w:r>
            <w:r>
              <w:rPr>
                <w:rFonts w:ascii="Times New Roman" w:hAnsi="Times New Roman" w:cs="Times New Roman"/>
                <w:b w:val="0"/>
                <w:bCs w:val="0"/>
                <w:color w:val="auto"/>
                <w:kern w:val="0"/>
                <w:sz w:val="18"/>
                <w:szCs w:val="18"/>
              </w:rPr>
              <w:t>6.2.2</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汽油加油枪的流量</w:t>
            </w:r>
            <w:r>
              <w:rPr>
                <w:rFonts w:hint="eastAsia" w:ascii="Times New Roman" w:hAnsi="Times New Roman" w:cs="宋体"/>
                <w:color w:val="auto"/>
                <w:spacing w:val="10"/>
                <w:sz w:val="18"/>
                <w:szCs w:val="18"/>
                <w:lang w:val="en-US" w:eastAsia="zh-CN"/>
              </w:rPr>
              <w:t>4.5~45</w:t>
            </w:r>
            <w:r>
              <w:rPr>
                <w:rFonts w:ascii="Times New Roman" w:hAnsi="Times New Roman" w:cs="Times New Roman"/>
                <w:color w:val="auto"/>
                <w:spacing w:val="10"/>
                <w:sz w:val="18"/>
                <w:szCs w:val="18"/>
              </w:rPr>
              <w:t>L/min</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3</w:t>
            </w:r>
          </w:p>
        </w:tc>
        <w:tc>
          <w:tcPr>
            <w:tcW w:w="6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left"/>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加油软管上宜设安全拉断阀。</w:t>
            </w:r>
            <w:r>
              <w:rPr>
                <w:rFonts w:ascii="Times New Roman" w:hAnsi="Times New Roman" w:cs="Times New Roman"/>
                <w:b w:val="0"/>
                <w:bCs w:val="0"/>
                <w:color w:val="auto"/>
                <w:kern w:val="0"/>
                <w:sz w:val="18"/>
                <w:szCs w:val="18"/>
              </w:rPr>
              <w:t>6.2.3</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加油机上设置安全拉断阀</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4</w:t>
            </w:r>
          </w:p>
        </w:tc>
        <w:tc>
          <w:tcPr>
            <w:tcW w:w="6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spacing w:line="270" w:lineRule="exact"/>
              <w:textAlignment w:val="auto"/>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spacing w:val="10"/>
                <w:sz w:val="18"/>
                <w:szCs w:val="18"/>
              </w:rPr>
              <w:t>以正压（潜油泵）供油的加油机，底部的供油管道上应设剪切阀，当加油机被撞或起火时，剪切阀应能自动关闭。</w:t>
            </w:r>
            <w:r>
              <w:rPr>
                <w:rFonts w:ascii="Times New Roman" w:hAnsi="Times New Roman" w:cs="Times New Roman"/>
                <w:b w:val="0"/>
                <w:bCs w:val="0"/>
                <w:color w:val="auto"/>
                <w:kern w:val="0"/>
                <w:sz w:val="18"/>
                <w:szCs w:val="18"/>
              </w:rPr>
              <w:t>6.2.4</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加油机底下设有剪切阀</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567"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5</w:t>
            </w:r>
          </w:p>
        </w:tc>
        <w:tc>
          <w:tcPr>
            <w:tcW w:w="6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采用一机多油品的加油机时，加油机上的放枪位应有各油品的文字标识，加油枪应有颜色标识。</w:t>
            </w:r>
            <w:r>
              <w:rPr>
                <w:rFonts w:ascii="Times New Roman" w:hAnsi="Times New Roman" w:cs="Times New Roman"/>
                <w:color w:val="auto"/>
                <w:kern w:val="0"/>
                <w:sz w:val="18"/>
                <w:szCs w:val="18"/>
              </w:rPr>
              <w:t>6.2.5</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有文字标识</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85" w:hRule="atLeast"/>
          <w:jc w:val="center"/>
        </w:trPr>
        <w:tc>
          <w:tcPr>
            <w:tcW w:w="8835" w:type="dxa"/>
            <w:gridSpan w:val="4"/>
            <w:tcBorders>
              <w:top w:val="single" w:color="auto" w:sz="4" w:space="0"/>
              <w:left w:val="single" w:color="auto" w:sz="4" w:space="0"/>
              <w:bottom w:val="single" w:color="auto" w:sz="8" w:space="0"/>
              <w:right w:val="single" w:color="auto" w:sz="4" w:space="0"/>
            </w:tcBorders>
            <w:vAlign w:val="center"/>
          </w:tcPr>
          <w:p>
            <w:pPr>
              <w:keepNext w:val="0"/>
              <w:keepLines w:val="0"/>
              <w:pageBreakBefore w:val="0"/>
              <w:kinsoku/>
              <w:wordWrap/>
              <w:overflowPunct/>
              <w:topLinePunct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工艺管道系统</w:t>
            </w:r>
          </w:p>
        </w:tc>
      </w:tr>
      <w:tr>
        <w:tblPrEx>
          <w:tblCellMar>
            <w:top w:w="0" w:type="dxa"/>
            <w:left w:w="0" w:type="dxa"/>
            <w:bottom w:w="0" w:type="dxa"/>
            <w:right w:w="0" w:type="dxa"/>
          </w:tblCellMar>
        </w:tblPrEx>
        <w:trPr>
          <w:trHeight w:val="415"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096" w:type="dxa"/>
            <w:tcBorders>
              <w:top w:val="single" w:color="auto" w:sz="8" w:space="0"/>
              <w:left w:val="single" w:color="auto" w:sz="8" w:space="0"/>
              <w:bottom w:val="single" w:color="auto" w:sz="8"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318" w:type="dxa"/>
            <w:tcBorders>
              <w:top w:val="single" w:color="auto" w:sz="8" w:space="0"/>
              <w:left w:val="single" w:color="auto" w:sz="4" w:space="0"/>
              <w:bottom w:val="single" w:color="auto" w:sz="8" w:space="0"/>
              <w:right w:val="single" w:color="auto" w:sz="4" w:space="0"/>
            </w:tcBorders>
            <w:vAlign w:val="center"/>
          </w:tcPr>
          <w:p>
            <w:pPr>
              <w:keepNext w:val="0"/>
              <w:keepLines w:val="0"/>
              <w:pageBreakBefore w:val="0"/>
              <w:kinsoku/>
              <w:wordWrap/>
              <w:overflowPunct/>
              <w:topLinePunct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712" w:type="dxa"/>
            <w:tcBorders>
              <w:top w:val="single" w:color="auto" w:sz="8" w:space="0"/>
              <w:left w:val="single" w:color="auto" w:sz="4" w:space="0"/>
              <w:bottom w:val="single" w:color="auto" w:sz="8" w:space="0"/>
              <w:right w:val="single" w:color="auto" w:sz="4" w:space="0"/>
            </w:tcBorders>
            <w:vAlign w:val="center"/>
          </w:tcPr>
          <w:p>
            <w:pPr>
              <w:keepNext w:val="0"/>
              <w:keepLines w:val="0"/>
              <w:pageBreakBefore w:val="0"/>
              <w:kinsoku/>
              <w:wordWrap/>
              <w:overflowPunct/>
              <w:topLinePunct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color w:val="auto"/>
                <w:kern w:val="0"/>
                <w:sz w:val="18"/>
                <w:szCs w:val="18"/>
              </w:rPr>
            </w:pPr>
            <w:r>
              <w:rPr>
                <w:rFonts w:ascii="Times New Roman" w:hAnsi="Times New Roman" w:cs="Times New Roman"/>
                <w:b/>
                <w:bCs/>
                <w:color w:val="auto"/>
                <w:kern w:val="0"/>
                <w:sz w:val="18"/>
                <w:szCs w:val="18"/>
              </w:rPr>
              <w:t>1</w:t>
            </w:r>
          </w:p>
        </w:tc>
        <w:tc>
          <w:tcPr>
            <w:tcW w:w="6096" w:type="dxa"/>
            <w:tcBorders>
              <w:top w:val="single" w:color="auto" w:sz="8" w:space="0"/>
              <w:left w:val="single" w:color="auto" w:sz="8" w:space="0"/>
              <w:bottom w:val="single" w:color="auto" w:sz="8" w:space="0"/>
              <w:right w:val="single" w:color="auto" w:sz="4" w:space="0"/>
            </w:tcBorders>
            <w:vAlign w:val="center"/>
          </w:tcPr>
          <w:p>
            <w:pPr>
              <w:keepNext w:val="0"/>
              <w:keepLines w:val="0"/>
              <w:pageBreakBefore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b w:val="0"/>
                <w:bCs w:val="0"/>
                <w:color w:val="auto"/>
                <w:spacing w:val="10"/>
                <w:sz w:val="18"/>
                <w:szCs w:val="18"/>
              </w:rPr>
              <w:t>汽油和柴油油罐车卸油必须采用密闭卸油方式。汽油油罐车应具有卸油油气回收系统</w:t>
            </w:r>
            <w:r>
              <w:rPr>
                <w:rFonts w:ascii="Times New Roman" w:hAnsi="Times New Roman" w:cs="Times New Roman"/>
                <w:b w:val="0"/>
                <w:bCs w:val="0"/>
                <w:color w:val="auto"/>
                <w:kern w:val="0"/>
                <w:sz w:val="18"/>
                <w:szCs w:val="18"/>
              </w:rPr>
              <w:t>6.3.1</w:t>
            </w:r>
          </w:p>
        </w:tc>
        <w:tc>
          <w:tcPr>
            <w:tcW w:w="1318" w:type="dxa"/>
            <w:tcBorders>
              <w:top w:val="single" w:color="auto" w:sz="8" w:space="0"/>
              <w:left w:val="single" w:color="auto" w:sz="4" w:space="0"/>
              <w:bottom w:val="single" w:color="auto" w:sz="8" w:space="0"/>
              <w:right w:val="single" w:color="auto" w:sz="4" w:space="0"/>
            </w:tcBorders>
            <w:vAlign w:val="center"/>
          </w:tcPr>
          <w:p>
            <w:pPr>
              <w:keepNext w:val="0"/>
              <w:keepLines w:val="0"/>
              <w:pageBreakBefore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密闭卸油方式，有汽油卸油油气回收系统</w:t>
            </w:r>
          </w:p>
        </w:tc>
        <w:tc>
          <w:tcPr>
            <w:tcW w:w="712" w:type="dxa"/>
            <w:tcBorders>
              <w:top w:val="single" w:color="auto" w:sz="8" w:space="0"/>
              <w:left w:val="single" w:color="auto" w:sz="4" w:space="0"/>
              <w:bottom w:val="single" w:color="auto" w:sz="8" w:space="0"/>
              <w:right w:val="single" w:color="auto" w:sz="4" w:space="0"/>
            </w:tcBorders>
            <w:vAlign w:val="center"/>
          </w:tcPr>
          <w:p>
            <w:pPr>
              <w:keepNext w:val="0"/>
              <w:keepLines w:val="0"/>
              <w:pageBreakBefore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4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每个油罐应各自设置卸油管道和卸油接口。各卸油接口及油气回收接口，应有明显的标识。</w:t>
            </w:r>
            <w:r>
              <w:rPr>
                <w:rFonts w:ascii="Times New Roman" w:hAnsi="Times New Roman" w:cs="Times New Roman"/>
                <w:color w:val="auto"/>
                <w:kern w:val="0"/>
                <w:sz w:val="18"/>
                <w:szCs w:val="18"/>
              </w:rPr>
              <w:t>6.3.2</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卸油口有标识</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3</w:t>
            </w:r>
          </w:p>
        </w:tc>
        <w:tc>
          <w:tcPr>
            <w:tcW w:w="6096" w:type="dxa"/>
            <w:tcBorders>
              <w:top w:val="single" w:color="auto" w:sz="8" w:space="0"/>
              <w:left w:val="single" w:color="auto" w:sz="8" w:space="0"/>
              <w:bottom w:val="single" w:color="auto" w:sz="8" w:space="0"/>
              <w:right w:val="single" w:color="auto" w:sz="4" w:space="0"/>
            </w:tcBorders>
            <w:vAlign w:val="center"/>
          </w:tcPr>
          <w:p>
            <w:pPr>
              <w:autoSpaceDE w:val="0"/>
              <w:autoSpaceDN w:val="0"/>
              <w:spacing w:line="24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卸油接口应装设快速接头及密封盖。</w:t>
            </w:r>
            <w:r>
              <w:rPr>
                <w:rFonts w:ascii="Times New Roman" w:hAnsi="Times New Roman" w:cs="Times New Roman"/>
                <w:color w:val="auto"/>
                <w:kern w:val="0"/>
                <w:sz w:val="18"/>
                <w:szCs w:val="18"/>
              </w:rPr>
              <w:t>6.3.3</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卸油口有快速接头和密封盖</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4</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4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加油站采用卸油油气回收系统时，其设计应符合下列规定：</w:t>
            </w:r>
          </w:p>
          <w:p>
            <w:pPr>
              <w:spacing w:line="24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1 </w:t>
            </w:r>
            <w:r>
              <w:rPr>
                <w:rFonts w:hint="eastAsia" w:ascii="Times New Roman" w:hAnsi="Times New Roman" w:cs="宋体"/>
                <w:color w:val="auto"/>
                <w:spacing w:val="10"/>
                <w:kern w:val="0"/>
                <w:sz w:val="18"/>
                <w:szCs w:val="18"/>
              </w:rPr>
              <w:t>汽油罐车</w:t>
            </w:r>
            <w:r>
              <w:rPr>
                <w:rFonts w:hint="eastAsia" w:ascii="Times New Roman" w:hAnsi="Times New Roman" w:cs="宋体"/>
                <w:color w:val="auto"/>
                <w:spacing w:val="10"/>
                <w:sz w:val="18"/>
                <w:szCs w:val="18"/>
              </w:rPr>
              <w:t>向站内油罐卸油</w:t>
            </w:r>
            <w:r>
              <w:rPr>
                <w:rFonts w:hint="eastAsia" w:ascii="Times New Roman" w:hAnsi="Times New Roman" w:cs="宋体"/>
                <w:color w:val="auto"/>
                <w:spacing w:val="10"/>
                <w:kern w:val="0"/>
                <w:sz w:val="18"/>
                <w:szCs w:val="18"/>
              </w:rPr>
              <w:t>应</w:t>
            </w:r>
            <w:r>
              <w:rPr>
                <w:rFonts w:hint="eastAsia" w:ascii="Times New Roman" w:hAnsi="Times New Roman" w:cs="宋体"/>
                <w:color w:val="auto"/>
                <w:spacing w:val="10"/>
                <w:sz w:val="18"/>
                <w:szCs w:val="18"/>
              </w:rPr>
              <w:t>采用平衡式密闭油气回收系统。</w:t>
            </w:r>
          </w:p>
          <w:p>
            <w:pPr>
              <w:spacing w:line="24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sz w:val="18"/>
                <w:szCs w:val="18"/>
              </w:rPr>
              <w:t>各汽油罐可共用一根卸油油气回收主管，回收主管的公称直径不宜小于</w:t>
            </w:r>
            <w:r>
              <w:rPr>
                <w:rFonts w:ascii="Times New Roman" w:hAnsi="Times New Roman" w:cs="Times New Roman"/>
                <w:color w:val="auto"/>
                <w:spacing w:val="10"/>
                <w:sz w:val="18"/>
                <w:szCs w:val="18"/>
              </w:rPr>
              <w:t>100mm</w:t>
            </w:r>
            <w:r>
              <w:rPr>
                <w:rFonts w:hint="eastAsia" w:ascii="Times New Roman" w:hAnsi="Times New Roman" w:cs="宋体"/>
                <w:color w:val="auto"/>
                <w:spacing w:val="10"/>
                <w:sz w:val="18"/>
                <w:szCs w:val="18"/>
              </w:rPr>
              <w:t>。</w:t>
            </w:r>
          </w:p>
          <w:p>
            <w:pPr>
              <w:spacing w:line="240" w:lineRule="exact"/>
              <w:rPr>
                <w:rFonts w:ascii="Times New Roman" w:hAnsi="Times New Roman" w:cs="Times New Roman"/>
                <w:color w:val="auto"/>
                <w:kern w:val="0"/>
                <w:sz w:val="18"/>
                <w:szCs w:val="18"/>
              </w:rPr>
            </w:pPr>
            <w:r>
              <w:rPr>
                <w:rFonts w:ascii="Times New Roman" w:hAnsi="Times New Roman" w:cs="Times New Roman"/>
                <w:color w:val="auto"/>
                <w:spacing w:val="10"/>
                <w:sz w:val="18"/>
                <w:szCs w:val="18"/>
              </w:rPr>
              <w:t xml:space="preserve">3 </w:t>
            </w:r>
            <w:r>
              <w:rPr>
                <w:rFonts w:hint="eastAsia" w:ascii="Times New Roman" w:hAnsi="Times New Roman" w:cs="宋体"/>
                <w:color w:val="auto"/>
                <w:spacing w:val="10"/>
                <w:sz w:val="18"/>
                <w:szCs w:val="18"/>
              </w:rPr>
              <w:t>卸油油气回收管道的接口宜采用自闭式快速接头和盖帽。采用非自闭式快速接头时，应在靠近快速接头的连接管道上装设阀门和盖帽。</w:t>
            </w:r>
            <w:r>
              <w:rPr>
                <w:rFonts w:ascii="Times New Roman" w:hAnsi="Times New Roman" w:cs="Times New Roman"/>
                <w:color w:val="auto"/>
                <w:kern w:val="0"/>
                <w:sz w:val="18"/>
                <w:szCs w:val="18"/>
              </w:rPr>
              <w:t>6.3.4</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有卸油油气回收主管、自闭式快速接头等。</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5</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4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加油站宜采用油罐装设潜油泵的一泵供多机（枪）的加油工艺。采用自吸式加油机时，每台加油机应按加油品种单独设置进油管和罐内底阀。</w:t>
            </w:r>
            <w:r>
              <w:rPr>
                <w:rFonts w:ascii="Times New Roman" w:hAnsi="Times New Roman" w:cs="Times New Roman"/>
                <w:color w:val="auto"/>
                <w:kern w:val="0"/>
                <w:sz w:val="18"/>
                <w:szCs w:val="18"/>
              </w:rPr>
              <w:t>6.3.5</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采用潜油泵一泵供多枪的加油工艺。</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6</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4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加油站应采用加油油气回收系统。</w:t>
            </w:r>
            <w:r>
              <w:rPr>
                <w:rFonts w:ascii="Times New Roman" w:hAnsi="Times New Roman" w:cs="Times New Roman"/>
                <w:color w:val="auto"/>
                <w:spacing w:val="10"/>
                <w:sz w:val="18"/>
                <w:szCs w:val="18"/>
              </w:rPr>
              <w:t>6.3.6</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设有加油油气回收系统</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7</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4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加油油气回收系统的设计应符合下列规定：</w:t>
            </w:r>
          </w:p>
          <w:p>
            <w:pPr>
              <w:spacing w:line="24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1 </w:t>
            </w:r>
            <w:r>
              <w:rPr>
                <w:rFonts w:hint="eastAsia" w:ascii="Times New Roman" w:hAnsi="Times New Roman" w:cs="宋体"/>
                <w:color w:val="auto"/>
                <w:spacing w:val="10"/>
                <w:sz w:val="18"/>
                <w:szCs w:val="18"/>
              </w:rPr>
              <w:t>应采用真空辅助式油气回收系统。</w:t>
            </w:r>
          </w:p>
          <w:p>
            <w:pPr>
              <w:spacing w:line="24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sz w:val="18"/>
                <w:szCs w:val="18"/>
              </w:rPr>
              <w:t>汽油加油机与油罐之间应设油气回收管道，多台汽油加油机可共用</w:t>
            </w:r>
            <w:r>
              <w:rPr>
                <w:rFonts w:ascii="Times New Roman" w:hAnsi="Times New Roman" w:cs="Times New Roman"/>
                <w:color w:val="auto"/>
                <w:spacing w:val="10"/>
                <w:sz w:val="18"/>
                <w:szCs w:val="18"/>
              </w:rPr>
              <w:t>1</w:t>
            </w:r>
            <w:r>
              <w:rPr>
                <w:rFonts w:hint="eastAsia" w:ascii="Times New Roman" w:hAnsi="Times New Roman" w:cs="宋体"/>
                <w:color w:val="auto"/>
                <w:spacing w:val="10"/>
                <w:sz w:val="18"/>
                <w:szCs w:val="18"/>
              </w:rPr>
              <w:t>根油气回收主管，油气回收主管的公称直径不应小于</w:t>
            </w:r>
            <w:r>
              <w:rPr>
                <w:rFonts w:ascii="Times New Roman" w:hAnsi="Times New Roman" w:cs="Times New Roman"/>
                <w:color w:val="auto"/>
                <w:spacing w:val="10"/>
                <w:sz w:val="18"/>
                <w:szCs w:val="18"/>
              </w:rPr>
              <w:t>50mm</w:t>
            </w:r>
            <w:r>
              <w:rPr>
                <w:rFonts w:hint="eastAsia" w:ascii="Times New Roman" w:hAnsi="Times New Roman" w:cs="宋体"/>
                <w:color w:val="auto"/>
                <w:spacing w:val="10"/>
                <w:sz w:val="18"/>
                <w:szCs w:val="18"/>
              </w:rPr>
              <w:t>。</w:t>
            </w:r>
          </w:p>
          <w:p>
            <w:pPr>
              <w:spacing w:line="240" w:lineRule="exact"/>
              <w:rPr>
                <w:rFonts w:ascii="Times New Roman" w:hAnsi="Times New Roman" w:cs="Times New Roman"/>
                <w:dstrike/>
                <w:color w:val="auto"/>
                <w:spacing w:val="10"/>
                <w:sz w:val="18"/>
                <w:szCs w:val="18"/>
              </w:rPr>
            </w:pPr>
            <w:r>
              <w:rPr>
                <w:rFonts w:ascii="Times New Roman" w:hAnsi="Times New Roman" w:cs="Times New Roman"/>
                <w:color w:val="auto"/>
                <w:spacing w:val="10"/>
                <w:sz w:val="18"/>
                <w:szCs w:val="18"/>
              </w:rPr>
              <w:t xml:space="preserve">3 </w:t>
            </w:r>
            <w:r>
              <w:rPr>
                <w:rFonts w:hint="eastAsia" w:ascii="Times New Roman" w:hAnsi="Times New Roman" w:cs="宋体"/>
                <w:color w:val="auto"/>
                <w:spacing w:val="10"/>
                <w:sz w:val="18"/>
                <w:szCs w:val="18"/>
              </w:rPr>
              <w:t>加油油气回收系统应采取防止油气反向流至加油枪的措施。</w:t>
            </w:r>
          </w:p>
          <w:p>
            <w:pPr>
              <w:spacing w:line="24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4 </w:t>
            </w:r>
            <w:r>
              <w:rPr>
                <w:rFonts w:hint="eastAsia" w:ascii="Times New Roman" w:hAnsi="Times New Roman" w:cs="宋体"/>
                <w:color w:val="auto"/>
                <w:spacing w:val="10"/>
                <w:sz w:val="18"/>
                <w:szCs w:val="18"/>
              </w:rPr>
              <w:t>加油机应具备回收油气功能，其气液比宜设定为</w:t>
            </w:r>
            <w:r>
              <w:rPr>
                <w:rFonts w:ascii="Times New Roman" w:hAnsi="Times New Roman" w:cs="Times New Roman"/>
                <w:color w:val="auto"/>
                <w:spacing w:val="10"/>
                <w:sz w:val="18"/>
                <w:szCs w:val="18"/>
              </w:rPr>
              <w:t>1.0</w:t>
            </w:r>
            <w:r>
              <w:rPr>
                <w:rFonts w:hint="eastAsia" w:ascii="Times New Roman" w:hAnsi="Times New Roman" w:cs="宋体"/>
                <w:color w:val="auto"/>
                <w:spacing w:val="10"/>
                <w:sz w:val="18"/>
                <w:szCs w:val="18"/>
              </w:rPr>
              <w:t>～</w:t>
            </w:r>
            <w:r>
              <w:rPr>
                <w:rFonts w:ascii="Times New Roman" w:hAnsi="Times New Roman" w:cs="Times New Roman"/>
                <w:color w:val="auto"/>
                <w:spacing w:val="10"/>
                <w:sz w:val="18"/>
                <w:szCs w:val="18"/>
              </w:rPr>
              <w:t>1.2</w:t>
            </w:r>
            <w:r>
              <w:rPr>
                <w:rFonts w:hint="eastAsia" w:ascii="Times New Roman" w:hAnsi="Times New Roman" w:cs="宋体"/>
                <w:color w:val="auto"/>
                <w:spacing w:val="10"/>
                <w:sz w:val="18"/>
                <w:szCs w:val="18"/>
              </w:rPr>
              <w:t>。</w:t>
            </w:r>
          </w:p>
          <w:p>
            <w:pPr>
              <w:spacing w:line="240" w:lineRule="exact"/>
              <w:rPr>
                <w:rFonts w:ascii="Times New Roman" w:hAnsi="Times New Roman" w:cs="Times New Roman"/>
                <w:color w:val="auto"/>
                <w:kern w:val="0"/>
                <w:sz w:val="18"/>
                <w:szCs w:val="18"/>
              </w:rPr>
            </w:pPr>
            <w:r>
              <w:rPr>
                <w:rFonts w:ascii="Times New Roman" w:hAnsi="Times New Roman" w:cs="Times New Roman"/>
                <w:color w:val="auto"/>
                <w:spacing w:val="10"/>
                <w:sz w:val="18"/>
                <w:szCs w:val="18"/>
              </w:rPr>
              <w:t xml:space="preserve">5 </w:t>
            </w:r>
            <w:r>
              <w:rPr>
                <w:rFonts w:hint="eastAsia" w:ascii="Times New Roman" w:hAnsi="Times New Roman" w:cs="宋体"/>
                <w:color w:val="auto"/>
                <w:spacing w:val="10"/>
                <w:sz w:val="18"/>
                <w:szCs w:val="18"/>
              </w:rPr>
              <w:t>在加油机底部与油气回收立管的连接处</w:t>
            </w:r>
            <w:r>
              <w:rPr>
                <w:rFonts w:ascii="Times New Roman" w:hAnsi="Times New Roman" w:cs="Times New Roman"/>
                <w:color w:val="auto"/>
                <w:spacing w:val="10"/>
                <w:sz w:val="18"/>
                <w:szCs w:val="18"/>
              </w:rPr>
              <w:t>,</w:t>
            </w:r>
            <w:r>
              <w:rPr>
                <w:rFonts w:hint="eastAsia" w:ascii="Times New Roman" w:hAnsi="Times New Roman" w:cs="宋体"/>
                <w:color w:val="auto"/>
                <w:spacing w:val="10"/>
                <w:sz w:val="18"/>
                <w:szCs w:val="18"/>
              </w:rPr>
              <w:t>应安装一个用于检测液阻和系统密闭性的丝接三通，其旁通短管上应设公称直径为</w:t>
            </w:r>
            <w:r>
              <w:rPr>
                <w:rFonts w:ascii="Times New Roman" w:hAnsi="Times New Roman" w:cs="Times New Roman"/>
                <w:color w:val="auto"/>
                <w:spacing w:val="10"/>
                <w:sz w:val="18"/>
                <w:szCs w:val="18"/>
              </w:rPr>
              <w:t>25mm</w:t>
            </w:r>
            <w:r>
              <w:rPr>
                <w:rFonts w:hint="eastAsia" w:ascii="Times New Roman" w:hAnsi="Times New Roman" w:cs="宋体"/>
                <w:color w:val="auto"/>
                <w:spacing w:val="10"/>
                <w:sz w:val="18"/>
                <w:szCs w:val="18"/>
              </w:rPr>
              <w:t>的球阀及丝堵。</w:t>
            </w:r>
            <w:r>
              <w:rPr>
                <w:rFonts w:ascii="Times New Roman" w:hAnsi="Times New Roman" w:cs="Times New Roman"/>
                <w:color w:val="auto"/>
                <w:kern w:val="0"/>
                <w:sz w:val="18"/>
                <w:szCs w:val="18"/>
              </w:rPr>
              <w:t>6.3.7</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汽油加油机和油罐之间设置油气回收管道，公称直径</w:t>
            </w:r>
            <w:r>
              <w:rPr>
                <w:rFonts w:ascii="Times New Roman" w:hAnsi="Times New Roman" w:cs="Times New Roman"/>
                <w:color w:val="auto"/>
                <w:kern w:val="0"/>
                <w:sz w:val="18"/>
                <w:szCs w:val="18"/>
              </w:rPr>
              <w:t>50mm</w:t>
            </w:r>
            <w:r>
              <w:rPr>
                <w:rFonts w:hint="eastAsia" w:ascii="Times New Roman" w:hAnsi="Times New Roman" w:cs="宋体"/>
                <w:color w:val="auto"/>
                <w:kern w:val="0"/>
                <w:sz w:val="18"/>
                <w:szCs w:val="18"/>
              </w:rPr>
              <w:t>。</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8</w:t>
            </w:r>
          </w:p>
        </w:tc>
        <w:tc>
          <w:tcPr>
            <w:tcW w:w="6096" w:type="dxa"/>
            <w:tcBorders>
              <w:top w:val="single" w:color="auto" w:sz="8" w:space="0"/>
              <w:left w:val="single" w:color="auto" w:sz="8" w:space="0"/>
              <w:bottom w:val="single" w:color="auto" w:sz="8" w:space="0"/>
              <w:right w:val="single" w:color="auto" w:sz="4" w:space="0"/>
            </w:tcBorders>
            <w:vAlign w:val="center"/>
          </w:tcPr>
          <w:p>
            <w:pPr>
              <w:widowControl/>
              <w:spacing w:line="240" w:lineRule="exact"/>
              <w:jc w:val="left"/>
              <w:rPr>
                <w:rFonts w:ascii="Times New Roman" w:hAnsi="Times New Roman" w:cs="Times New Roman"/>
                <w:color w:val="auto"/>
                <w:kern w:val="0"/>
                <w:sz w:val="18"/>
                <w:szCs w:val="18"/>
              </w:rPr>
            </w:pPr>
            <w:r>
              <w:rPr>
                <w:rFonts w:hint="eastAsia" w:ascii="Times New Roman" w:hAnsi="Times New Roman" w:cs="宋体"/>
                <w:color w:val="auto"/>
                <w:spacing w:val="10"/>
                <w:kern w:val="0"/>
                <w:sz w:val="18"/>
                <w:szCs w:val="18"/>
              </w:rPr>
              <w:t>油罐的接合管设置</w:t>
            </w:r>
            <w:r>
              <w:rPr>
                <w:rFonts w:hint="eastAsia" w:ascii="Times New Roman" w:hAnsi="Times New Roman" w:cs="宋体"/>
                <w:color w:val="auto"/>
                <w:kern w:val="0"/>
                <w:sz w:val="18"/>
                <w:szCs w:val="18"/>
              </w:rPr>
              <w:t>应符合下列规定：</w:t>
            </w:r>
          </w:p>
          <w:p>
            <w:pPr>
              <w:widowControl/>
              <w:spacing w:line="240" w:lineRule="exact"/>
              <w:jc w:val="left"/>
              <w:rPr>
                <w:rFonts w:ascii="Times New Roman" w:hAnsi="Times New Roman" w:cs="Times New Roman"/>
                <w:color w:val="auto"/>
                <w:spacing w:val="10"/>
                <w:kern w:val="0"/>
                <w:sz w:val="18"/>
                <w:szCs w:val="18"/>
              </w:rPr>
            </w:pPr>
            <w:r>
              <w:rPr>
                <w:rFonts w:ascii="Times New Roman" w:hAnsi="Times New Roman" w:cs="Times New Roman"/>
                <w:color w:val="auto"/>
                <w:spacing w:val="10"/>
                <w:kern w:val="0"/>
                <w:sz w:val="18"/>
                <w:szCs w:val="18"/>
              </w:rPr>
              <w:t xml:space="preserve">1 </w:t>
            </w:r>
            <w:r>
              <w:rPr>
                <w:rFonts w:hint="eastAsia" w:ascii="Times New Roman" w:hAnsi="Times New Roman" w:cs="宋体"/>
                <w:color w:val="auto"/>
                <w:spacing w:val="10"/>
                <w:kern w:val="0"/>
                <w:sz w:val="18"/>
                <w:szCs w:val="18"/>
              </w:rPr>
              <w:t>接合管应为金属材质。</w:t>
            </w:r>
          </w:p>
          <w:p>
            <w:pPr>
              <w:widowControl/>
              <w:spacing w:line="240" w:lineRule="exact"/>
              <w:jc w:val="left"/>
              <w:rPr>
                <w:rFonts w:ascii="Times New Roman" w:hAnsi="Times New Roman" w:cs="Times New Roman"/>
                <w:color w:val="auto"/>
                <w:spacing w:val="10"/>
                <w:kern w:val="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kern w:val="0"/>
                <w:sz w:val="18"/>
                <w:szCs w:val="18"/>
              </w:rPr>
              <w:t>接合管应设在油罐的顶部，其中进油接合管、出油接合管或潜油泵安装口应设在人孔盖上。</w:t>
            </w:r>
          </w:p>
          <w:p>
            <w:pPr>
              <w:widowControl/>
              <w:spacing w:line="240" w:lineRule="exact"/>
              <w:jc w:val="left"/>
              <w:rPr>
                <w:rFonts w:ascii="Times New Roman" w:hAnsi="Times New Roman" w:cs="Times New Roman"/>
                <w:color w:val="auto"/>
                <w:spacing w:val="10"/>
                <w:kern w:val="0"/>
                <w:sz w:val="18"/>
                <w:szCs w:val="18"/>
              </w:rPr>
            </w:pPr>
            <w:r>
              <w:rPr>
                <w:rFonts w:ascii="Times New Roman" w:hAnsi="Times New Roman" w:cs="Times New Roman"/>
                <w:color w:val="auto"/>
                <w:spacing w:val="10"/>
                <w:sz w:val="18"/>
                <w:szCs w:val="18"/>
              </w:rPr>
              <w:t xml:space="preserve">3 </w:t>
            </w:r>
            <w:r>
              <w:rPr>
                <w:rFonts w:hint="eastAsia" w:ascii="Times New Roman" w:hAnsi="Times New Roman" w:cs="宋体"/>
                <w:color w:val="auto"/>
                <w:spacing w:val="10"/>
                <w:kern w:val="0"/>
                <w:sz w:val="18"/>
                <w:szCs w:val="18"/>
              </w:rPr>
              <w:t>进油管应伸至罐内距罐底</w:t>
            </w:r>
            <w:r>
              <w:rPr>
                <w:rFonts w:ascii="Times New Roman" w:hAnsi="Times New Roman" w:cs="Times New Roman"/>
                <w:color w:val="auto"/>
                <w:spacing w:val="10"/>
                <w:kern w:val="0"/>
                <w:sz w:val="18"/>
                <w:szCs w:val="18"/>
              </w:rPr>
              <w:t>50mm</w:t>
            </w:r>
            <w:r>
              <w:rPr>
                <w:rFonts w:hint="eastAsia" w:ascii="Times New Roman" w:hAnsi="Times New Roman" w:cs="宋体"/>
                <w:color w:val="auto"/>
                <w:spacing w:val="10"/>
                <w:kern w:val="0"/>
                <w:sz w:val="18"/>
                <w:szCs w:val="18"/>
              </w:rPr>
              <w:t>～</w:t>
            </w:r>
            <w:r>
              <w:rPr>
                <w:rFonts w:ascii="Times New Roman" w:hAnsi="Times New Roman" w:cs="Times New Roman"/>
                <w:color w:val="auto"/>
                <w:spacing w:val="10"/>
                <w:kern w:val="0"/>
                <w:sz w:val="18"/>
                <w:szCs w:val="18"/>
              </w:rPr>
              <w:t xml:space="preserve">100mm </w:t>
            </w:r>
            <w:r>
              <w:rPr>
                <w:rFonts w:hint="eastAsia" w:ascii="Times New Roman" w:hAnsi="Times New Roman" w:cs="宋体"/>
                <w:color w:val="auto"/>
                <w:spacing w:val="10"/>
                <w:kern w:val="0"/>
                <w:sz w:val="18"/>
                <w:szCs w:val="18"/>
              </w:rPr>
              <w:t>处。进油立管的底端应为</w:t>
            </w:r>
            <w:r>
              <w:rPr>
                <w:rFonts w:ascii="Times New Roman" w:hAnsi="Times New Roman" w:cs="Times New Roman"/>
                <w:color w:val="auto"/>
                <w:spacing w:val="10"/>
                <w:kern w:val="0"/>
                <w:sz w:val="18"/>
                <w:szCs w:val="18"/>
              </w:rPr>
              <w:t>45°</w:t>
            </w:r>
            <w:r>
              <w:rPr>
                <w:rFonts w:hint="eastAsia" w:ascii="Times New Roman" w:hAnsi="Times New Roman" w:cs="宋体"/>
                <w:color w:val="auto"/>
                <w:spacing w:val="10"/>
                <w:kern w:val="0"/>
                <w:sz w:val="18"/>
                <w:szCs w:val="18"/>
              </w:rPr>
              <w:t>斜管口或</w:t>
            </w:r>
            <w:r>
              <w:rPr>
                <w:rFonts w:ascii="Times New Roman" w:hAnsi="Times New Roman" w:cs="Times New Roman"/>
                <w:color w:val="auto"/>
                <w:spacing w:val="10"/>
                <w:kern w:val="0"/>
                <w:sz w:val="18"/>
                <w:szCs w:val="18"/>
              </w:rPr>
              <w:t>T</w:t>
            </w:r>
            <w:r>
              <w:rPr>
                <w:rFonts w:hint="eastAsia" w:ascii="Times New Roman" w:hAnsi="Times New Roman" w:cs="宋体"/>
                <w:color w:val="auto"/>
                <w:spacing w:val="10"/>
                <w:kern w:val="0"/>
                <w:sz w:val="18"/>
                <w:szCs w:val="18"/>
              </w:rPr>
              <w:t>形管口。进油管管壁上不得有与油罐气相空间相通的开口。</w:t>
            </w:r>
          </w:p>
          <w:p>
            <w:pPr>
              <w:widowControl/>
              <w:spacing w:line="240" w:lineRule="exact"/>
              <w:jc w:val="left"/>
              <w:rPr>
                <w:rFonts w:ascii="Times New Roman" w:hAnsi="Times New Roman" w:cs="Times New Roman"/>
                <w:color w:val="auto"/>
                <w:spacing w:val="10"/>
                <w:kern w:val="0"/>
                <w:sz w:val="18"/>
                <w:szCs w:val="18"/>
              </w:rPr>
            </w:pPr>
            <w:r>
              <w:rPr>
                <w:rFonts w:ascii="Times New Roman" w:hAnsi="Times New Roman" w:cs="Times New Roman"/>
                <w:color w:val="auto"/>
                <w:spacing w:val="10"/>
                <w:sz w:val="18"/>
                <w:szCs w:val="18"/>
              </w:rPr>
              <w:t>4</w:t>
            </w:r>
            <w:r>
              <w:rPr>
                <w:rFonts w:ascii="Times New Roman" w:hAnsi="Times New Roman" w:cs="Times New Roman"/>
                <w:color w:val="auto"/>
                <w:spacing w:val="10"/>
                <w:kern w:val="0"/>
                <w:sz w:val="18"/>
                <w:szCs w:val="18"/>
              </w:rPr>
              <w:t xml:space="preserve"> </w:t>
            </w:r>
            <w:r>
              <w:rPr>
                <w:rFonts w:hint="eastAsia" w:ascii="Times New Roman" w:hAnsi="Times New Roman" w:cs="宋体"/>
                <w:color w:val="auto"/>
                <w:spacing w:val="10"/>
                <w:kern w:val="0"/>
                <w:sz w:val="18"/>
                <w:szCs w:val="18"/>
              </w:rPr>
              <w:t>罐内潜油泵的入油口或通往自吸式加油机管道的罐内底阀，应高于罐底</w:t>
            </w:r>
            <w:r>
              <w:rPr>
                <w:rFonts w:ascii="Times New Roman" w:hAnsi="Times New Roman" w:cs="Times New Roman"/>
                <w:color w:val="auto"/>
                <w:spacing w:val="10"/>
                <w:kern w:val="0"/>
                <w:sz w:val="18"/>
                <w:szCs w:val="18"/>
              </w:rPr>
              <w:t>150mm</w:t>
            </w:r>
            <w:r>
              <w:rPr>
                <w:rFonts w:hint="eastAsia" w:ascii="Times New Roman" w:hAnsi="Times New Roman" w:cs="宋体"/>
                <w:color w:val="auto"/>
                <w:spacing w:val="10"/>
                <w:kern w:val="0"/>
                <w:sz w:val="18"/>
                <w:szCs w:val="18"/>
              </w:rPr>
              <w:t>～</w:t>
            </w:r>
            <w:r>
              <w:rPr>
                <w:rFonts w:ascii="Times New Roman" w:hAnsi="Times New Roman" w:cs="Times New Roman"/>
                <w:color w:val="auto"/>
                <w:spacing w:val="10"/>
                <w:kern w:val="0"/>
                <w:sz w:val="18"/>
                <w:szCs w:val="18"/>
              </w:rPr>
              <w:t>200mm</w:t>
            </w:r>
            <w:r>
              <w:rPr>
                <w:rFonts w:hint="eastAsia" w:ascii="Times New Roman" w:hAnsi="Times New Roman" w:cs="宋体"/>
                <w:color w:val="auto"/>
                <w:spacing w:val="10"/>
                <w:kern w:val="0"/>
                <w:sz w:val="18"/>
                <w:szCs w:val="18"/>
              </w:rPr>
              <w:t>。</w:t>
            </w:r>
          </w:p>
          <w:p>
            <w:pPr>
              <w:widowControl/>
              <w:spacing w:line="240" w:lineRule="exact"/>
              <w:jc w:val="left"/>
              <w:rPr>
                <w:rFonts w:ascii="Times New Roman" w:hAnsi="Times New Roman" w:cs="Times New Roman"/>
                <w:color w:val="auto"/>
                <w:spacing w:val="10"/>
                <w:kern w:val="0"/>
                <w:sz w:val="18"/>
                <w:szCs w:val="18"/>
              </w:rPr>
            </w:pPr>
            <w:r>
              <w:rPr>
                <w:rFonts w:ascii="Times New Roman" w:hAnsi="Times New Roman" w:cs="Times New Roman"/>
                <w:color w:val="auto"/>
                <w:spacing w:val="10"/>
                <w:sz w:val="18"/>
                <w:szCs w:val="18"/>
              </w:rPr>
              <w:t>5</w:t>
            </w:r>
            <w:r>
              <w:rPr>
                <w:rFonts w:ascii="Times New Roman" w:hAnsi="Times New Roman" w:cs="Times New Roman"/>
                <w:color w:val="auto"/>
                <w:spacing w:val="10"/>
                <w:kern w:val="0"/>
                <w:sz w:val="18"/>
                <w:szCs w:val="18"/>
              </w:rPr>
              <w:t xml:space="preserve"> </w:t>
            </w:r>
            <w:r>
              <w:rPr>
                <w:rFonts w:hint="eastAsia" w:ascii="Times New Roman" w:hAnsi="Times New Roman" w:cs="宋体"/>
                <w:color w:val="auto"/>
                <w:spacing w:val="10"/>
                <w:kern w:val="0"/>
                <w:sz w:val="18"/>
                <w:szCs w:val="18"/>
              </w:rPr>
              <w:t>油罐的量油孔应设带锁的量油帽。量油孔下部的接合管宜向下伸至罐内距罐底</w:t>
            </w:r>
            <w:r>
              <w:rPr>
                <w:rFonts w:ascii="Times New Roman" w:hAnsi="Times New Roman" w:cs="Times New Roman"/>
                <w:color w:val="auto"/>
                <w:spacing w:val="10"/>
                <w:kern w:val="0"/>
                <w:sz w:val="18"/>
                <w:szCs w:val="18"/>
              </w:rPr>
              <w:t>200mm</w:t>
            </w:r>
            <w:r>
              <w:rPr>
                <w:rFonts w:hint="eastAsia" w:ascii="Times New Roman" w:hAnsi="Times New Roman" w:cs="宋体"/>
                <w:color w:val="auto"/>
                <w:spacing w:val="10"/>
                <w:kern w:val="0"/>
                <w:sz w:val="18"/>
                <w:szCs w:val="18"/>
              </w:rPr>
              <w:t>处，并应有检尺时使接合管内液位与罐内液位相一致的技术措施。</w:t>
            </w:r>
          </w:p>
          <w:p>
            <w:pPr>
              <w:spacing w:line="24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6 </w:t>
            </w:r>
            <w:r>
              <w:rPr>
                <w:rFonts w:hint="eastAsia" w:ascii="Times New Roman" w:hAnsi="Times New Roman" w:cs="宋体"/>
                <w:color w:val="auto"/>
                <w:spacing w:val="10"/>
                <w:kern w:val="0"/>
                <w:sz w:val="18"/>
                <w:szCs w:val="18"/>
              </w:rPr>
              <w:t>油罐</w:t>
            </w:r>
            <w:r>
              <w:rPr>
                <w:rFonts w:hint="eastAsia" w:ascii="Times New Roman" w:hAnsi="Times New Roman" w:cs="宋体"/>
                <w:color w:val="auto"/>
                <w:spacing w:val="10"/>
                <w:sz w:val="18"/>
                <w:szCs w:val="18"/>
              </w:rPr>
              <w:t>人孔井内的管道及设备应保证油罐人孔盖的可拆装性。</w:t>
            </w:r>
          </w:p>
          <w:p>
            <w:pPr>
              <w:spacing w:line="240" w:lineRule="exact"/>
              <w:rPr>
                <w:rFonts w:ascii="Times New Roman" w:hAnsi="Times New Roman" w:cs="Times New Roman"/>
                <w:color w:val="auto"/>
                <w:kern w:val="0"/>
                <w:sz w:val="18"/>
                <w:szCs w:val="18"/>
              </w:rPr>
            </w:pPr>
            <w:r>
              <w:rPr>
                <w:rFonts w:ascii="Times New Roman" w:hAnsi="Times New Roman" w:cs="Times New Roman"/>
                <w:color w:val="auto"/>
                <w:spacing w:val="10"/>
                <w:sz w:val="18"/>
                <w:szCs w:val="18"/>
              </w:rPr>
              <w:t xml:space="preserve">7 </w:t>
            </w:r>
            <w:r>
              <w:rPr>
                <w:rFonts w:hint="eastAsia" w:ascii="Times New Roman" w:hAnsi="Times New Roman" w:cs="宋体"/>
                <w:color w:val="auto"/>
                <w:spacing w:val="10"/>
                <w:sz w:val="18"/>
                <w:szCs w:val="18"/>
              </w:rPr>
              <w:t>人孔盖上的接合管与引出井外管道的连接，宜采用金属软管过渡连接。</w:t>
            </w:r>
            <w:r>
              <w:rPr>
                <w:rFonts w:ascii="Times New Roman" w:hAnsi="Times New Roman" w:cs="Times New Roman"/>
                <w:color w:val="auto"/>
                <w:kern w:val="0"/>
                <w:sz w:val="18"/>
                <w:szCs w:val="18"/>
              </w:rPr>
              <w:t>6.3.8</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该站的接合管为金属材质，且人孔盖可拆装。</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9</w:t>
            </w:r>
          </w:p>
        </w:tc>
        <w:tc>
          <w:tcPr>
            <w:tcW w:w="6096" w:type="dxa"/>
            <w:tcBorders>
              <w:top w:val="single" w:color="auto" w:sz="8" w:space="0"/>
              <w:left w:val="single" w:color="auto" w:sz="8" w:space="0"/>
              <w:bottom w:val="single" w:color="auto" w:sz="8" w:space="0"/>
              <w:right w:val="single" w:color="auto" w:sz="4" w:space="0"/>
            </w:tcBorders>
            <w:vAlign w:val="center"/>
          </w:tcPr>
          <w:p>
            <w:pPr>
              <w:widowControl/>
              <w:spacing w:line="240" w:lineRule="exact"/>
              <w:jc w:val="left"/>
              <w:rPr>
                <w:rFonts w:ascii="Times New Roman" w:hAnsi="Times New Roman" w:cs="Times New Roman"/>
                <w:color w:val="auto"/>
                <w:spacing w:val="10"/>
                <w:kern w:val="0"/>
                <w:sz w:val="18"/>
                <w:szCs w:val="18"/>
              </w:rPr>
            </w:pPr>
            <w:r>
              <w:rPr>
                <w:rFonts w:hint="eastAsia" w:ascii="Times New Roman" w:hAnsi="Times New Roman" w:cs="宋体"/>
                <w:color w:val="auto"/>
                <w:spacing w:val="10"/>
                <w:sz w:val="18"/>
                <w:szCs w:val="18"/>
              </w:rPr>
              <w:t>汽油罐与柴油罐的通气管应分开设置。通气管管口高出地面的高度不应小于</w:t>
            </w:r>
            <w:r>
              <w:rPr>
                <w:rFonts w:ascii="Times New Roman" w:hAnsi="Times New Roman" w:cs="Times New Roman"/>
                <w:color w:val="auto"/>
                <w:spacing w:val="10"/>
                <w:sz w:val="18"/>
                <w:szCs w:val="18"/>
              </w:rPr>
              <w:t>4m</w:t>
            </w:r>
            <w:r>
              <w:rPr>
                <w:rFonts w:hint="eastAsia" w:ascii="Times New Roman" w:hAnsi="Times New Roman" w:cs="宋体"/>
                <w:color w:val="auto"/>
                <w:spacing w:val="10"/>
                <w:sz w:val="18"/>
                <w:szCs w:val="18"/>
              </w:rPr>
              <w:t>。沿建（构）筑物的墙（柱）向上敷设的通气管，管口应高出建筑物的顶面</w:t>
            </w:r>
            <w:r>
              <w:rPr>
                <w:rFonts w:ascii="Times New Roman" w:hAnsi="Times New Roman" w:cs="Times New Roman"/>
                <w:color w:val="auto"/>
                <w:spacing w:val="10"/>
                <w:sz w:val="18"/>
                <w:szCs w:val="18"/>
              </w:rPr>
              <w:t>2m</w:t>
            </w:r>
            <w:r>
              <w:rPr>
                <w:rFonts w:hint="eastAsia" w:ascii="Times New Roman" w:hAnsi="Times New Roman" w:cs="宋体"/>
                <w:color w:val="auto"/>
                <w:spacing w:val="10"/>
                <w:sz w:val="18"/>
                <w:szCs w:val="18"/>
              </w:rPr>
              <w:t>及以上。通气管管口应设置阻火器。</w:t>
            </w:r>
            <w:r>
              <w:rPr>
                <w:rFonts w:ascii="Times New Roman" w:hAnsi="Times New Roman" w:cs="Times New Roman"/>
                <w:color w:val="auto"/>
                <w:kern w:val="0"/>
                <w:sz w:val="18"/>
                <w:szCs w:val="18"/>
              </w:rPr>
              <w:t>6.3.9</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汽油罐与柴油罐的通气管分开设置并集中布置。通气管管口高出地面高度</w:t>
            </w:r>
            <w:r>
              <w:rPr>
                <w:rFonts w:ascii="Times New Roman" w:hAnsi="Times New Roman" w:cs="Times New Roman"/>
                <w:color w:val="auto"/>
                <w:kern w:val="0"/>
                <w:sz w:val="18"/>
                <w:szCs w:val="18"/>
              </w:rPr>
              <w:t>4m</w:t>
            </w:r>
            <w:r>
              <w:rPr>
                <w:rFonts w:hint="eastAsia" w:ascii="Times New Roman" w:hAnsi="Times New Roman" w:cs="宋体"/>
                <w:color w:val="auto"/>
                <w:kern w:val="0"/>
                <w:sz w:val="18"/>
                <w:szCs w:val="18"/>
              </w:rPr>
              <w:t>。</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10</w:t>
            </w:r>
          </w:p>
        </w:tc>
        <w:tc>
          <w:tcPr>
            <w:tcW w:w="6096" w:type="dxa"/>
            <w:tcBorders>
              <w:top w:val="single" w:color="auto" w:sz="8" w:space="0"/>
              <w:left w:val="single" w:color="auto" w:sz="8" w:space="0"/>
              <w:bottom w:val="single" w:color="auto" w:sz="4" w:space="0"/>
              <w:right w:val="single" w:color="auto" w:sz="4" w:space="0"/>
            </w:tcBorders>
            <w:vAlign w:val="center"/>
          </w:tcPr>
          <w:p>
            <w:pPr>
              <w:widowControl/>
              <w:spacing w:line="240" w:lineRule="exact"/>
              <w:jc w:val="left"/>
              <w:rPr>
                <w:rFonts w:ascii="Times New Roman" w:hAnsi="Times New Roman" w:cs="Times New Roman"/>
                <w:color w:val="auto"/>
                <w:spacing w:val="10"/>
                <w:kern w:val="0"/>
                <w:sz w:val="18"/>
                <w:szCs w:val="18"/>
              </w:rPr>
            </w:pPr>
            <w:r>
              <w:rPr>
                <w:rFonts w:hint="eastAsia" w:ascii="Times New Roman" w:hAnsi="Times New Roman" w:cs="宋体"/>
                <w:color w:val="auto"/>
                <w:kern w:val="0"/>
                <w:sz w:val="18"/>
                <w:szCs w:val="18"/>
              </w:rPr>
              <w:t>通气管的公称直径不应小于</w:t>
            </w:r>
            <w:r>
              <w:rPr>
                <w:rFonts w:ascii="Times New Roman" w:hAnsi="Times New Roman" w:cs="Times New Roman"/>
                <w:color w:val="auto"/>
                <w:kern w:val="0"/>
                <w:sz w:val="18"/>
                <w:szCs w:val="18"/>
              </w:rPr>
              <w:t>50mm</w:t>
            </w:r>
            <w:r>
              <w:rPr>
                <w:rFonts w:hint="eastAsia" w:ascii="Times New Roman" w:hAnsi="Times New Roman" w:cs="宋体"/>
                <w:color w:val="auto"/>
                <w:kern w:val="0"/>
                <w:sz w:val="18"/>
                <w:szCs w:val="18"/>
              </w:rPr>
              <w:t>。</w:t>
            </w:r>
            <w:r>
              <w:rPr>
                <w:rFonts w:ascii="Times New Roman" w:hAnsi="Times New Roman" w:cs="Times New Roman"/>
                <w:color w:val="auto"/>
                <w:kern w:val="0"/>
                <w:sz w:val="18"/>
                <w:szCs w:val="18"/>
              </w:rPr>
              <w:t>6.3.10</w:t>
            </w:r>
          </w:p>
        </w:tc>
        <w:tc>
          <w:tcPr>
            <w:tcW w:w="1318" w:type="dxa"/>
            <w:tcBorders>
              <w:top w:val="single" w:color="auto" w:sz="8" w:space="0"/>
              <w:left w:val="single" w:color="auto" w:sz="4" w:space="0"/>
              <w:bottom w:val="single" w:color="auto" w:sz="4"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通气管为</w:t>
            </w:r>
            <w:r>
              <w:rPr>
                <w:rFonts w:ascii="Times New Roman" w:hAnsi="Times New Roman" w:cs="Times New Roman"/>
                <w:color w:val="auto"/>
                <w:kern w:val="0"/>
                <w:sz w:val="18"/>
                <w:szCs w:val="18"/>
              </w:rPr>
              <w:t>50mm</w:t>
            </w:r>
          </w:p>
        </w:tc>
        <w:tc>
          <w:tcPr>
            <w:tcW w:w="712" w:type="dxa"/>
            <w:tcBorders>
              <w:top w:val="single" w:color="auto" w:sz="8"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4" w:space="0"/>
              <w:right w:val="single" w:color="auto" w:sz="4"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11</w:t>
            </w:r>
          </w:p>
        </w:tc>
        <w:tc>
          <w:tcPr>
            <w:tcW w:w="609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cs="Times New Roman"/>
                <w:color w:val="auto"/>
                <w:spacing w:val="10"/>
                <w:kern w:val="0"/>
                <w:sz w:val="18"/>
                <w:szCs w:val="18"/>
              </w:rPr>
            </w:pPr>
            <w:r>
              <w:rPr>
                <w:rFonts w:hint="eastAsia" w:ascii="Times New Roman" w:hAnsi="Times New Roman" w:cs="宋体"/>
                <w:color w:val="auto"/>
                <w:spacing w:val="10"/>
                <w:sz w:val="18"/>
                <w:szCs w:val="18"/>
              </w:rPr>
              <w:t>当加油站采用油气回收系统时，汽油罐的通气管管口除应装设阻火器外，尚应装设呼吸阀。</w:t>
            </w:r>
            <w:r>
              <w:rPr>
                <w:rFonts w:hint="eastAsia" w:ascii="Times New Roman" w:hAnsi="Times New Roman" w:cs="宋体"/>
                <w:color w:val="auto"/>
                <w:spacing w:val="10"/>
                <w:kern w:val="0"/>
                <w:sz w:val="18"/>
                <w:szCs w:val="18"/>
              </w:rPr>
              <w:t>呼吸阀的工作正压宜为</w:t>
            </w:r>
            <w:r>
              <w:rPr>
                <w:rFonts w:ascii="Times New Roman" w:hAnsi="Times New Roman" w:cs="Times New Roman"/>
                <w:color w:val="auto"/>
                <w:spacing w:val="10"/>
                <w:kern w:val="0"/>
                <w:sz w:val="18"/>
                <w:szCs w:val="18"/>
              </w:rPr>
              <w:t>2kPa</w:t>
            </w:r>
            <w:r>
              <w:rPr>
                <w:rFonts w:hint="eastAsia" w:ascii="Times New Roman" w:hAnsi="Times New Roman" w:cs="宋体"/>
                <w:color w:val="auto"/>
                <w:spacing w:val="10"/>
                <w:kern w:val="0"/>
                <w:sz w:val="18"/>
                <w:szCs w:val="18"/>
              </w:rPr>
              <w:t>～</w:t>
            </w:r>
            <w:r>
              <w:rPr>
                <w:rFonts w:ascii="Times New Roman" w:hAnsi="Times New Roman" w:cs="Times New Roman"/>
                <w:color w:val="auto"/>
                <w:spacing w:val="10"/>
                <w:kern w:val="0"/>
                <w:sz w:val="18"/>
                <w:szCs w:val="18"/>
              </w:rPr>
              <w:t>3kPa</w:t>
            </w:r>
            <w:r>
              <w:rPr>
                <w:rFonts w:hint="eastAsia" w:ascii="Times New Roman" w:hAnsi="Times New Roman" w:cs="宋体"/>
                <w:color w:val="auto"/>
                <w:spacing w:val="10"/>
                <w:kern w:val="0"/>
                <w:sz w:val="18"/>
                <w:szCs w:val="18"/>
              </w:rPr>
              <w:t>，工作负压宜为</w:t>
            </w:r>
            <w:r>
              <w:rPr>
                <w:rFonts w:ascii="Times New Roman" w:hAnsi="Times New Roman" w:cs="Times New Roman"/>
                <w:color w:val="auto"/>
                <w:spacing w:val="10"/>
                <w:kern w:val="0"/>
                <w:sz w:val="18"/>
                <w:szCs w:val="18"/>
              </w:rPr>
              <w:t>1.5kPa</w:t>
            </w:r>
            <w:r>
              <w:rPr>
                <w:rFonts w:hint="eastAsia" w:ascii="Times New Roman" w:hAnsi="Times New Roman" w:cs="宋体"/>
                <w:color w:val="auto"/>
                <w:spacing w:val="10"/>
                <w:kern w:val="0"/>
                <w:sz w:val="18"/>
                <w:szCs w:val="18"/>
              </w:rPr>
              <w:t>～</w:t>
            </w:r>
            <w:r>
              <w:rPr>
                <w:rFonts w:ascii="Times New Roman" w:hAnsi="Times New Roman" w:cs="Times New Roman"/>
                <w:color w:val="auto"/>
                <w:spacing w:val="10"/>
                <w:kern w:val="0"/>
                <w:sz w:val="18"/>
                <w:szCs w:val="18"/>
              </w:rPr>
              <w:t>2kPa</w:t>
            </w:r>
            <w:r>
              <w:rPr>
                <w:rFonts w:hint="eastAsia" w:ascii="Times New Roman" w:hAnsi="Times New Roman" w:cs="宋体"/>
                <w:color w:val="auto"/>
                <w:spacing w:val="10"/>
                <w:kern w:val="0"/>
                <w:sz w:val="18"/>
                <w:szCs w:val="18"/>
              </w:rPr>
              <w:t>。</w:t>
            </w:r>
            <w:r>
              <w:rPr>
                <w:rFonts w:ascii="Times New Roman" w:hAnsi="Times New Roman" w:cs="Times New Roman"/>
                <w:color w:val="auto"/>
                <w:kern w:val="0"/>
                <w:sz w:val="18"/>
                <w:szCs w:val="18"/>
              </w:rPr>
              <w:t>6.3.11</w:t>
            </w:r>
          </w:p>
        </w:tc>
        <w:tc>
          <w:tcPr>
            <w:tcW w:w="1318" w:type="dxa"/>
            <w:tcBorders>
              <w:top w:val="single" w:color="auto" w:sz="4" w:space="0"/>
              <w:left w:val="single" w:color="auto" w:sz="4" w:space="0"/>
              <w:bottom w:val="single" w:color="auto" w:sz="4"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设置呼吸阀。</w:t>
            </w:r>
          </w:p>
        </w:tc>
        <w:tc>
          <w:tcPr>
            <w:tcW w:w="71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0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12</w:t>
            </w:r>
          </w:p>
        </w:tc>
        <w:tc>
          <w:tcPr>
            <w:tcW w:w="60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Times New Roman" w:hAnsi="Times New Roman" w:cs="Times New Roman"/>
                <w:color w:val="auto"/>
                <w:kern w:val="0"/>
                <w:sz w:val="18"/>
                <w:szCs w:val="18"/>
              </w:rPr>
            </w:pPr>
            <w:r>
              <w:rPr>
                <w:rFonts w:hint="eastAsia" w:ascii="Times New Roman" w:hAnsi="Times New Roman" w:cs="宋体"/>
                <w:color w:val="auto"/>
                <w:spacing w:val="10"/>
                <w:kern w:val="0"/>
                <w:sz w:val="18"/>
                <w:szCs w:val="18"/>
              </w:rPr>
              <w:t>加油站工艺管道的选用应符合下列规定：</w:t>
            </w:r>
          </w:p>
          <w:p>
            <w:pPr>
              <w:widowControl/>
              <w:spacing w:line="300" w:lineRule="exact"/>
              <w:rPr>
                <w:rFonts w:ascii="Times New Roman" w:hAnsi="Times New Roman" w:cs="Times New Roman"/>
                <w:color w:val="auto"/>
                <w:spacing w:val="10"/>
                <w:sz w:val="18"/>
                <w:szCs w:val="18"/>
              </w:rPr>
            </w:pPr>
            <w:r>
              <w:rPr>
                <w:rFonts w:ascii="Times New Roman" w:hAnsi="Times New Roman" w:cs="Times New Roman"/>
                <w:color w:val="auto"/>
                <w:kern w:val="0"/>
                <w:sz w:val="18"/>
                <w:szCs w:val="18"/>
              </w:rPr>
              <w:t xml:space="preserve">1 </w:t>
            </w:r>
            <w:r>
              <w:rPr>
                <w:rFonts w:hint="eastAsia" w:ascii="Times New Roman" w:hAnsi="Times New Roman" w:cs="宋体"/>
                <w:color w:val="auto"/>
                <w:kern w:val="0"/>
                <w:sz w:val="18"/>
                <w:szCs w:val="18"/>
              </w:rPr>
              <w:t>地面敷设的工艺管道</w:t>
            </w:r>
            <w:r>
              <w:rPr>
                <w:rFonts w:hint="eastAsia" w:ascii="Times New Roman" w:hAnsi="Times New Roman" w:cs="宋体"/>
                <w:color w:val="auto"/>
                <w:spacing w:val="10"/>
                <w:kern w:val="0"/>
                <w:sz w:val="18"/>
                <w:szCs w:val="18"/>
              </w:rPr>
              <w:t>应采用符合现行国家标准《输送流体用无缝钢管》</w:t>
            </w:r>
            <w:r>
              <w:rPr>
                <w:rFonts w:ascii="Times New Roman" w:hAnsi="Times New Roman" w:cs="Times New Roman"/>
                <w:color w:val="auto"/>
                <w:spacing w:val="10"/>
                <w:kern w:val="0"/>
                <w:sz w:val="18"/>
                <w:szCs w:val="18"/>
              </w:rPr>
              <w:t>GB</w:t>
            </w:r>
            <w:r>
              <w:rPr>
                <w:rFonts w:ascii="Times New Roman" w:hAnsi="Times New Roman" w:cs="Times New Roman"/>
                <w:color w:val="auto"/>
                <w:spacing w:val="10"/>
                <w:sz w:val="18"/>
                <w:szCs w:val="18"/>
              </w:rPr>
              <w:t>/T</w:t>
            </w:r>
            <w:r>
              <w:rPr>
                <w:rFonts w:ascii="Times New Roman" w:hAnsi="Times New Roman" w:cs="Times New Roman"/>
                <w:color w:val="auto"/>
                <w:spacing w:val="10"/>
                <w:kern w:val="0"/>
                <w:sz w:val="18"/>
                <w:szCs w:val="18"/>
              </w:rPr>
              <w:t xml:space="preserve"> 8163</w:t>
            </w:r>
            <w:r>
              <w:rPr>
                <w:rFonts w:hint="eastAsia" w:ascii="Times New Roman" w:hAnsi="Times New Roman" w:cs="宋体"/>
                <w:color w:val="auto"/>
                <w:spacing w:val="10"/>
                <w:kern w:val="0"/>
                <w:sz w:val="18"/>
                <w:szCs w:val="18"/>
              </w:rPr>
              <w:t>的无缝钢管。</w:t>
            </w:r>
          </w:p>
          <w:p>
            <w:pPr>
              <w:widowControl/>
              <w:spacing w:line="30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sz w:val="18"/>
                <w:szCs w:val="18"/>
              </w:rPr>
              <w:t>其他管道应采用输送流体用无缝钢管或适于输送油品的热塑性塑料管道。所采用的热塑性塑料管道应</w:t>
            </w:r>
            <w:r>
              <w:rPr>
                <w:rFonts w:hint="eastAsia" w:ascii="Times New Roman" w:hAnsi="Times New Roman" w:cs="宋体"/>
                <w:color w:val="auto"/>
                <w:spacing w:val="10"/>
                <w:kern w:val="0"/>
                <w:sz w:val="18"/>
                <w:szCs w:val="18"/>
              </w:rPr>
              <w:t>有质量证明文件</w:t>
            </w:r>
            <w:r>
              <w:rPr>
                <w:rFonts w:hint="eastAsia" w:ascii="Times New Roman" w:hAnsi="Times New Roman" w:cs="宋体"/>
                <w:color w:val="auto"/>
                <w:spacing w:val="10"/>
                <w:sz w:val="18"/>
                <w:szCs w:val="18"/>
              </w:rPr>
              <w:t>。非烃类车用燃料不得采用不导静电的热塑性塑料管道。</w:t>
            </w:r>
          </w:p>
          <w:p>
            <w:pPr>
              <w:widowControl/>
              <w:spacing w:line="30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3 </w:t>
            </w:r>
            <w:r>
              <w:rPr>
                <w:rFonts w:hint="eastAsia" w:ascii="Times New Roman" w:hAnsi="Times New Roman" w:cs="宋体"/>
                <w:color w:val="auto"/>
                <w:spacing w:val="10"/>
                <w:kern w:val="0"/>
                <w:sz w:val="18"/>
                <w:szCs w:val="18"/>
              </w:rPr>
              <w:t>无缝钢管的公称壁厚不应小于</w:t>
            </w:r>
            <w:r>
              <w:rPr>
                <w:rFonts w:ascii="Times New Roman" w:hAnsi="Times New Roman" w:cs="Times New Roman"/>
                <w:color w:val="auto"/>
                <w:spacing w:val="10"/>
                <w:kern w:val="0"/>
                <w:sz w:val="18"/>
                <w:szCs w:val="18"/>
              </w:rPr>
              <w:t>4mm</w:t>
            </w:r>
            <w:r>
              <w:rPr>
                <w:rFonts w:hint="eastAsia" w:ascii="Times New Roman" w:hAnsi="Times New Roman" w:cs="宋体"/>
                <w:color w:val="auto"/>
                <w:spacing w:val="10"/>
                <w:kern w:val="0"/>
                <w:sz w:val="18"/>
                <w:szCs w:val="18"/>
              </w:rPr>
              <w:t>，</w:t>
            </w:r>
            <w:r>
              <w:rPr>
                <w:rFonts w:hint="eastAsia" w:ascii="Times New Roman" w:hAnsi="Times New Roman" w:cs="宋体"/>
                <w:color w:val="auto"/>
                <w:spacing w:val="10"/>
                <w:sz w:val="18"/>
                <w:szCs w:val="18"/>
              </w:rPr>
              <w:t>埋地钢管的连接应采用焊接。</w:t>
            </w:r>
          </w:p>
          <w:p>
            <w:pPr>
              <w:widowControl/>
              <w:spacing w:line="30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4 </w:t>
            </w:r>
            <w:r>
              <w:rPr>
                <w:rFonts w:hint="eastAsia" w:ascii="Times New Roman" w:hAnsi="Times New Roman" w:cs="宋体"/>
                <w:color w:val="auto"/>
                <w:spacing w:val="10"/>
                <w:sz w:val="18"/>
                <w:szCs w:val="18"/>
              </w:rPr>
              <w:t>热塑性塑料管道的主体结构层应为无孔隙聚乙烯材料，壁厚不应小于</w:t>
            </w:r>
            <w:r>
              <w:rPr>
                <w:rFonts w:ascii="Times New Roman" w:hAnsi="Times New Roman" w:cs="Times New Roman"/>
                <w:color w:val="auto"/>
                <w:spacing w:val="10"/>
                <w:sz w:val="18"/>
                <w:szCs w:val="18"/>
              </w:rPr>
              <w:t>4mm</w:t>
            </w:r>
            <w:r>
              <w:rPr>
                <w:rFonts w:hint="eastAsia" w:ascii="Times New Roman" w:hAnsi="Times New Roman" w:cs="宋体"/>
                <w:color w:val="auto"/>
                <w:spacing w:val="10"/>
                <w:sz w:val="18"/>
                <w:szCs w:val="18"/>
              </w:rPr>
              <w:t>。埋地部分的热塑性塑料管道应采用配套的专用连接管件电熔连接。</w:t>
            </w:r>
          </w:p>
          <w:p>
            <w:pPr>
              <w:widowControl/>
              <w:spacing w:line="300" w:lineRule="exact"/>
              <w:rPr>
                <w:rFonts w:ascii="Times New Roman" w:hAnsi="Times New Roman" w:cs="Times New Roman"/>
                <w:color w:val="auto"/>
                <w:spacing w:val="10"/>
                <w:sz w:val="18"/>
                <w:szCs w:val="18"/>
              </w:rPr>
            </w:pPr>
            <w:r>
              <w:rPr>
                <w:rFonts w:ascii="Times New Roman" w:hAnsi="Times New Roman" w:cs="Times New Roman"/>
                <w:color w:val="auto"/>
                <w:spacing w:val="10"/>
                <w:kern w:val="0"/>
                <w:sz w:val="18"/>
                <w:szCs w:val="18"/>
              </w:rPr>
              <w:t xml:space="preserve">5 </w:t>
            </w:r>
            <w:r>
              <w:rPr>
                <w:rFonts w:hint="eastAsia" w:ascii="Times New Roman" w:hAnsi="Times New Roman" w:cs="宋体"/>
                <w:color w:val="auto"/>
                <w:spacing w:val="10"/>
                <w:kern w:val="0"/>
                <w:sz w:val="18"/>
                <w:szCs w:val="18"/>
              </w:rPr>
              <w:t>导静电</w:t>
            </w:r>
            <w:r>
              <w:rPr>
                <w:rFonts w:hint="eastAsia" w:ascii="Times New Roman" w:hAnsi="Times New Roman" w:cs="宋体"/>
                <w:color w:val="auto"/>
                <w:spacing w:val="10"/>
                <w:sz w:val="18"/>
                <w:szCs w:val="18"/>
              </w:rPr>
              <w:t>热塑性塑料</w:t>
            </w:r>
            <w:r>
              <w:rPr>
                <w:rFonts w:hint="eastAsia" w:ascii="Times New Roman" w:hAnsi="Times New Roman" w:cs="宋体"/>
                <w:color w:val="auto"/>
                <w:spacing w:val="10"/>
                <w:kern w:val="0"/>
                <w:sz w:val="18"/>
                <w:szCs w:val="18"/>
              </w:rPr>
              <w:t>管道导静电衬层</w:t>
            </w:r>
            <w:r>
              <w:rPr>
                <w:rFonts w:hint="eastAsia" w:ascii="Times New Roman" w:hAnsi="Times New Roman" w:cs="宋体"/>
                <w:color w:val="auto"/>
                <w:spacing w:val="10"/>
                <w:sz w:val="18"/>
                <w:szCs w:val="18"/>
              </w:rPr>
              <w:t>的体电阻率应小于</w:t>
            </w:r>
            <w:r>
              <w:rPr>
                <w:rFonts w:ascii="Times New Roman" w:hAnsi="Times New Roman" w:cs="Times New Roman"/>
                <w:color w:val="auto"/>
                <w:spacing w:val="10"/>
                <w:sz w:val="18"/>
                <w:szCs w:val="18"/>
              </w:rPr>
              <w:t>10</w:t>
            </w:r>
            <w:r>
              <w:rPr>
                <w:rFonts w:ascii="Times New Roman" w:hAnsi="Times New Roman" w:cs="Times New Roman"/>
                <w:color w:val="auto"/>
                <w:spacing w:val="10"/>
                <w:sz w:val="18"/>
                <w:szCs w:val="18"/>
                <w:vertAlign w:val="superscript"/>
              </w:rPr>
              <w:t>8</w:t>
            </w:r>
            <w:r>
              <w:rPr>
                <w:rFonts w:ascii="Times New Roman" w:hAnsi="Times New Roman" w:cs="Times New Roman"/>
                <w:color w:val="auto"/>
                <w:spacing w:val="10"/>
                <w:sz w:val="18"/>
                <w:szCs w:val="18"/>
              </w:rPr>
              <w:t>Ω·m</w:t>
            </w:r>
            <w:r>
              <w:rPr>
                <w:rFonts w:hint="eastAsia" w:ascii="Times New Roman" w:hAnsi="Times New Roman" w:cs="宋体"/>
                <w:color w:val="auto"/>
                <w:spacing w:val="10"/>
                <w:sz w:val="18"/>
                <w:szCs w:val="18"/>
              </w:rPr>
              <w:t>，表面电阻率应小于</w:t>
            </w:r>
            <w:r>
              <w:rPr>
                <w:rFonts w:ascii="Times New Roman" w:hAnsi="Times New Roman" w:cs="Times New Roman"/>
                <w:color w:val="auto"/>
                <w:spacing w:val="10"/>
                <w:sz w:val="18"/>
                <w:szCs w:val="18"/>
              </w:rPr>
              <w:t>10</w:t>
            </w:r>
            <w:r>
              <w:rPr>
                <w:rFonts w:ascii="Times New Roman" w:hAnsi="Times New Roman" w:cs="Times New Roman"/>
                <w:color w:val="auto"/>
                <w:spacing w:val="10"/>
                <w:sz w:val="18"/>
                <w:szCs w:val="18"/>
                <w:vertAlign w:val="superscript"/>
              </w:rPr>
              <w:t>10</w:t>
            </w:r>
            <w:r>
              <w:rPr>
                <w:rFonts w:ascii="Times New Roman" w:hAnsi="Times New Roman" w:cs="Times New Roman"/>
                <w:color w:val="auto"/>
                <w:spacing w:val="10"/>
                <w:sz w:val="18"/>
                <w:szCs w:val="18"/>
              </w:rPr>
              <w:t>Ω</w:t>
            </w:r>
            <w:r>
              <w:rPr>
                <w:rFonts w:hint="eastAsia" w:ascii="Times New Roman" w:hAnsi="Times New Roman" w:cs="宋体"/>
                <w:color w:val="auto"/>
                <w:spacing w:val="10"/>
                <w:sz w:val="18"/>
                <w:szCs w:val="18"/>
              </w:rPr>
              <w:t>。</w:t>
            </w:r>
          </w:p>
          <w:p>
            <w:pPr>
              <w:widowControl/>
              <w:spacing w:line="300" w:lineRule="exact"/>
              <w:rPr>
                <w:rFonts w:ascii="Times New Roman" w:hAnsi="Times New Roman" w:cs="Times New Roman"/>
                <w:color w:val="auto"/>
                <w:spacing w:val="10"/>
                <w:sz w:val="18"/>
                <w:szCs w:val="18"/>
              </w:rPr>
            </w:pPr>
            <w:r>
              <w:rPr>
                <w:rFonts w:ascii="Times New Roman" w:hAnsi="Times New Roman" w:cs="Times New Roman"/>
                <w:color w:val="auto"/>
                <w:spacing w:val="10"/>
                <w:kern w:val="0"/>
                <w:sz w:val="18"/>
                <w:szCs w:val="18"/>
              </w:rPr>
              <w:t xml:space="preserve">6 </w:t>
            </w:r>
            <w:r>
              <w:rPr>
                <w:rFonts w:hint="eastAsia" w:ascii="Times New Roman" w:hAnsi="Times New Roman" w:cs="宋体"/>
                <w:color w:val="auto"/>
                <w:spacing w:val="10"/>
                <w:kern w:val="0"/>
                <w:sz w:val="18"/>
                <w:szCs w:val="18"/>
              </w:rPr>
              <w:t>不导</w:t>
            </w:r>
            <w:r>
              <w:rPr>
                <w:rFonts w:hint="eastAsia" w:ascii="Times New Roman" w:hAnsi="Times New Roman" w:cs="宋体"/>
                <w:color w:val="auto"/>
                <w:spacing w:val="10"/>
                <w:sz w:val="18"/>
                <w:szCs w:val="18"/>
              </w:rPr>
              <w:t>静</w:t>
            </w:r>
            <w:r>
              <w:rPr>
                <w:rFonts w:hint="eastAsia" w:ascii="Times New Roman" w:hAnsi="Times New Roman" w:cs="宋体"/>
                <w:color w:val="auto"/>
                <w:spacing w:val="10"/>
                <w:kern w:val="0"/>
                <w:sz w:val="18"/>
                <w:szCs w:val="18"/>
              </w:rPr>
              <w:t>电</w:t>
            </w:r>
            <w:r>
              <w:rPr>
                <w:rFonts w:hint="eastAsia" w:ascii="Times New Roman" w:hAnsi="Times New Roman" w:cs="宋体"/>
                <w:color w:val="auto"/>
                <w:spacing w:val="10"/>
                <w:sz w:val="18"/>
                <w:szCs w:val="18"/>
              </w:rPr>
              <w:t>热塑性塑料管道</w:t>
            </w:r>
            <w:r>
              <w:rPr>
                <w:rFonts w:hint="eastAsia" w:ascii="Times New Roman" w:hAnsi="Times New Roman" w:cs="宋体"/>
                <w:color w:val="auto"/>
                <w:spacing w:val="10"/>
                <w:kern w:val="0"/>
                <w:sz w:val="18"/>
                <w:szCs w:val="18"/>
              </w:rPr>
              <w:t>主体结构层</w:t>
            </w:r>
            <w:r>
              <w:rPr>
                <w:rFonts w:hint="eastAsia" w:ascii="Times New Roman" w:hAnsi="Times New Roman" w:cs="宋体"/>
                <w:color w:val="auto"/>
                <w:spacing w:val="10"/>
                <w:sz w:val="18"/>
                <w:szCs w:val="18"/>
              </w:rPr>
              <w:t>的介电击穿强度应大于</w:t>
            </w:r>
            <w:r>
              <w:rPr>
                <w:rFonts w:ascii="Times New Roman" w:hAnsi="Times New Roman" w:cs="Times New Roman"/>
                <w:color w:val="auto"/>
                <w:spacing w:val="10"/>
                <w:sz w:val="18"/>
                <w:szCs w:val="18"/>
              </w:rPr>
              <w:t>100kV</w:t>
            </w:r>
            <w:r>
              <w:rPr>
                <w:rFonts w:hint="eastAsia" w:ascii="Times New Roman" w:hAnsi="Times New Roman" w:cs="宋体"/>
                <w:color w:val="auto"/>
                <w:spacing w:val="10"/>
                <w:sz w:val="18"/>
                <w:szCs w:val="18"/>
              </w:rPr>
              <w:t>。</w:t>
            </w:r>
          </w:p>
          <w:p>
            <w:pPr>
              <w:widowControl/>
              <w:spacing w:line="300" w:lineRule="exact"/>
              <w:jc w:val="left"/>
              <w:rPr>
                <w:rFonts w:ascii="Times New Roman" w:hAnsi="Times New Roman" w:cs="Times New Roman"/>
                <w:color w:val="auto"/>
                <w:spacing w:val="10"/>
                <w:kern w:val="0"/>
                <w:sz w:val="18"/>
                <w:szCs w:val="18"/>
              </w:rPr>
            </w:pPr>
            <w:r>
              <w:rPr>
                <w:rFonts w:ascii="Times New Roman" w:hAnsi="Times New Roman" w:cs="Times New Roman"/>
                <w:color w:val="auto"/>
                <w:spacing w:val="10"/>
                <w:kern w:val="0"/>
                <w:sz w:val="18"/>
                <w:szCs w:val="18"/>
              </w:rPr>
              <w:t xml:space="preserve">7 </w:t>
            </w:r>
            <w:r>
              <w:rPr>
                <w:rFonts w:hint="eastAsia" w:ascii="Times New Roman" w:hAnsi="Times New Roman" w:cs="宋体"/>
                <w:color w:val="auto"/>
                <w:spacing w:val="12"/>
                <w:sz w:val="18"/>
                <w:szCs w:val="18"/>
              </w:rPr>
              <w:t>柴油尾气处理液</w:t>
            </w:r>
            <w:r>
              <w:rPr>
                <w:rFonts w:hint="eastAsia" w:ascii="Times New Roman" w:hAnsi="Times New Roman" w:cs="宋体"/>
                <w:color w:val="auto"/>
                <w:spacing w:val="10"/>
                <w:kern w:val="0"/>
                <w:sz w:val="18"/>
                <w:szCs w:val="18"/>
              </w:rPr>
              <w:t>加注设备的管道，应采用奥氏体不锈钢管道或能满足输送</w:t>
            </w:r>
            <w:r>
              <w:rPr>
                <w:rFonts w:hint="eastAsia" w:ascii="Times New Roman" w:hAnsi="Times New Roman" w:cs="宋体"/>
                <w:color w:val="auto"/>
                <w:spacing w:val="12"/>
                <w:sz w:val="18"/>
                <w:szCs w:val="18"/>
              </w:rPr>
              <w:t>柴油尾气处理液</w:t>
            </w:r>
            <w:r>
              <w:rPr>
                <w:rFonts w:hint="eastAsia" w:ascii="Times New Roman" w:hAnsi="Times New Roman" w:cs="宋体"/>
                <w:color w:val="auto"/>
                <w:spacing w:val="10"/>
                <w:kern w:val="0"/>
                <w:sz w:val="18"/>
                <w:szCs w:val="18"/>
              </w:rPr>
              <w:t>的其他管道。</w:t>
            </w:r>
            <w:r>
              <w:rPr>
                <w:rFonts w:ascii="Times New Roman" w:hAnsi="Times New Roman" w:cs="Times New Roman"/>
                <w:color w:val="auto"/>
                <w:kern w:val="0"/>
                <w:sz w:val="18"/>
                <w:szCs w:val="18"/>
              </w:rPr>
              <w:t>6.3.12</w:t>
            </w:r>
          </w:p>
        </w:tc>
        <w:tc>
          <w:tcPr>
            <w:tcW w:w="131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cs="Times New Roman"/>
                <w:color w:val="auto"/>
                <w:kern w:val="0"/>
                <w:sz w:val="18"/>
                <w:szCs w:val="18"/>
              </w:rPr>
            </w:pPr>
            <w:r>
              <w:rPr>
                <w:rFonts w:hint="eastAsia" w:ascii="Times New Roman" w:hAnsi="Times New Roman" w:cs="宋体"/>
                <w:color w:val="auto"/>
                <w:spacing w:val="10"/>
                <w:kern w:val="0"/>
                <w:sz w:val="18"/>
                <w:szCs w:val="18"/>
              </w:rPr>
              <w:t>该站的钢管的公称壁厚不小于</w:t>
            </w:r>
            <w:r>
              <w:rPr>
                <w:rFonts w:ascii="Times New Roman" w:hAnsi="Times New Roman" w:cs="Times New Roman"/>
                <w:color w:val="auto"/>
                <w:spacing w:val="10"/>
                <w:kern w:val="0"/>
                <w:sz w:val="18"/>
                <w:szCs w:val="18"/>
              </w:rPr>
              <w:t>4mm</w:t>
            </w:r>
          </w:p>
        </w:tc>
        <w:tc>
          <w:tcPr>
            <w:tcW w:w="71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4" w:space="0"/>
              <w:left w:val="single" w:color="auto" w:sz="4"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13</w:t>
            </w:r>
          </w:p>
        </w:tc>
        <w:tc>
          <w:tcPr>
            <w:tcW w:w="6096" w:type="dxa"/>
            <w:tcBorders>
              <w:top w:val="single" w:color="auto" w:sz="4" w:space="0"/>
              <w:left w:val="single" w:color="auto" w:sz="8" w:space="0"/>
              <w:right w:val="single" w:color="auto" w:sz="4" w:space="0"/>
            </w:tcBorders>
            <w:vAlign w:val="center"/>
          </w:tcPr>
          <w:p>
            <w:pPr>
              <w:widowControl/>
              <w:spacing w:line="240" w:lineRule="exact"/>
              <w:jc w:val="left"/>
              <w:rPr>
                <w:rFonts w:ascii="Times New Roman" w:hAnsi="Times New Roman" w:cs="Times New Roman"/>
                <w:b w:val="0"/>
                <w:bCs w:val="0"/>
                <w:color w:val="auto"/>
                <w:spacing w:val="10"/>
                <w:kern w:val="0"/>
                <w:sz w:val="18"/>
                <w:szCs w:val="18"/>
              </w:rPr>
            </w:pPr>
            <w:r>
              <w:rPr>
                <w:rFonts w:hint="eastAsia" w:ascii="Times New Roman" w:hAnsi="Times New Roman" w:cs="宋体"/>
                <w:b w:val="0"/>
                <w:bCs w:val="0"/>
                <w:color w:val="auto"/>
                <w:spacing w:val="10"/>
                <w:sz w:val="18"/>
                <w:szCs w:val="18"/>
              </w:rPr>
              <w:t>油罐车卸油时用的卸油连通软管、油气回收连通软管，应采用导静电耐油软管，其体电阻率应小于</w:t>
            </w:r>
            <w:r>
              <w:rPr>
                <w:rFonts w:ascii="Times New Roman" w:hAnsi="Times New Roman" w:cs="Times New Roman"/>
                <w:b w:val="0"/>
                <w:bCs w:val="0"/>
                <w:color w:val="auto"/>
                <w:spacing w:val="10"/>
                <w:sz w:val="18"/>
                <w:szCs w:val="18"/>
              </w:rPr>
              <w:t>10</w:t>
            </w:r>
            <w:r>
              <w:rPr>
                <w:rFonts w:ascii="Times New Roman" w:hAnsi="Times New Roman" w:cs="Times New Roman"/>
                <w:b w:val="0"/>
                <w:bCs w:val="0"/>
                <w:color w:val="auto"/>
                <w:spacing w:val="10"/>
                <w:sz w:val="18"/>
                <w:szCs w:val="18"/>
                <w:vertAlign w:val="superscript"/>
              </w:rPr>
              <w:t>8</w:t>
            </w:r>
            <w:r>
              <w:rPr>
                <w:rFonts w:ascii="Times New Roman" w:hAnsi="Times New Roman" w:cs="Times New Roman"/>
                <w:b w:val="0"/>
                <w:bCs w:val="0"/>
                <w:color w:val="auto"/>
                <w:spacing w:val="10"/>
                <w:sz w:val="18"/>
                <w:szCs w:val="18"/>
              </w:rPr>
              <w:t>Ω·m</w:t>
            </w:r>
            <w:r>
              <w:rPr>
                <w:rFonts w:hint="eastAsia" w:ascii="Times New Roman" w:hAnsi="Times New Roman" w:cs="宋体"/>
                <w:b w:val="0"/>
                <w:bCs w:val="0"/>
                <w:color w:val="auto"/>
                <w:spacing w:val="10"/>
                <w:sz w:val="18"/>
                <w:szCs w:val="18"/>
              </w:rPr>
              <w:t>，表面电阻率应小于</w:t>
            </w:r>
            <w:r>
              <w:rPr>
                <w:rFonts w:ascii="Times New Roman" w:hAnsi="Times New Roman" w:cs="Times New Roman"/>
                <w:b w:val="0"/>
                <w:bCs w:val="0"/>
                <w:color w:val="auto"/>
                <w:spacing w:val="10"/>
                <w:sz w:val="18"/>
                <w:szCs w:val="18"/>
              </w:rPr>
              <w:t>10</w:t>
            </w:r>
            <w:r>
              <w:rPr>
                <w:rFonts w:ascii="Times New Roman" w:hAnsi="Times New Roman" w:cs="Times New Roman"/>
                <w:b w:val="0"/>
                <w:bCs w:val="0"/>
                <w:color w:val="auto"/>
                <w:spacing w:val="10"/>
                <w:sz w:val="18"/>
                <w:szCs w:val="18"/>
                <w:vertAlign w:val="superscript"/>
              </w:rPr>
              <w:t>10</w:t>
            </w:r>
            <w:r>
              <w:rPr>
                <w:rFonts w:ascii="Times New Roman" w:hAnsi="Times New Roman" w:cs="Times New Roman"/>
                <w:b w:val="0"/>
                <w:bCs w:val="0"/>
                <w:color w:val="auto"/>
                <w:spacing w:val="10"/>
                <w:sz w:val="18"/>
                <w:szCs w:val="18"/>
              </w:rPr>
              <w:t>Ω</w:t>
            </w:r>
            <w:r>
              <w:rPr>
                <w:rFonts w:hint="eastAsia" w:ascii="Times New Roman" w:hAnsi="Times New Roman" w:cs="宋体"/>
                <w:b w:val="0"/>
                <w:bCs w:val="0"/>
                <w:color w:val="auto"/>
                <w:spacing w:val="10"/>
                <w:sz w:val="18"/>
                <w:szCs w:val="18"/>
              </w:rPr>
              <w:t>，或采用内附金属丝（网）的橡胶软管。</w:t>
            </w:r>
            <w:r>
              <w:rPr>
                <w:rFonts w:ascii="Times New Roman" w:hAnsi="Times New Roman" w:cs="Times New Roman"/>
                <w:b w:val="0"/>
                <w:bCs w:val="0"/>
                <w:color w:val="auto"/>
                <w:kern w:val="0"/>
                <w:sz w:val="18"/>
                <w:szCs w:val="18"/>
              </w:rPr>
              <w:t>6.3.13</w:t>
            </w:r>
          </w:p>
        </w:tc>
        <w:tc>
          <w:tcPr>
            <w:tcW w:w="1318" w:type="dxa"/>
            <w:tcBorders>
              <w:top w:val="single" w:color="auto" w:sz="4" w:space="0"/>
              <w:left w:val="single" w:color="auto" w:sz="4"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该站的连通软管采用了导静电耐油软管。</w:t>
            </w:r>
          </w:p>
        </w:tc>
        <w:tc>
          <w:tcPr>
            <w:tcW w:w="712" w:type="dxa"/>
            <w:tcBorders>
              <w:top w:val="single" w:color="auto" w:sz="4" w:space="0"/>
              <w:left w:val="single" w:color="auto" w:sz="4"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14</w:t>
            </w:r>
          </w:p>
        </w:tc>
        <w:tc>
          <w:tcPr>
            <w:tcW w:w="6096" w:type="dxa"/>
            <w:tcBorders>
              <w:top w:val="single" w:color="auto" w:sz="8" w:space="0"/>
              <w:left w:val="single" w:color="auto" w:sz="8" w:space="0"/>
              <w:bottom w:val="single" w:color="auto" w:sz="8" w:space="0"/>
              <w:right w:val="single" w:color="auto" w:sz="4" w:space="0"/>
            </w:tcBorders>
            <w:vAlign w:val="center"/>
          </w:tcPr>
          <w:p>
            <w:pPr>
              <w:widowControl/>
              <w:spacing w:line="240" w:lineRule="exact"/>
              <w:jc w:val="left"/>
              <w:rPr>
                <w:rFonts w:ascii="Times New Roman" w:hAnsi="Times New Roman" w:cs="Times New Roman"/>
                <w:b w:val="0"/>
                <w:bCs w:val="0"/>
                <w:color w:val="auto"/>
                <w:spacing w:val="10"/>
                <w:kern w:val="0"/>
                <w:sz w:val="18"/>
                <w:szCs w:val="18"/>
              </w:rPr>
            </w:pPr>
            <w:r>
              <w:rPr>
                <w:rFonts w:hint="eastAsia" w:ascii="Times New Roman" w:hAnsi="Times New Roman" w:cs="宋体"/>
                <w:b w:val="0"/>
                <w:bCs w:val="0"/>
                <w:color w:val="auto"/>
                <w:spacing w:val="10"/>
                <w:sz w:val="18"/>
                <w:szCs w:val="18"/>
              </w:rPr>
              <w:t>加油站内的工艺管道除必须露出地面的以外，均应埋地敷设。当采用管沟敷设时，管沟必须用中性沙子或细土填满、填实。</w:t>
            </w:r>
            <w:r>
              <w:rPr>
                <w:rFonts w:ascii="Times New Roman" w:hAnsi="Times New Roman" w:cs="Times New Roman"/>
                <w:b w:val="0"/>
                <w:bCs w:val="0"/>
                <w:color w:val="auto"/>
                <w:kern w:val="0"/>
                <w:sz w:val="18"/>
                <w:szCs w:val="18"/>
              </w:rPr>
              <w:t>6.3.13</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该站的管沟充沙填实。</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15</w:t>
            </w:r>
          </w:p>
        </w:tc>
        <w:tc>
          <w:tcPr>
            <w:tcW w:w="6096" w:type="dxa"/>
            <w:tcBorders>
              <w:top w:val="single" w:color="auto" w:sz="8" w:space="0"/>
              <w:left w:val="single" w:color="auto" w:sz="8" w:space="0"/>
              <w:bottom w:val="single" w:color="auto" w:sz="8" w:space="0"/>
              <w:right w:val="single" w:color="auto" w:sz="4" w:space="0"/>
            </w:tcBorders>
            <w:vAlign w:val="center"/>
          </w:tcPr>
          <w:p>
            <w:pPr>
              <w:widowControl/>
              <w:spacing w:line="240" w:lineRule="exact"/>
              <w:jc w:val="left"/>
              <w:rPr>
                <w:rFonts w:ascii="Times New Roman" w:hAnsi="Times New Roman" w:cs="Times New Roman"/>
                <w:color w:val="auto"/>
                <w:spacing w:val="10"/>
                <w:kern w:val="0"/>
                <w:sz w:val="18"/>
                <w:szCs w:val="18"/>
              </w:rPr>
            </w:pPr>
            <w:r>
              <w:rPr>
                <w:rFonts w:hint="eastAsia" w:ascii="Times New Roman" w:hAnsi="Times New Roman" w:cs="宋体"/>
                <w:color w:val="auto"/>
                <w:spacing w:val="10"/>
                <w:sz w:val="18"/>
                <w:szCs w:val="18"/>
              </w:rPr>
              <w:t>卸油管道、卸油油气回收管道、加油油气回收管道和油罐通气管横管，应坡向埋地油罐。卸油管道的坡度不应小于</w:t>
            </w:r>
            <w:r>
              <w:rPr>
                <w:rFonts w:ascii="Times New Roman" w:hAnsi="Times New Roman" w:cs="Times New Roman"/>
                <w:color w:val="auto"/>
                <w:spacing w:val="10"/>
                <w:sz w:val="18"/>
                <w:szCs w:val="18"/>
              </w:rPr>
              <w:t>2‰</w:t>
            </w:r>
            <w:r>
              <w:rPr>
                <w:rFonts w:hint="eastAsia" w:ascii="Times New Roman" w:hAnsi="Times New Roman" w:cs="宋体"/>
                <w:color w:val="auto"/>
                <w:spacing w:val="10"/>
                <w:sz w:val="18"/>
                <w:szCs w:val="18"/>
              </w:rPr>
              <w:t>，卸油油气回收管道、加油油气回收管道和油罐通气管横管的坡度，不应小于</w:t>
            </w:r>
            <w:r>
              <w:rPr>
                <w:rFonts w:ascii="Times New Roman" w:hAnsi="Times New Roman" w:cs="Times New Roman"/>
                <w:color w:val="auto"/>
                <w:spacing w:val="10"/>
                <w:sz w:val="18"/>
                <w:szCs w:val="18"/>
              </w:rPr>
              <w:t>1%</w:t>
            </w:r>
            <w:r>
              <w:rPr>
                <w:rFonts w:hint="eastAsia" w:ascii="Times New Roman" w:hAnsi="Times New Roman" w:cs="宋体"/>
                <w:color w:val="auto"/>
                <w:spacing w:val="10"/>
                <w:sz w:val="18"/>
                <w:szCs w:val="18"/>
              </w:rPr>
              <w:t>。</w:t>
            </w:r>
            <w:r>
              <w:rPr>
                <w:rFonts w:ascii="Times New Roman" w:hAnsi="Times New Roman" w:cs="Times New Roman"/>
                <w:color w:val="auto"/>
                <w:kern w:val="0"/>
                <w:sz w:val="18"/>
                <w:szCs w:val="18"/>
              </w:rPr>
              <w:t>6.3.15</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该站的卸油管道坡度不小于</w:t>
            </w:r>
            <w:r>
              <w:rPr>
                <w:rFonts w:ascii="Times New Roman" w:hAnsi="Times New Roman" w:cs="Times New Roman"/>
                <w:color w:val="auto"/>
                <w:kern w:val="0"/>
                <w:sz w:val="18"/>
                <w:szCs w:val="18"/>
              </w:rPr>
              <w:t>2‰</w:t>
            </w:r>
            <w:r>
              <w:rPr>
                <w:rFonts w:hint="eastAsia" w:ascii="Times New Roman" w:hAnsi="Times New Roman" w:cs="宋体"/>
                <w:color w:val="auto"/>
                <w:kern w:val="0"/>
                <w:sz w:val="18"/>
                <w:szCs w:val="18"/>
              </w:rPr>
              <w:t>，卸油油气回收管道、加油油气回收管道和油罐通气管横管的坡度，不小于</w:t>
            </w:r>
            <w:r>
              <w:rPr>
                <w:rFonts w:ascii="Times New Roman" w:hAnsi="Times New Roman" w:cs="Times New Roman"/>
                <w:color w:val="auto"/>
                <w:kern w:val="0"/>
                <w:sz w:val="18"/>
                <w:szCs w:val="18"/>
              </w:rPr>
              <w:t>1%</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17</w:t>
            </w:r>
          </w:p>
        </w:tc>
        <w:tc>
          <w:tcPr>
            <w:tcW w:w="6096" w:type="dxa"/>
            <w:tcBorders>
              <w:top w:val="single" w:color="auto" w:sz="8" w:space="0"/>
              <w:left w:val="single" w:color="auto" w:sz="8" w:space="0"/>
              <w:bottom w:val="single" w:color="auto" w:sz="8" w:space="0"/>
              <w:right w:val="single" w:color="auto" w:sz="4" w:space="0"/>
            </w:tcBorders>
            <w:vAlign w:val="center"/>
          </w:tcPr>
          <w:p>
            <w:pPr>
              <w:widowControl/>
              <w:spacing w:line="240" w:lineRule="exact"/>
              <w:jc w:val="left"/>
              <w:rPr>
                <w:rFonts w:ascii="Times New Roman" w:hAnsi="Times New Roman" w:cs="Times New Roman"/>
                <w:color w:val="auto"/>
                <w:spacing w:val="10"/>
                <w:kern w:val="0"/>
                <w:sz w:val="18"/>
                <w:szCs w:val="18"/>
              </w:rPr>
            </w:pPr>
            <w:r>
              <w:rPr>
                <w:rFonts w:hint="eastAsia" w:ascii="Times New Roman" w:hAnsi="Times New Roman" w:cs="宋体"/>
                <w:color w:val="auto"/>
                <w:spacing w:val="10"/>
                <w:sz w:val="18"/>
                <w:szCs w:val="18"/>
              </w:rPr>
              <w:t>埋地工艺管道的埋设深度不得小于</w:t>
            </w:r>
            <w:r>
              <w:rPr>
                <w:rFonts w:ascii="Times New Roman" w:hAnsi="Times New Roman" w:cs="Times New Roman"/>
                <w:color w:val="auto"/>
                <w:spacing w:val="10"/>
                <w:sz w:val="18"/>
                <w:szCs w:val="18"/>
              </w:rPr>
              <w:t>0.4m</w:t>
            </w:r>
            <w:r>
              <w:rPr>
                <w:rFonts w:hint="eastAsia" w:ascii="Times New Roman" w:hAnsi="Times New Roman" w:cs="宋体"/>
                <w:color w:val="auto"/>
                <w:spacing w:val="10"/>
                <w:sz w:val="18"/>
                <w:szCs w:val="18"/>
              </w:rPr>
              <w:t>。敷设在混凝土场地或道路下面的管道，管顶低于混凝土层下表面不得小于</w:t>
            </w:r>
            <w:r>
              <w:rPr>
                <w:rFonts w:ascii="Times New Roman" w:hAnsi="Times New Roman" w:cs="Times New Roman"/>
                <w:color w:val="auto"/>
                <w:spacing w:val="10"/>
                <w:sz w:val="18"/>
                <w:szCs w:val="18"/>
              </w:rPr>
              <w:t>0.2m</w:t>
            </w:r>
            <w:r>
              <w:rPr>
                <w:rFonts w:hint="eastAsia" w:ascii="Times New Roman" w:hAnsi="Times New Roman" w:cs="宋体"/>
                <w:color w:val="auto"/>
                <w:spacing w:val="10"/>
                <w:sz w:val="18"/>
                <w:szCs w:val="18"/>
              </w:rPr>
              <w:t>。管道周围应回填不小于</w:t>
            </w:r>
            <w:r>
              <w:rPr>
                <w:rFonts w:ascii="Times New Roman" w:hAnsi="Times New Roman" w:cs="Times New Roman"/>
                <w:color w:val="auto"/>
                <w:spacing w:val="10"/>
                <w:sz w:val="18"/>
                <w:szCs w:val="18"/>
              </w:rPr>
              <w:t>100mm</w:t>
            </w:r>
            <w:r>
              <w:rPr>
                <w:rFonts w:hint="eastAsia" w:ascii="Times New Roman" w:hAnsi="Times New Roman" w:cs="宋体"/>
                <w:color w:val="auto"/>
                <w:spacing w:val="10"/>
                <w:sz w:val="18"/>
                <w:szCs w:val="18"/>
              </w:rPr>
              <w:t>厚的中性沙子或细土。</w:t>
            </w:r>
            <w:r>
              <w:rPr>
                <w:rFonts w:ascii="Times New Roman" w:hAnsi="Times New Roman" w:cs="Times New Roman"/>
                <w:color w:val="auto"/>
                <w:kern w:val="0"/>
                <w:sz w:val="18"/>
                <w:szCs w:val="18"/>
              </w:rPr>
              <w:t>6.3.17</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埋地工艺管道的埋设深度不小于</w:t>
            </w:r>
            <w:r>
              <w:rPr>
                <w:rFonts w:ascii="Times New Roman" w:hAnsi="Times New Roman" w:cs="Times New Roman"/>
                <w:color w:val="auto"/>
                <w:kern w:val="0"/>
                <w:sz w:val="18"/>
                <w:szCs w:val="18"/>
              </w:rPr>
              <w:t>0.4m</w:t>
            </w:r>
            <w:r>
              <w:rPr>
                <w:rFonts w:hint="eastAsia" w:ascii="Times New Roman" w:hAnsi="Times New Roman" w:cs="宋体"/>
                <w:color w:val="auto"/>
                <w:kern w:val="0"/>
                <w:sz w:val="18"/>
                <w:szCs w:val="18"/>
              </w:rPr>
              <w:t>。</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18</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80" w:lineRule="exact"/>
              <w:jc w:val="lef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工艺管道不应穿过或跨越站房等</w:t>
            </w:r>
            <w:r>
              <w:rPr>
                <w:rFonts w:hint="eastAsia" w:ascii="Times New Roman" w:hAnsi="Times New Roman" w:cs="宋体"/>
                <w:color w:val="auto"/>
                <w:spacing w:val="10"/>
                <w:kern w:val="0"/>
                <w:sz w:val="18"/>
                <w:szCs w:val="18"/>
              </w:rPr>
              <w:t>与其无直接关系的</w:t>
            </w:r>
            <w:r>
              <w:rPr>
                <w:rFonts w:hint="eastAsia" w:ascii="Times New Roman" w:hAnsi="Times New Roman" w:cs="宋体"/>
                <w:color w:val="auto"/>
                <w:spacing w:val="10"/>
                <w:sz w:val="18"/>
                <w:szCs w:val="18"/>
              </w:rPr>
              <w:t>建</w:t>
            </w:r>
            <w:r>
              <w:rPr>
                <w:rFonts w:hint="eastAsia" w:ascii="Times New Roman" w:hAnsi="Times New Roman" w:cs="宋体"/>
                <w:color w:val="auto"/>
                <w:spacing w:val="10"/>
                <w:kern w:val="0"/>
                <w:sz w:val="18"/>
                <w:szCs w:val="18"/>
              </w:rPr>
              <w:t>（</w:t>
            </w:r>
            <w:r>
              <w:rPr>
                <w:rFonts w:hint="eastAsia" w:ascii="Times New Roman" w:hAnsi="Times New Roman" w:cs="宋体"/>
                <w:color w:val="auto"/>
                <w:spacing w:val="10"/>
                <w:sz w:val="18"/>
                <w:szCs w:val="18"/>
              </w:rPr>
              <w:t>构）筑物；与管沟、电缆沟和排水沟相交叉时，应采取相应的防护措施。</w:t>
            </w:r>
            <w:r>
              <w:rPr>
                <w:rFonts w:ascii="Times New Roman" w:hAnsi="Times New Roman" w:cs="Times New Roman"/>
                <w:color w:val="auto"/>
                <w:kern w:val="0"/>
                <w:sz w:val="18"/>
                <w:szCs w:val="18"/>
              </w:rPr>
              <w:t>6.3.18</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该站的工艺管道未穿过无直接关系的建筑物。</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19</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80" w:lineRule="exact"/>
              <w:rPr>
                <w:rFonts w:ascii="Times New Roman" w:hAnsi="Times New Roman" w:cs="Times New Roman"/>
                <w:color w:val="auto"/>
                <w:spacing w:val="10"/>
                <w:sz w:val="18"/>
                <w:szCs w:val="18"/>
              </w:rPr>
            </w:pPr>
            <w:r>
              <w:rPr>
                <w:rFonts w:hint="eastAsia" w:ascii="Times New Roman" w:hAnsi="Times New Roman" w:cs="宋体"/>
                <w:color w:val="auto"/>
                <w:spacing w:val="10"/>
                <w:kern w:val="0"/>
                <w:sz w:val="18"/>
                <w:szCs w:val="18"/>
              </w:rPr>
              <w:t>不导</w:t>
            </w:r>
            <w:r>
              <w:rPr>
                <w:rFonts w:hint="eastAsia" w:ascii="Times New Roman" w:hAnsi="Times New Roman" w:cs="宋体"/>
                <w:color w:val="auto"/>
                <w:spacing w:val="10"/>
                <w:sz w:val="18"/>
                <w:szCs w:val="18"/>
              </w:rPr>
              <w:t>静</w:t>
            </w:r>
            <w:r>
              <w:rPr>
                <w:rFonts w:hint="eastAsia" w:ascii="Times New Roman" w:hAnsi="Times New Roman" w:cs="宋体"/>
                <w:color w:val="auto"/>
                <w:spacing w:val="10"/>
                <w:kern w:val="0"/>
                <w:sz w:val="18"/>
                <w:szCs w:val="18"/>
              </w:rPr>
              <w:t>电</w:t>
            </w:r>
            <w:r>
              <w:rPr>
                <w:rFonts w:hint="eastAsia" w:ascii="Times New Roman" w:hAnsi="Times New Roman" w:cs="宋体"/>
                <w:color w:val="auto"/>
                <w:spacing w:val="10"/>
                <w:sz w:val="18"/>
                <w:szCs w:val="18"/>
              </w:rPr>
              <w:t>热塑性塑料管道的设计和安装，除应符合本规范第</w:t>
            </w:r>
            <w:r>
              <w:rPr>
                <w:rFonts w:ascii="Times New Roman" w:hAnsi="Times New Roman" w:cs="Times New Roman"/>
                <w:color w:val="auto"/>
                <w:spacing w:val="10"/>
                <w:sz w:val="18"/>
                <w:szCs w:val="18"/>
              </w:rPr>
              <w:t>6.3.12</w:t>
            </w:r>
            <w:r>
              <w:rPr>
                <w:rFonts w:hint="eastAsia" w:ascii="Times New Roman" w:hAnsi="Times New Roman" w:cs="宋体"/>
                <w:color w:val="auto"/>
                <w:spacing w:val="10"/>
                <w:sz w:val="18"/>
                <w:szCs w:val="18"/>
              </w:rPr>
              <w:t>条的有关规定外，尚应符合下列规定：</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1 </w:t>
            </w:r>
            <w:r>
              <w:rPr>
                <w:rFonts w:hint="eastAsia" w:ascii="Times New Roman" w:hAnsi="Times New Roman" w:cs="宋体"/>
                <w:color w:val="auto"/>
                <w:spacing w:val="10"/>
                <w:sz w:val="18"/>
                <w:szCs w:val="18"/>
              </w:rPr>
              <w:t>管道内油品的流速应小于</w:t>
            </w:r>
            <w:r>
              <w:rPr>
                <w:rFonts w:ascii="Times New Roman" w:hAnsi="Times New Roman" w:cs="Times New Roman"/>
                <w:color w:val="auto"/>
                <w:spacing w:val="10"/>
                <w:sz w:val="18"/>
                <w:szCs w:val="18"/>
              </w:rPr>
              <w:t>2.8m/s</w:t>
            </w:r>
            <w:r>
              <w:rPr>
                <w:rFonts w:hint="eastAsia" w:ascii="Times New Roman" w:hAnsi="Times New Roman" w:cs="宋体"/>
                <w:color w:val="auto"/>
                <w:spacing w:val="10"/>
                <w:sz w:val="18"/>
                <w:szCs w:val="18"/>
              </w:rPr>
              <w:t>。</w:t>
            </w:r>
          </w:p>
          <w:p>
            <w:pPr>
              <w:spacing w:line="280" w:lineRule="exact"/>
              <w:rPr>
                <w:rFonts w:ascii="Times New Roman" w:hAnsi="Times New Roman" w:cs="Times New Roman"/>
                <w:color w:val="auto"/>
                <w:spacing w:val="10"/>
                <w:kern w:val="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sz w:val="18"/>
                <w:szCs w:val="18"/>
              </w:rPr>
              <w:t>管道在人孔井内、加油机底槽和卸油口等处未完全埋地的部分，应在满足管道连接要求的前提下，采用最短的安装长度和最少的接头。</w:t>
            </w:r>
            <w:r>
              <w:rPr>
                <w:rFonts w:ascii="Times New Roman" w:hAnsi="Times New Roman" w:cs="Times New Roman"/>
                <w:color w:val="auto"/>
                <w:kern w:val="0"/>
                <w:sz w:val="18"/>
                <w:szCs w:val="18"/>
              </w:rPr>
              <w:t>6.3.19</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20</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8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埋地钢质管道外表面的防腐设计，应符合现行国家标准</w:t>
            </w:r>
            <w:r>
              <w:rPr>
                <w:rFonts w:hint="eastAsia" w:ascii="Times New Roman" w:hAnsi="Times New Roman" w:cs="宋体"/>
                <w:color w:val="auto"/>
                <w:spacing w:val="10"/>
                <w:kern w:val="0"/>
                <w:sz w:val="18"/>
                <w:szCs w:val="18"/>
              </w:rPr>
              <w:t>《钢质管道外腐蚀控制规范》</w:t>
            </w:r>
            <w:r>
              <w:rPr>
                <w:rFonts w:ascii="Times New Roman" w:hAnsi="Times New Roman" w:cs="Times New Roman"/>
                <w:color w:val="auto"/>
                <w:spacing w:val="10"/>
                <w:kern w:val="0"/>
                <w:sz w:val="18"/>
                <w:szCs w:val="18"/>
              </w:rPr>
              <w:t>GB/T21447</w:t>
            </w:r>
            <w:r>
              <w:rPr>
                <w:rFonts w:hint="eastAsia" w:ascii="Times New Roman" w:hAnsi="Times New Roman" w:cs="宋体"/>
                <w:color w:val="auto"/>
                <w:spacing w:val="10"/>
                <w:kern w:val="0"/>
                <w:sz w:val="18"/>
                <w:szCs w:val="18"/>
              </w:rPr>
              <w:t>的有关规定</w:t>
            </w:r>
            <w:r>
              <w:rPr>
                <w:rFonts w:hint="eastAsia" w:ascii="Times New Roman" w:hAnsi="Times New Roman" w:cs="宋体"/>
                <w:color w:val="auto"/>
                <w:spacing w:val="10"/>
                <w:sz w:val="18"/>
                <w:szCs w:val="18"/>
              </w:rPr>
              <w:t>。</w:t>
            </w:r>
            <w:r>
              <w:rPr>
                <w:rFonts w:ascii="Times New Roman" w:hAnsi="Times New Roman" w:cs="Times New Roman"/>
                <w:color w:val="auto"/>
                <w:kern w:val="0"/>
                <w:sz w:val="18"/>
                <w:szCs w:val="18"/>
              </w:rPr>
              <w:t>6.3.20</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CellMar>
            <w:top w:w="0" w:type="dxa"/>
            <w:left w:w="0" w:type="dxa"/>
            <w:bottom w:w="0" w:type="dxa"/>
            <w:right w:w="0" w:type="dxa"/>
          </w:tblCellMar>
        </w:tblPrEx>
        <w:trPr>
          <w:jc w:val="center"/>
        </w:trPr>
        <w:tc>
          <w:tcPr>
            <w:tcW w:w="8835" w:type="dxa"/>
            <w:gridSpan w:val="4"/>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防渗措施</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8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加油站埋地油罐应采用下列之一的防渗方式：</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1</w:t>
            </w:r>
            <w:r>
              <w:rPr>
                <w:rFonts w:hint="eastAsia" w:ascii="Times New Roman" w:hAnsi="Times New Roman" w:cs="宋体"/>
                <w:color w:val="auto"/>
                <w:spacing w:val="10"/>
                <w:sz w:val="18"/>
                <w:szCs w:val="18"/>
              </w:rPr>
              <w:t>采用双层油罐；</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2</w:t>
            </w:r>
            <w:r>
              <w:rPr>
                <w:rFonts w:hint="eastAsia" w:ascii="Times New Roman" w:hAnsi="Times New Roman" w:cs="宋体"/>
                <w:color w:val="auto"/>
                <w:spacing w:val="10"/>
                <w:sz w:val="18"/>
                <w:szCs w:val="18"/>
              </w:rPr>
              <w:t>单层油罐设置防渗罐池。</w:t>
            </w:r>
            <w:r>
              <w:rPr>
                <w:rFonts w:ascii="Times New Roman" w:hAnsi="Times New Roman" w:cs="Times New Roman"/>
                <w:color w:val="auto"/>
                <w:spacing w:val="10"/>
                <w:sz w:val="18"/>
                <w:szCs w:val="18"/>
              </w:rPr>
              <w:t>6.5.1</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该站的油罐为</w:t>
            </w:r>
            <w:r>
              <w:rPr>
                <w:rFonts w:ascii="Times New Roman" w:hAnsi="Times New Roman" w:cs="Times New Roman"/>
                <w:color w:val="auto"/>
                <w:spacing w:val="10"/>
                <w:sz w:val="18"/>
                <w:szCs w:val="18"/>
              </w:rPr>
              <w:t>SF</w:t>
            </w:r>
            <w:r>
              <w:rPr>
                <w:rFonts w:hint="eastAsia" w:ascii="Times New Roman" w:hAnsi="Times New Roman" w:cs="宋体"/>
                <w:color w:val="auto"/>
                <w:spacing w:val="10"/>
                <w:sz w:val="18"/>
                <w:szCs w:val="18"/>
              </w:rPr>
              <w:t>双层油罐</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8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防渗罐池的设计应符合下列规定：</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1 </w:t>
            </w:r>
            <w:r>
              <w:rPr>
                <w:rFonts w:hint="eastAsia" w:ascii="Times New Roman" w:hAnsi="Times New Roman" w:cs="宋体"/>
                <w:color w:val="auto"/>
                <w:spacing w:val="10"/>
                <w:sz w:val="18"/>
                <w:szCs w:val="18"/>
              </w:rPr>
              <w:t>防渗罐池应采用防渗钢筋混泥土整体浇筑，并应符合现行国家标准《地下工程防水技术规范》</w:t>
            </w:r>
            <w:r>
              <w:rPr>
                <w:rFonts w:ascii="Times New Roman" w:hAnsi="Times New Roman" w:cs="Times New Roman"/>
                <w:color w:val="auto"/>
                <w:spacing w:val="10"/>
                <w:sz w:val="18"/>
                <w:szCs w:val="18"/>
              </w:rPr>
              <w:t>GB50108</w:t>
            </w:r>
            <w:r>
              <w:rPr>
                <w:rFonts w:hint="eastAsia" w:ascii="Times New Roman" w:hAnsi="Times New Roman" w:cs="宋体"/>
                <w:color w:val="auto"/>
                <w:spacing w:val="10"/>
                <w:sz w:val="18"/>
                <w:szCs w:val="18"/>
              </w:rPr>
              <w:t>的有关规定。</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sz w:val="18"/>
                <w:szCs w:val="18"/>
              </w:rPr>
              <w:t>防渗罐池应根据油罐的数量设置隔池。一个隔池内的油罐不应多于两座。</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3 </w:t>
            </w:r>
            <w:r>
              <w:rPr>
                <w:rFonts w:hint="eastAsia" w:ascii="Times New Roman" w:hAnsi="Times New Roman" w:cs="宋体"/>
                <w:color w:val="auto"/>
                <w:spacing w:val="10"/>
                <w:sz w:val="18"/>
                <w:szCs w:val="18"/>
              </w:rPr>
              <w:t>防渗罐池的池壁顶应高于池内罐顶标高，池底宜低于罐底设计标高</w:t>
            </w:r>
            <w:r>
              <w:rPr>
                <w:rFonts w:ascii="Times New Roman" w:hAnsi="Times New Roman" w:cs="Times New Roman"/>
                <w:color w:val="auto"/>
                <w:spacing w:val="10"/>
                <w:sz w:val="18"/>
                <w:szCs w:val="18"/>
              </w:rPr>
              <w:t>200mm</w:t>
            </w:r>
            <w:r>
              <w:rPr>
                <w:rFonts w:hint="eastAsia" w:ascii="Times New Roman" w:hAnsi="Times New Roman" w:cs="宋体"/>
                <w:color w:val="auto"/>
                <w:spacing w:val="10"/>
                <w:sz w:val="18"/>
                <w:szCs w:val="18"/>
              </w:rPr>
              <w:t>，墙面与罐壁之间的间距不应小于</w:t>
            </w:r>
            <w:r>
              <w:rPr>
                <w:rFonts w:ascii="Times New Roman" w:hAnsi="Times New Roman" w:cs="Times New Roman"/>
                <w:color w:val="auto"/>
                <w:spacing w:val="10"/>
                <w:sz w:val="18"/>
                <w:szCs w:val="18"/>
              </w:rPr>
              <w:t>500mm</w:t>
            </w:r>
            <w:r>
              <w:rPr>
                <w:rFonts w:hint="eastAsia" w:ascii="Times New Roman" w:hAnsi="Times New Roman" w:cs="宋体"/>
                <w:color w:val="auto"/>
                <w:spacing w:val="10"/>
                <w:sz w:val="18"/>
                <w:szCs w:val="18"/>
              </w:rPr>
              <w:t>。</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4 </w:t>
            </w:r>
            <w:r>
              <w:rPr>
                <w:rFonts w:hint="eastAsia" w:ascii="Times New Roman" w:hAnsi="Times New Roman" w:cs="宋体"/>
                <w:color w:val="auto"/>
                <w:spacing w:val="10"/>
                <w:sz w:val="18"/>
                <w:szCs w:val="18"/>
              </w:rPr>
              <w:t>防渗罐池的内表面应衬玻璃钢或其他材料防渗层。</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5 </w:t>
            </w:r>
            <w:r>
              <w:rPr>
                <w:rFonts w:hint="eastAsia" w:ascii="Times New Roman" w:hAnsi="Times New Roman" w:cs="宋体"/>
                <w:color w:val="auto"/>
                <w:spacing w:val="10"/>
                <w:sz w:val="18"/>
                <w:szCs w:val="18"/>
              </w:rPr>
              <w:t>防渗罐池内的空间，应采用中性沙回填。</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6 </w:t>
            </w:r>
            <w:r>
              <w:rPr>
                <w:rFonts w:hint="eastAsia" w:ascii="Times New Roman" w:hAnsi="Times New Roman" w:cs="宋体"/>
                <w:color w:val="auto"/>
                <w:spacing w:val="10"/>
                <w:sz w:val="18"/>
                <w:szCs w:val="18"/>
              </w:rPr>
              <w:t>防渗罐池的上部，应采取防止雨水、地表水和外部泄露油品渗入池内的措施。</w:t>
            </w:r>
            <w:r>
              <w:rPr>
                <w:rFonts w:ascii="Times New Roman" w:hAnsi="Times New Roman" w:cs="Times New Roman"/>
                <w:color w:val="auto"/>
                <w:spacing w:val="10"/>
                <w:sz w:val="18"/>
                <w:szCs w:val="18"/>
              </w:rPr>
              <w:t>6.5.2</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3</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8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防渗罐池的各隔池内应设检测立管，检测立管的设置应符合下列规定：</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1 </w:t>
            </w:r>
            <w:r>
              <w:rPr>
                <w:rFonts w:hint="eastAsia" w:ascii="Times New Roman" w:hAnsi="Times New Roman" w:cs="宋体"/>
                <w:color w:val="auto"/>
                <w:spacing w:val="10"/>
                <w:sz w:val="18"/>
                <w:szCs w:val="18"/>
              </w:rPr>
              <w:t>检测立管应采用耐油、耐腐蚀的管材制作，直径宜为</w:t>
            </w:r>
            <w:r>
              <w:rPr>
                <w:rFonts w:ascii="Times New Roman" w:hAnsi="Times New Roman" w:cs="Times New Roman"/>
                <w:color w:val="auto"/>
                <w:spacing w:val="10"/>
                <w:sz w:val="18"/>
                <w:szCs w:val="18"/>
              </w:rPr>
              <w:t>100mm</w:t>
            </w:r>
            <w:r>
              <w:rPr>
                <w:rFonts w:hint="eastAsia" w:ascii="Times New Roman" w:hAnsi="Times New Roman" w:cs="宋体"/>
                <w:color w:val="auto"/>
                <w:spacing w:val="10"/>
                <w:sz w:val="18"/>
                <w:szCs w:val="18"/>
              </w:rPr>
              <w:t>，壁厚不应小于</w:t>
            </w:r>
            <w:r>
              <w:rPr>
                <w:rFonts w:ascii="Times New Roman" w:hAnsi="Times New Roman" w:cs="Times New Roman"/>
                <w:color w:val="auto"/>
                <w:spacing w:val="10"/>
                <w:sz w:val="18"/>
                <w:szCs w:val="18"/>
              </w:rPr>
              <w:t>4mm</w:t>
            </w:r>
            <w:r>
              <w:rPr>
                <w:rFonts w:hint="eastAsia" w:ascii="Times New Roman" w:hAnsi="Times New Roman" w:cs="宋体"/>
                <w:color w:val="auto"/>
                <w:spacing w:val="10"/>
                <w:sz w:val="18"/>
                <w:szCs w:val="18"/>
              </w:rPr>
              <w:t>。</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sz w:val="18"/>
                <w:szCs w:val="18"/>
              </w:rPr>
              <w:t>检测立管的下端应置于防渗罐池的最低处，除设置在车道下的油罐外，检测立管的上部管口应高出罐区设计地面</w:t>
            </w:r>
            <w:r>
              <w:rPr>
                <w:rFonts w:ascii="Times New Roman" w:hAnsi="Times New Roman" w:cs="Times New Roman"/>
                <w:color w:val="auto"/>
                <w:spacing w:val="10"/>
                <w:sz w:val="18"/>
                <w:szCs w:val="18"/>
              </w:rPr>
              <w:t>200mm</w:t>
            </w:r>
            <w:r>
              <w:rPr>
                <w:rFonts w:hint="eastAsia" w:ascii="Times New Roman" w:hAnsi="Times New Roman" w:cs="宋体"/>
                <w:color w:val="auto"/>
                <w:spacing w:val="10"/>
                <w:sz w:val="18"/>
                <w:szCs w:val="18"/>
              </w:rPr>
              <w:t>。</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3 </w:t>
            </w:r>
            <w:r>
              <w:rPr>
                <w:rFonts w:hint="eastAsia" w:ascii="Times New Roman" w:hAnsi="Times New Roman" w:cs="宋体"/>
                <w:color w:val="auto"/>
                <w:spacing w:val="10"/>
                <w:sz w:val="18"/>
                <w:szCs w:val="18"/>
              </w:rPr>
              <w:t>检测立管与池内罐顶标高以下范围应为过滤管段。过滤管段应能允许池内任何层面的渗漏液体进入检测管，并应能阻止泥沙侵入。</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4 </w:t>
            </w:r>
            <w:r>
              <w:rPr>
                <w:rFonts w:hint="eastAsia" w:ascii="Times New Roman" w:hAnsi="Times New Roman" w:cs="宋体"/>
                <w:color w:val="auto"/>
                <w:spacing w:val="10"/>
                <w:sz w:val="18"/>
                <w:szCs w:val="18"/>
              </w:rPr>
              <w:t>检测立管周围应回填粒径为</w:t>
            </w:r>
            <w:r>
              <w:rPr>
                <w:rFonts w:ascii="Times New Roman" w:hAnsi="Times New Roman" w:cs="Times New Roman"/>
                <w:color w:val="auto"/>
                <w:spacing w:val="10"/>
                <w:sz w:val="18"/>
                <w:szCs w:val="18"/>
              </w:rPr>
              <w:t>10mm~30mm</w:t>
            </w:r>
            <w:r>
              <w:rPr>
                <w:rFonts w:hint="eastAsia" w:ascii="Times New Roman" w:hAnsi="Times New Roman" w:cs="宋体"/>
                <w:color w:val="auto"/>
                <w:spacing w:val="10"/>
                <w:sz w:val="18"/>
                <w:szCs w:val="18"/>
              </w:rPr>
              <w:t>的砾石。</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5 </w:t>
            </w:r>
            <w:r>
              <w:rPr>
                <w:rFonts w:hint="eastAsia" w:ascii="Times New Roman" w:hAnsi="Times New Roman" w:cs="宋体"/>
                <w:color w:val="auto"/>
                <w:spacing w:val="10"/>
                <w:sz w:val="18"/>
                <w:szCs w:val="18"/>
              </w:rPr>
              <w:t>检测口应有防止雨水、油污、杂物侵入的保护盖和标识。</w:t>
            </w:r>
            <w:r>
              <w:rPr>
                <w:rFonts w:ascii="Times New Roman" w:hAnsi="Times New Roman" w:cs="Times New Roman"/>
                <w:color w:val="auto"/>
                <w:spacing w:val="10"/>
                <w:sz w:val="18"/>
                <w:szCs w:val="18"/>
              </w:rPr>
              <w:t>6.5.3</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4</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8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装有潜油泵的油罐人孔操作井、卸油口井、加油机底槽等可能发生油品渗漏的部位，也应采取相应的防渗措施。</w:t>
            </w:r>
            <w:r>
              <w:rPr>
                <w:rFonts w:ascii="Times New Roman" w:hAnsi="Times New Roman" w:cs="Times New Roman"/>
                <w:color w:val="auto"/>
                <w:spacing w:val="10"/>
                <w:sz w:val="18"/>
                <w:szCs w:val="18"/>
              </w:rPr>
              <w:t>6.5.4</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该站采取了防渗措施。</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5</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8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加油站埋地加油管道应采用双层管道。双层管道的设计，应符合下列规定：</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1 </w:t>
            </w:r>
            <w:r>
              <w:rPr>
                <w:rFonts w:hint="eastAsia" w:ascii="Times New Roman" w:hAnsi="Times New Roman" w:cs="宋体"/>
                <w:color w:val="auto"/>
                <w:spacing w:val="10"/>
                <w:sz w:val="18"/>
                <w:szCs w:val="18"/>
              </w:rPr>
              <w:t>双层管道的内层管应符合本规范第</w:t>
            </w:r>
            <w:r>
              <w:rPr>
                <w:rFonts w:ascii="Times New Roman" w:hAnsi="Times New Roman" w:cs="Times New Roman"/>
                <w:color w:val="auto"/>
                <w:spacing w:val="10"/>
                <w:sz w:val="18"/>
                <w:szCs w:val="18"/>
              </w:rPr>
              <w:t>6.3</w:t>
            </w:r>
            <w:r>
              <w:rPr>
                <w:rFonts w:hint="eastAsia" w:ascii="Times New Roman" w:hAnsi="Times New Roman" w:cs="宋体"/>
                <w:color w:val="auto"/>
                <w:spacing w:val="10"/>
                <w:sz w:val="18"/>
                <w:szCs w:val="18"/>
              </w:rPr>
              <w:t>节的有关规定。</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sz w:val="18"/>
                <w:szCs w:val="18"/>
              </w:rPr>
              <w:t>采用双层非金属管道时，外层管道应满足耐油、耐腐蚀、耐老化和系统试验压力的要求。</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3 </w:t>
            </w:r>
            <w:r>
              <w:rPr>
                <w:rFonts w:hint="eastAsia" w:ascii="Times New Roman" w:hAnsi="Times New Roman" w:cs="宋体"/>
                <w:color w:val="auto"/>
                <w:spacing w:val="10"/>
                <w:sz w:val="18"/>
                <w:szCs w:val="18"/>
              </w:rPr>
              <w:t>采用双层钢质管道时，外层管的壁厚不应小于</w:t>
            </w:r>
            <w:r>
              <w:rPr>
                <w:rFonts w:ascii="Times New Roman" w:hAnsi="Times New Roman" w:cs="Times New Roman"/>
                <w:color w:val="auto"/>
                <w:spacing w:val="10"/>
                <w:sz w:val="18"/>
                <w:szCs w:val="18"/>
              </w:rPr>
              <w:t>5mm</w:t>
            </w:r>
            <w:r>
              <w:rPr>
                <w:rFonts w:hint="eastAsia" w:ascii="Times New Roman" w:hAnsi="Times New Roman" w:cs="宋体"/>
                <w:color w:val="auto"/>
                <w:spacing w:val="10"/>
                <w:sz w:val="18"/>
                <w:szCs w:val="18"/>
              </w:rPr>
              <w:t>。</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4 </w:t>
            </w:r>
            <w:r>
              <w:rPr>
                <w:rFonts w:hint="eastAsia" w:ascii="Times New Roman" w:hAnsi="Times New Roman" w:cs="宋体"/>
                <w:color w:val="auto"/>
                <w:spacing w:val="10"/>
                <w:sz w:val="18"/>
                <w:szCs w:val="18"/>
              </w:rPr>
              <w:t>双层管道系统的内层管道与外层管道之间的缝隙应贯通。</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5 </w:t>
            </w:r>
            <w:r>
              <w:rPr>
                <w:rFonts w:hint="eastAsia" w:ascii="Times New Roman" w:hAnsi="Times New Roman" w:cs="宋体"/>
                <w:color w:val="auto"/>
                <w:spacing w:val="10"/>
                <w:sz w:val="18"/>
                <w:szCs w:val="18"/>
              </w:rPr>
              <w:t>双层管道系统的最低点应设检漏点。</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6 </w:t>
            </w:r>
            <w:r>
              <w:rPr>
                <w:rFonts w:hint="eastAsia" w:ascii="Times New Roman" w:hAnsi="Times New Roman" w:cs="宋体"/>
                <w:color w:val="auto"/>
                <w:spacing w:val="10"/>
                <w:sz w:val="18"/>
                <w:szCs w:val="18"/>
              </w:rPr>
              <w:t>双层管道坡向检漏点的坡度，不应小于</w:t>
            </w:r>
            <w:r>
              <w:rPr>
                <w:rFonts w:ascii="Times New Roman" w:hAnsi="Times New Roman" w:cs="Times New Roman"/>
                <w:color w:val="auto"/>
                <w:spacing w:val="10"/>
                <w:sz w:val="18"/>
                <w:szCs w:val="18"/>
              </w:rPr>
              <w:t>5‰</w:t>
            </w:r>
            <w:r>
              <w:rPr>
                <w:rFonts w:hint="eastAsia" w:ascii="Times New Roman" w:hAnsi="Times New Roman" w:cs="宋体"/>
                <w:color w:val="auto"/>
                <w:spacing w:val="10"/>
                <w:sz w:val="18"/>
                <w:szCs w:val="18"/>
              </w:rPr>
              <w:t>，并应保证内层管和外层管任何部位出现渗漏均能再检漏点处被发现。</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7 </w:t>
            </w:r>
            <w:r>
              <w:rPr>
                <w:rFonts w:hint="eastAsia" w:ascii="Times New Roman" w:hAnsi="Times New Roman" w:cs="宋体"/>
                <w:color w:val="auto"/>
                <w:spacing w:val="10"/>
                <w:sz w:val="18"/>
                <w:szCs w:val="18"/>
              </w:rPr>
              <w:t>管道系统的渗漏检测宜采用在线检测系统。</w:t>
            </w:r>
            <w:r>
              <w:rPr>
                <w:rFonts w:ascii="Times New Roman" w:hAnsi="Times New Roman" w:cs="Times New Roman"/>
                <w:color w:val="auto"/>
                <w:spacing w:val="10"/>
                <w:sz w:val="18"/>
                <w:szCs w:val="18"/>
              </w:rPr>
              <w:t>6.5.5</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本站加油管采用导静电双层热塑性塑料，现场设置防渗漏检测仪器。</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450" w:hRule="atLeast"/>
          <w:jc w:val="center"/>
        </w:trPr>
        <w:tc>
          <w:tcPr>
            <w:tcW w:w="709"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6</w:t>
            </w:r>
          </w:p>
        </w:tc>
        <w:tc>
          <w:tcPr>
            <w:tcW w:w="6096" w:type="dxa"/>
            <w:tcBorders>
              <w:top w:val="single" w:color="auto" w:sz="8" w:space="0"/>
              <w:left w:val="single" w:color="auto" w:sz="8" w:space="0"/>
              <w:bottom w:val="single" w:color="auto" w:sz="8" w:space="0"/>
              <w:right w:val="single" w:color="auto" w:sz="4" w:space="0"/>
            </w:tcBorders>
            <w:vAlign w:val="center"/>
          </w:tcPr>
          <w:p>
            <w:pPr>
              <w:spacing w:line="28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双层油罐、防渗漏池的渗漏检测宜采用在线监测系统。采用液体传感器监测时，传感器的检测精度不应大于</w:t>
            </w:r>
            <w:r>
              <w:rPr>
                <w:rFonts w:ascii="Times New Roman" w:hAnsi="Times New Roman" w:cs="Times New Roman"/>
                <w:color w:val="auto"/>
                <w:spacing w:val="10"/>
                <w:sz w:val="18"/>
                <w:szCs w:val="18"/>
              </w:rPr>
              <w:t>3.5mm</w:t>
            </w:r>
            <w:r>
              <w:rPr>
                <w:rFonts w:hint="eastAsia" w:ascii="Times New Roman" w:hAnsi="Times New Roman" w:cs="宋体"/>
                <w:color w:val="auto"/>
                <w:spacing w:val="10"/>
                <w:sz w:val="18"/>
                <w:szCs w:val="18"/>
              </w:rPr>
              <w:t>。</w:t>
            </w:r>
            <w:r>
              <w:rPr>
                <w:rFonts w:ascii="Times New Roman" w:hAnsi="Times New Roman" w:cs="Times New Roman"/>
                <w:color w:val="auto"/>
                <w:spacing w:val="10"/>
                <w:sz w:val="18"/>
                <w:szCs w:val="18"/>
              </w:rPr>
              <w:t>6.5.6</w:t>
            </w:r>
          </w:p>
        </w:tc>
        <w:tc>
          <w:tcPr>
            <w:tcW w:w="1318" w:type="dxa"/>
            <w:tcBorders>
              <w:top w:val="single" w:color="auto" w:sz="8" w:space="0"/>
              <w:left w:val="single" w:color="auto" w:sz="4" w:space="0"/>
              <w:bottom w:val="single" w:color="auto" w:sz="8" w:space="0"/>
              <w:right w:val="single" w:color="auto" w:sz="4" w:space="0"/>
            </w:tcBorders>
            <w:vAlign w:val="center"/>
          </w:tcPr>
          <w:p>
            <w:pPr>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该站采取了防渗漏检测仪和高液位报警仪。</w:t>
            </w:r>
          </w:p>
        </w:tc>
        <w:tc>
          <w:tcPr>
            <w:tcW w:w="712" w:type="dxa"/>
            <w:tcBorders>
              <w:top w:val="single" w:color="auto" w:sz="8" w:space="0"/>
              <w:left w:val="single" w:color="auto" w:sz="4" w:space="0"/>
              <w:bottom w:val="single" w:color="auto" w:sz="8" w:space="0"/>
              <w:right w:val="single" w:color="auto" w:sz="4" w:space="0"/>
            </w:tcBorders>
            <w:vAlign w:val="center"/>
          </w:tcPr>
          <w:p>
            <w:pPr>
              <w:spacing w:line="28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bl>
    <w:p>
      <w:pPr>
        <w:pStyle w:val="4"/>
        <w:rPr>
          <w:color w:val="auto"/>
        </w:rPr>
      </w:pPr>
      <w:bookmarkStart w:id="151" w:name="_Toc16373"/>
      <w:bookmarkStart w:id="152" w:name="_Toc12158"/>
      <w:r>
        <w:rPr>
          <w:color w:val="auto"/>
        </w:rPr>
        <w:t xml:space="preserve">6.4 </w:t>
      </w:r>
      <w:r>
        <w:rPr>
          <w:rFonts w:hint="eastAsia" w:cs="宋体"/>
          <w:color w:val="auto"/>
        </w:rPr>
        <w:t>加油站消防设施及给排水符合性评价</w:t>
      </w:r>
      <w:bookmarkEnd w:id="151"/>
      <w:bookmarkEnd w:id="152"/>
    </w:p>
    <w:p>
      <w:pPr>
        <w:jc w:val="center"/>
        <w:rPr>
          <w:rFonts w:ascii="Times New Roman" w:hAnsi="Times New Roman" w:cs="Times New Roman"/>
          <w:b/>
          <w:bCs/>
          <w:color w:val="auto"/>
          <w:lang w:val="zh-CN"/>
        </w:rPr>
      </w:pPr>
      <w:r>
        <w:rPr>
          <w:rFonts w:hint="eastAsia" w:ascii="Times New Roman" w:hAnsi="Times New Roman" w:cs="宋体"/>
          <w:b/>
          <w:bCs/>
          <w:color w:val="auto"/>
          <w:lang w:val="zh-CN"/>
        </w:rPr>
        <w:t>表</w:t>
      </w:r>
      <w:r>
        <w:rPr>
          <w:rFonts w:ascii="Times New Roman" w:hAnsi="Times New Roman" w:cs="Times New Roman"/>
          <w:b/>
          <w:bCs/>
          <w:color w:val="auto"/>
          <w:lang w:val="zh-CN"/>
        </w:rPr>
        <w:t>6-</w:t>
      </w:r>
      <w:r>
        <w:rPr>
          <w:rFonts w:ascii="Times New Roman" w:hAnsi="Times New Roman" w:cs="Times New Roman"/>
          <w:b/>
          <w:bCs/>
          <w:color w:val="auto"/>
        </w:rPr>
        <w:t>7</w:t>
      </w:r>
      <w:r>
        <w:rPr>
          <w:rFonts w:ascii="Times New Roman" w:hAnsi="Times New Roman" w:cs="Times New Roman"/>
          <w:b/>
          <w:bCs/>
          <w:color w:val="auto"/>
          <w:lang w:val="zh-CN"/>
        </w:rPr>
        <w:t xml:space="preserve">  </w:t>
      </w:r>
      <w:r>
        <w:rPr>
          <w:rFonts w:hint="eastAsia" w:ascii="Times New Roman" w:hAnsi="Times New Roman" w:cs="宋体"/>
          <w:b/>
          <w:bCs/>
          <w:color w:val="auto"/>
          <w:lang w:val="zh-CN"/>
        </w:rPr>
        <w:t>加油站消防设施及给排水符合性检查表</w:t>
      </w:r>
    </w:p>
    <w:tbl>
      <w:tblPr>
        <w:tblStyle w:val="20"/>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6525"/>
        <w:gridCol w:w="1110"/>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80" w:type="dxa"/>
            <w:gridSpan w:val="4"/>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灭火器材配置</w:t>
            </w:r>
            <w:r>
              <w:rPr>
                <w:rFonts w:ascii="Times New Roman" w:hAnsi="Times New Roman" w:cs="Times New Roman"/>
                <w:b/>
                <w:bCs/>
                <w:color w:val="auto"/>
                <w:kern w:val="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525"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110" w:type="dxa"/>
            <w:vAlign w:val="center"/>
          </w:tcPr>
          <w:p>
            <w:pPr>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737" w:type="dxa"/>
            <w:vAlign w:val="center"/>
          </w:tcPr>
          <w:p>
            <w:pPr>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w:t>
            </w:r>
          </w:p>
        </w:tc>
        <w:tc>
          <w:tcPr>
            <w:tcW w:w="6525" w:type="dxa"/>
            <w:vAlign w:val="center"/>
          </w:tcPr>
          <w:p>
            <w:pPr>
              <w:autoSpaceDE w:val="0"/>
              <w:autoSpaceDN w:val="0"/>
              <w:spacing w:line="320" w:lineRule="exact"/>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每</w:t>
            </w:r>
            <w:r>
              <w:rPr>
                <w:rFonts w:ascii="Times New Roman" w:hAnsi="Times New Roman" w:cs="Times New Roman"/>
                <w:b w:val="0"/>
                <w:bCs w:val="0"/>
                <w:color w:val="auto"/>
                <w:kern w:val="0"/>
                <w:sz w:val="18"/>
                <w:szCs w:val="18"/>
              </w:rPr>
              <w:t>2</w:t>
            </w:r>
            <w:r>
              <w:rPr>
                <w:rFonts w:hint="eastAsia" w:ascii="Times New Roman" w:hAnsi="Times New Roman" w:cs="宋体"/>
                <w:b w:val="0"/>
                <w:bCs w:val="0"/>
                <w:color w:val="auto"/>
                <w:kern w:val="0"/>
                <w:sz w:val="18"/>
                <w:szCs w:val="18"/>
              </w:rPr>
              <w:t>台加油机应设置不少于</w:t>
            </w:r>
            <w:r>
              <w:rPr>
                <w:rFonts w:ascii="Times New Roman" w:hAnsi="Times New Roman" w:cs="Times New Roman"/>
                <w:b w:val="0"/>
                <w:bCs w:val="0"/>
                <w:color w:val="auto"/>
                <w:kern w:val="0"/>
                <w:sz w:val="18"/>
                <w:szCs w:val="18"/>
              </w:rPr>
              <w:t>2</w:t>
            </w:r>
            <w:r>
              <w:rPr>
                <w:rFonts w:hint="eastAsia" w:ascii="Times New Roman" w:hAnsi="Times New Roman" w:cs="宋体"/>
                <w:b w:val="0"/>
                <w:bCs w:val="0"/>
                <w:color w:val="auto"/>
                <w:kern w:val="0"/>
                <w:sz w:val="18"/>
                <w:szCs w:val="18"/>
              </w:rPr>
              <w:t>具</w:t>
            </w:r>
            <w:r>
              <w:rPr>
                <w:rFonts w:ascii="Times New Roman" w:hAnsi="Times New Roman" w:cs="Times New Roman"/>
                <w:b w:val="0"/>
                <w:bCs w:val="0"/>
                <w:color w:val="auto"/>
                <w:kern w:val="0"/>
                <w:sz w:val="18"/>
                <w:szCs w:val="18"/>
              </w:rPr>
              <w:t>5</w:t>
            </w:r>
            <w:r>
              <w:rPr>
                <w:rFonts w:hint="eastAsia" w:ascii="Times New Roman" w:hAnsi="Times New Roman" w:cs="宋体"/>
                <w:b w:val="0"/>
                <w:bCs w:val="0"/>
                <w:color w:val="auto"/>
                <w:kern w:val="0"/>
                <w:sz w:val="18"/>
                <w:szCs w:val="18"/>
              </w:rPr>
              <w:t>㎏手提式干粉灭火器或</w:t>
            </w:r>
            <w:r>
              <w:rPr>
                <w:rFonts w:ascii="Times New Roman" w:hAnsi="Times New Roman" w:cs="Times New Roman"/>
                <w:b w:val="0"/>
                <w:bCs w:val="0"/>
                <w:color w:val="auto"/>
                <w:kern w:val="0"/>
                <w:sz w:val="18"/>
                <w:szCs w:val="18"/>
              </w:rPr>
              <w:t>1</w:t>
            </w:r>
            <w:r>
              <w:rPr>
                <w:rFonts w:hint="eastAsia" w:ascii="Times New Roman" w:hAnsi="Times New Roman" w:cs="宋体"/>
                <w:b w:val="0"/>
                <w:bCs w:val="0"/>
                <w:color w:val="auto"/>
                <w:kern w:val="0"/>
                <w:sz w:val="18"/>
                <w:szCs w:val="18"/>
              </w:rPr>
              <w:t>具</w:t>
            </w:r>
            <w:r>
              <w:rPr>
                <w:rFonts w:ascii="Times New Roman" w:hAnsi="Times New Roman" w:cs="Times New Roman"/>
                <w:b w:val="0"/>
                <w:bCs w:val="0"/>
                <w:color w:val="auto"/>
                <w:kern w:val="0"/>
                <w:sz w:val="18"/>
                <w:szCs w:val="18"/>
              </w:rPr>
              <w:t>5kg</w:t>
            </w:r>
            <w:r>
              <w:rPr>
                <w:rFonts w:hint="eastAsia" w:ascii="Times New Roman" w:hAnsi="Times New Roman" w:cs="宋体"/>
                <w:b w:val="0"/>
                <w:bCs w:val="0"/>
                <w:color w:val="auto"/>
                <w:kern w:val="0"/>
                <w:sz w:val="18"/>
                <w:szCs w:val="18"/>
              </w:rPr>
              <w:t>手提干粉灭火器和</w:t>
            </w:r>
            <w:r>
              <w:rPr>
                <w:rFonts w:ascii="Times New Roman" w:hAnsi="Times New Roman" w:cs="Times New Roman"/>
                <w:b w:val="0"/>
                <w:bCs w:val="0"/>
                <w:color w:val="auto"/>
                <w:kern w:val="0"/>
                <w:sz w:val="18"/>
                <w:szCs w:val="18"/>
              </w:rPr>
              <w:t>1</w:t>
            </w:r>
            <w:r>
              <w:rPr>
                <w:rFonts w:hint="eastAsia" w:ascii="Times New Roman" w:hAnsi="Times New Roman" w:cs="宋体"/>
                <w:b w:val="0"/>
                <w:bCs w:val="0"/>
                <w:color w:val="auto"/>
                <w:kern w:val="0"/>
                <w:sz w:val="18"/>
                <w:szCs w:val="18"/>
              </w:rPr>
              <w:t>具</w:t>
            </w:r>
            <w:r>
              <w:rPr>
                <w:rFonts w:ascii="Times New Roman" w:hAnsi="Times New Roman" w:cs="Times New Roman"/>
                <w:b w:val="0"/>
                <w:bCs w:val="0"/>
                <w:color w:val="auto"/>
                <w:kern w:val="0"/>
                <w:sz w:val="18"/>
                <w:szCs w:val="18"/>
              </w:rPr>
              <w:t>6L</w:t>
            </w:r>
            <w:r>
              <w:rPr>
                <w:rFonts w:hint="eastAsia" w:ascii="Times New Roman" w:hAnsi="Times New Roman" w:cs="宋体"/>
                <w:b w:val="0"/>
                <w:bCs w:val="0"/>
                <w:color w:val="auto"/>
                <w:kern w:val="0"/>
                <w:sz w:val="18"/>
                <w:szCs w:val="18"/>
              </w:rPr>
              <w:t>泡沫灭火器。加油机不足</w:t>
            </w:r>
            <w:r>
              <w:rPr>
                <w:rFonts w:ascii="Times New Roman" w:hAnsi="Times New Roman" w:cs="Times New Roman"/>
                <w:b w:val="0"/>
                <w:bCs w:val="0"/>
                <w:color w:val="auto"/>
                <w:kern w:val="0"/>
                <w:sz w:val="18"/>
                <w:szCs w:val="18"/>
              </w:rPr>
              <w:t>2</w:t>
            </w:r>
            <w:r>
              <w:rPr>
                <w:rFonts w:hint="eastAsia" w:ascii="Times New Roman" w:hAnsi="Times New Roman" w:cs="宋体"/>
                <w:b w:val="0"/>
                <w:bCs w:val="0"/>
                <w:color w:val="auto"/>
                <w:kern w:val="0"/>
                <w:sz w:val="18"/>
                <w:szCs w:val="18"/>
              </w:rPr>
              <w:t>台按</w:t>
            </w:r>
            <w:r>
              <w:rPr>
                <w:rFonts w:ascii="Times New Roman" w:hAnsi="Times New Roman" w:cs="Times New Roman"/>
                <w:b w:val="0"/>
                <w:bCs w:val="0"/>
                <w:color w:val="auto"/>
                <w:kern w:val="0"/>
                <w:sz w:val="18"/>
                <w:szCs w:val="18"/>
              </w:rPr>
              <w:t>2</w:t>
            </w:r>
            <w:r>
              <w:rPr>
                <w:rFonts w:hint="eastAsia" w:ascii="Times New Roman" w:hAnsi="Times New Roman" w:cs="宋体"/>
                <w:b w:val="0"/>
                <w:bCs w:val="0"/>
                <w:color w:val="auto"/>
                <w:kern w:val="0"/>
                <w:sz w:val="18"/>
                <w:szCs w:val="18"/>
              </w:rPr>
              <w:t>台配置。</w:t>
            </w:r>
            <w:r>
              <w:rPr>
                <w:rFonts w:ascii="Times New Roman" w:hAnsi="Times New Roman" w:cs="Times New Roman"/>
                <w:b w:val="0"/>
                <w:bCs w:val="0"/>
                <w:color w:val="auto"/>
                <w:kern w:val="0"/>
                <w:sz w:val="18"/>
                <w:szCs w:val="18"/>
              </w:rPr>
              <w:t>12.1.1</w:t>
            </w:r>
            <w:r>
              <w:rPr>
                <w:rFonts w:hint="eastAsia" w:ascii="Times New Roman" w:hAnsi="Times New Roman" w:cs="宋体"/>
                <w:b w:val="0"/>
                <w:bCs w:val="0"/>
                <w:color w:val="auto"/>
                <w:kern w:val="0"/>
                <w:sz w:val="18"/>
                <w:szCs w:val="18"/>
              </w:rPr>
              <w:t>（</w:t>
            </w:r>
            <w:r>
              <w:rPr>
                <w:rFonts w:ascii="Times New Roman" w:hAnsi="Times New Roman" w:cs="Times New Roman"/>
                <w:b w:val="0"/>
                <w:bCs w:val="0"/>
                <w:color w:val="auto"/>
                <w:kern w:val="0"/>
                <w:sz w:val="18"/>
                <w:szCs w:val="18"/>
              </w:rPr>
              <w:t>2</w:t>
            </w:r>
            <w:r>
              <w:rPr>
                <w:rFonts w:hint="eastAsia" w:ascii="Times New Roman" w:hAnsi="Times New Roman" w:cs="宋体"/>
                <w:b w:val="0"/>
                <w:bCs w:val="0"/>
                <w:color w:val="auto"/>
                <w:kern w:val="0"/>
                <w:sz w:val="18"/>
                <w:szCs w:val="18"/>
              </w:rPr>
              <w:t>）</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lang w:val="en-US" w:eastAsia="zh-CN"/>
              </w:rPr>
              <w:t>每台加油机设置2具5kg</w:t>
            </w:r>
            <w:r>
              <w:rPr>
                <w:rFonts w:hint="eastAsia" w:ascii="Times New Roman" w:hAnsi="Times New Roman" w:cs="宋体"/>
                <w:color w:val="auto"/>
                <w:kern w:val="0"/>
                <w:sz w:val="18"/>
                <w:szCs w:val="18"/>
              </w:rPr>
              <w:t>干粉灭火器。</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p>
        </w:tc>
        <w:tc>
          <w:tcPr>
            <w:tcW w:w="6525" w:type="dxa"/>
            <w:vAlign w:val="center"/>
          </w:tcPr>
          <w:p>
            <w:pPr>
              <w:spacing w:line="320" w:lineRule="exact"/>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spacing w:val="10"/>
                <w:sz w:val="18"/>
                <w:szCs w:val="18"/>
              </w:rPr>
              <w:t>地下储罐应配置</w:t>
            </w:r>
            <w:r>
              <w:rPr>
                <w:rFonts w:ascii="Times New Roman" w:hAnsi="Times New Roman" w:cs="Times New Roman"/>
                <w:b w:val="0"/>
                <w:bCs w:val="0"/>
                <w:color w:val="auto"/>
                <w:spacing w:val="10"/>
                <w:sz w:val="18"/>
                <w:szCs w:val="18"/>
              </w:rPr>
              <w:t>1</w:t>
            </w:r>
            <w:r>
              <w:rPr>
                <w:rFonts w:hint="eastAsia" w:ascii="Times New Roman" w:hAnsi="Times New Roman" w:cs="宋体"/>
                <w:b w:val="0"/>
                <w:bCs w:val="0"/>
                <w:color w:val="auto"/>
                <w:spacing w:val="10"/>
                <w:sz w:val="18"/>
                <w:szCs w:val="18"/>
              </w:rPr>
              <w:t>台不小于</w:t>
            </w:r>
            <w:r>
              <w:rPr>
                <w:rFonts w:ascii="Times New Roman" w:hAnsi="Times New Roman" w:cs="Times New Roman"/>
                <w:b w:val="0"/>
                <w:bCs w:val="0"/>
                <w:color w:val="auto"/>
                <w:spacing w:val="10"/>
                <w:sz w:val="18"/>
                <w:szCs w:val="18"/>
              </w:rPr>
              <w:t>35kg</w:t>
            </w:r>
            <w:r>
              <w:rPr>
                <w:rFonts w:hint="eastAsia" w:ascii="Times New Roman" w:hAnsi="Times New Roman" w:cs="宋体"/>
                <w:b w:val="0"/>
                <w:bCs w:val="0"/>
                <w:color w:val="auto"/>
                <w:spacing w:val="10"/>
                <w:sz w:val="18"/>
                <w:szCs w:val="18"/>
              </w:rPr>
              <w:t>推车式干粉灭火器。当两种介质储罐之间的距离超过</w:t>
            </w:r>
            <w:r>
              <w:rPr>
                <w:rFonts w:ascii="Times New Roman" w:hAnsi="Times New Roman" w:cs="Times New Roman"/>
                <w:b w:val="0"/>
                <w:bCs w:val="0"/>
                <w:color w:val="auto"/>
                <w:spacing w:val="10"/>
                <w:sz w:val="18"/>
                <w:szCs w:val="18"/>
              </w:rPr>
              <w:t>15m</w:t>
            </w:r>
            <w:r>
              <w:rPr>
                <w:rFonts w:hint="eastAsia" w:ascii="Times New Roman" w:hAnsi="Times New Roman" w:cs="宋体"/>
                <w:b w:val="0"/>
                <w:bCs w:val="0"/>
                <w:color w:val="auto"/>
                <w:spacing w:val="10"/>
                <w:sz w:val="18"/>
                <w:szCs w:val="18"/>
              </w:rPr>
              <w:t>时，应分别配置。</w:t>
            </w:r>
            <w:r>
              <w:rPr>
                <w:rFonts w:ascii="Times New Roman" w:hAnsi="Times New Roman" w:cs="Times New Roman"/>
                <w:b w:val="0"/>
                <w:bCs w:val="0"/>
                <w:color w:val="auto"/>
                <w:kern w:val="0"/>
                <w:sz w:val="18"/>
                <w:szCs w:val="18"/>
              </w:rPr>
              <w:t>12.1.1</w:t>
            </w:r>
            <w:r>
              <w:rPr>
                <w:rFonts w:hint="eastAsia" w:ascii="Times New Roman" w:hAnsi="Times New Roman" w:cs="宋体"/>
                <w:b w:val="0"/>
                <w:bCs w:val="0"/>
                <w:color w:val="auto"/>
                <w:kern w:val="0"/>
                <w:sz w:val="18"/>
                <w:szCs w:val="18"/>
              </w:rPr>
              <w:t>（</w:t>
            </w:r>
            <w:r>
              <w:rPr>
                <w:rFonts w:ascii="Times New Roman" w:hAnsi="Times New Roman" w:cs="Times New Roman"/>
                <w:b w:val="0"/>
                <w:bCs w:val="0"/>
                <w:color w:val="auto"/>
                <w:kern w:val="0"/>
                <w:sz w:val="18"/>
                <w:szCs w:val="18"/>
              </w:rPr>
              <w:t>4</w:t>
            </w:r>
            <w:r>
              <w:rPr>
                <w:rFonts w:hint="eastAsia" w:ascii="Times New Roman" w:hAnsi="Times New Roman" w:cs="宋体"/>
                <w:b w:val="0"/>
                <w:bCs w:val="0"/>
                <w:color w:val="auto"/>
                <w:kern w:val="0"/>
                <w:sz w:val="18"/>
                <w:szCs w:val="18"/>
              </w:rPr>
              <w:t>）</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未设置</w:t>
            </w:r>
            <w:r>
              <w:rPr>
                <w:rFonts w:ascii="Times New Roman" w:hAnsi="Times New Roman" w:cs="Times New Roman"/>
                <w:color w:val="auto"/>
                <w:kern w:val="0"/>
                <w:sz w:val="18"/>
                <w:szCs w:val="18"/>
              </w:rPr>
              <w:t>35</w:t>
            </w:r>
            <w:r>
              <w:rPr>
                <w:rFonts w:hint="eastAsia" w:ascii="Times New Roman" w:hAnsi="Times New Roman" w:cs="宋体"/>
                <w:color w:val="auto"/>
                <w:kern w:val="0"/>
                <w:sz w:val="18"/>
                <w:szCs w:val="18"/>
              </w:rPr>
              <w:t>㎏推车式干粉灭火器</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lang w:val="en-US" w:eastAsia="zh-CN"/>
              </w:rPr>
              <w:t>不</w:t>
            </w: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3</w:t>
            </w:r>
          </w:p>
        </w:tc>
        <w:tc>
          <w:tcPr>
            <w:tcW w:w="6525" w:type="dxa"/>
            <w:vAlign w:val="center"/>
          </w:tcPr>
          <w:p>
            <w:pPr>
              <w:spacing w:line="320" w:lineRule="exact"/>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spacing w:val="10"/>
                <w:sz w:val="18"/>
                <w:szCs w:val="18"/>
              </w:rPr>
              <w:t>一、二级加油站应配置灭火毯</w:t>
            </w:r>
            <w:r>
              <w:rPr>
                <w:rFonts w:ascii="Times New Roman" w:hAnsi="Times New Roman" w:cs="Times New Roman"/>
                <w:b w:val="0"/>
                <w:bCs w:val="0"/>
                <w:color w:val="auto"/>
                <w:spacing w:val="10"/>
                <w:sz w:val="18"/>
                <w:szCs w:val="18"/>
              </w:rPr>
              <w:t>5</w:t>
            </w:r>
            <w:r>
              <w:rPr>
                <w:rFonts w:hint="eastAsia" w:ascii="Times New Roman" w:hAnsi="Times New Roman" w:cs="宋体"/>
                <w:b w:val="0"/>
                <w:bCs w:val="0"/>
                <w:color w:val="auto"/>
                <w:spacing w:val="10"/>
                <w:sz w:val="18"/>
                <w:szCs w:val="18"/>
              </w:rPr>
              <w:t>块、沙子</w:t>
            </w:r>
            <w:r>
              <w:rPr>
                <w:rFonts w:ascii="Times New Roman" w:hAnsi="Times New Roman" w:cs="Times New Roman"/>
                <w:b w:val="0"/>
                <w:bCs w:val="0"/>
                <w:color w:val="auto"/>
                <w:spacing w:val="10"/>
                <w:sz w:val="18"/>
                <w:szCs w:val="18"/>
              </w:rPr>
              <w:t>2m³</w:t>
            </w:r>
            <w:r>
              <w:rPr>
                <w:rFonts w:hint="eastAsia" w:ascii="Times New Roman" w:hAnsi="Times New Roman" w:cs="宋体"/>
                <w:b w:val="0"/>
                <w:bCs w:val="0"/>
                <w:color w:val="auto"/>
                <w:spacing w:val="10"/>
                <w:sz w:val="18"/>
                <w:szCs w:val="18"/>
              </w:rPr>
              <w:t>；三级加油站应配置灭火毯不少于</w:t>
            </w:r>
            <w:r>
              <w:rPr>
                <w:rFonts w:ascii="Times New Roman" w:hAnsi="Times New Roman" w:cs="Times New Roman"/>
                <w:b w:val="0"/>
                <w:bCs w:val="0"/>
                <w:color w:val="auto"/>
                <w:spacing w:val="10"/>
                <w:sz w:val="18"/>
                <w:szCs w:val="18"/>
              </w:rPr>
              <w:t>2</w:t>
            </w:r>
            <w:r>
              <w:rPr>
                <w:rFonts w:hint="eastAsia" w:ascii="Times New Roman" w:hAnsi="Times New Roman" w:cs="宋体"/>
                <w:b w:val="0"/>
                <w:bCs w:val="0"/>
                <w:color w:val="auto"/>
                <w:spacing w:val="10"/>
                <w:sz w:val="18"/>
                <w:szCs w:val="18"/>
              </w:rPr>
              <w:t>块、沙子</w:t>
            </w:r>
            <w:r>
              <w:rPr>
                <w:rFonts w:ascii="Times New Roman" w:hAnsi="Times New Roman" w:cs="Times New Roman"/>
                <w:b w:val="0"/>
                <w:bCs w:val="0"/>
                <w:color w:val="auto"/>
                <w:spacing w:val="10"/>
                <w:sz w:val="18"/>
                <w:szCs w:val="18"/>
              </w:rPr>
              <w:t>2m³</w:t>
            </w:r>
            <w:r>
              <w:rPr>
                <w:rFonts w:hint="eastAsia" w:ascii="Times New Roman" w:hAnsi="Times New Roman" w:cs="宋体"/>
                <w:b w:val="0"/>
                <w:bCs w:val="0"/>
                <w:color w:val="auto"/>
                <w:spacing w:val="10"/>
                <w:sz w:val="18"/>
                <w:szCs w:val="18"/>
              </w:rPr>
              <w:t>。加油加气合建站应按同级别的加油站配置灭火毯和沙子。</w:t>
            </w:r>
            <w:r>
              <w:rPr>
                <w:rFonts w:ascii="Times New Roman" w:hAnsi="Times New Roman" w:cs="Times New Roman"/>
                <w:b w:val="0"/>
                <w:bCs w:val="0"/>
                <w:color w:val="auto"/>
                <w:kern w:val="0"/>
                <w:sz w:val="18"/>
                <w:szCs w:val="18"/>
              </w:rPr>
              <w:t>10.1.1</w:t>
            </w:r>
            <w:r>
              <w:rPr>
                <w:rFonts w:hint="eastAsia" w:ascii="Times New Roman" w:hAnsi="Times New Roman" w:cs="宋体"/>
                <w:b w:val="0"/>
                <w:bCs w:val="0"/>
                <w:color w:val="auto"/>
                <w:kern w:val="0"/>
                <w:sz w:val="18"/>
                <w:szCs w:val="18"/>
              </w:rPr>
              <w:t>（</w:t>
            </w:r>
            <w:r>
              <w:rPr>
                <w:rFonts w:ascii="Times New Roman" w:hAnsi="Times New Roman" w:cs="Times New Roman"/>
                <w:b w:val="0"/>
                <w:bCs w:val="0"/>
                <w:color w:val="auto"/>
                <w:kern w:val="0"/>
                <w:sz w:val="18"/>
                <w:szCs w:val="18"/>
              </w:rPr>
              <w:t>6</w:t>
            </w:r>
            <w:r>
              <w:rPr>
                <w:rFonts w:hint="eastAsia" w:ascii="Times New Roman" w:hAnsi="Times New Roman" w:cs="宋体"/>
                <w:b w:val="0"/>
                <w:bCs w:val="0"/>
                <w:color w:val="auto"/>
                <w:kern w:val="0"/>
                <w:sz w:val="18"/>
                <w:szCs w:val="18"/>
              </w:rPr>
              <w:t>）</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灭火毯</w:t>
            </w:r>
            <w:r>
              <w:rPr>
                <w:rFonts w:hint="eastAsia" w:ascii="Times New Roman" w:hAnsi="Times New Roman" w:cs="Times New Roman"/>
                <w:color w:val="auto"/>
                <w:kern w:val="0"/>
                <w:sz w:val="18"/>
                <w:szCs w:val="18"/>
                <w:lang w:val="en-US" w:eastAsia="zh-CN"/>
              </w:rPr>
              <w:t>5</w:t>
            </w:r>
            <w:r>
              <w:rPr>
                <w:rFonts w:hint="eastAsia" w:ascii="Times New Roman" w:hAnsi="Times New Roman" w:cs="宋体"/>
                <w:color w:val="auto"/>
                <w:kern w:val="0"/>
                <w:sz w:val="18"/>
                <w:szCs w:val="18"/>
              </w:rPr>
              <w:t>块，沙子</w:t>
            </w:r>
            <w:r>
              <w:rPr>
                <w:rFonts w:ascii="Times New Roman" w:hAnsi="Times New Roman" w:cs="Times New Roman"/>
                <w:color w:val="auto"/>
                <w:kern w:val="0"/>
                <w:sz w:val="18"/>
                <w:szCs w:val="18"/>
              </w:rPr>
              <w:t>2m³</w:t>
            </w:r>
            <w:r>
              <w:rPr>
                <w:rFonts w:hint="eastAsia" w:ascii="Times New Roman" w:hAnsi="Times New Roman" w:cs="宋体"/>
                <w:color w:val="auto"/>
                <w:kern w:val="0"/>
                <w:sz w:val="18"/>
                <w:szCs w:val="18"/>
              </w:rPr>
              <w:t>。</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80" w:type="dxa"/>
            <w:gridSpan w:val="4"/>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给排水系统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525"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110"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737"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w:t>
            </w:r>
          </w:p>
        </w:tc>
        <w:tc>
          <w:tcPr>
            <w:tcW w:w="6525" w:type="dxa"/>
            <w:vAlign w:val="center"/>
          </w:tcPr>
          <w:p>
            <w:pPr>
              <w:spacing w:line="32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站内地面雨水可散流排出站外。当雨水由明沟排到站外时，应在围墙内设置水封装置。</w:t>
            </w:r>
            <w:r>
              <w:rPr>
                <w:rFonts w:ascii="Times New Roman" w:hAnsi="Times New Roman" w:cs="Times New Roman"/>
                <w:b/>
                <w:bCs/>
                <w:color w:val="auto"/>
                <w:kern w:val="0"/>
                <w:sz w:val="18"/>
                <w:szCs w:val="18"/>
              </w:rPr>
              <w:t>12.3.2</w:t>
            </w:r>
            <w:r>
              <w:rPr>
                <w:rFonts w:hint="eastAsia" w:ascii="Times New Roman" w:hAnsi="Times New Roman" w:cs="宋体"/>
                <w:b/>
                <w:bCs/>
                <w:color w:val="auto"/>
                <w:kern w:val="0"/>
                <w:sz w:val="18"/>
                <w:szCs w:val="18"/>
              </w:rPr>
              <w:t>（</w:t>
            </w:r>
            <w:r>
              <w:rPr>
                <w:rFonts w:ascii="Times New Roman" w:hAnsi="Times New Roman" w:cs="Times New Roman"/>
                <w:b/>
                <w:bCs/>
                <w:color w:val="auto"/>
                <w:kern w:val="0"/>
                <w:sz w:val="18"/>
                <w:szCs w:val="18"/>
              </w:rPr>
              <w:t>1</w:t>
            </w:r>
            <w:r>
              <w:rPr>
                <w:rFonts w:hint="eastAsia" w:ascii="Times New Roman" w:hAnsi="Times New Roman" w:cs="宋体"/>
                <w:b/>
                <w:bCs/>
                <w:color w:val="auto"/>
                <w:kern w:val="0"/>
                <w:sz w:val="18"/>
                <w:szCs w:val="18"/>
              </w:rPr>
              <w:t>）</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站内雨水可散流到站外</w:t>
            </w:r>
          </w:p>
        </w:tc>
        <w:tc>
          <w:tcPr>
            <w:tcW w:w="737" w:type="dxa"/>
            <w:vAlign w:val="center"/>
          </w:tcPr>
          <w:p>
            <w:pPr>
              <w:autoSpaceDE w:val="0"/>
              <w:autoSpaceDN w:val="0"/>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p>
        </w:tc>
        <w:tc>
          <w:tcPr>
            <w:tcW w:w="6525" w:type="dxa"/>
            <w:vAlign w:val="center"/>
          </w:tcPr>
          <w:p>
            <w:pPr>
              <w:spacing w:line="32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加油站排出建筑物或围墙的污水，在建筑物墙外或围墙内应分别设水封井，水封井的水封高度不应小于</w:t>
            </w:r>
            <w:r>
              <w:rPr>
                <w:rFonts w:ascii="Times New Roman" w:hAnsi="Times New Roman" w:cs="Times New Roman"/>
                <w:color w:val="auto"/>
                <w:spacing w:val="10"/>
                <w:sz w:val="18"/>
                <w:szCs w:val="18"/>
              </w:rPr>
              <w:t>0.25m</w:t>
            </w:r>
            <w:r>
              <w:rPr>
                <w:rFonts w:hint="eastAsia" w:ascii="Times New Roman" w:hAnsi="Times New Roman" w:cs="宋体"/>
                <w:color w:val="auto"/>
                <w:spacing w:val="10"/>
                <w:sz w:val="18"/>
                <w:szCs w:val="18"/>
              </w:rPr>
              <w:t>；水封井应设沉泥段，沉泥段高度不应小于</w:t>
            </w:r>
            <w:r>
              <w:rPr>
                <w:rFonts w:ascii="Times New Roman" w:hAnsi="Times New Roman" w:cs="Times New Roman"/>
                <w:color w:val="auto"/>
                <w:spacing w:val="10"/>
                <w:sz w:val="18"/>
                <w:szCs w:val="18"/>
              </w:rPr>
              <w:t>0.25m</w:t>
            </w:r>
            <w:r>
              <w:rPr>
                <w:rFonts w:hint="eastAsia" w:ascii="Times New Roman" w:hAnsi="Times New Roman" w:cs="宋体"/>
                <w:color w:val="auto"/>
                <w:spacing w:val="10"/>
                <w:sz w:val="18"/>
                <w:szCs w:val="18"/>
              </w:rPr>
              <w:t>。</w:t>
            </w:r>
            <w:r>
              <w:rPr>
                <w:rFonts w:ascii="Times New Roman" w:hAnsi="Times New Roman" w:cs="Times New Roman"/>
                <w:b/>
                <w:bCs/>
                <w:color w:val="auto"/>
                <w:kern w:val="0"/>
                <w:sz w:val="18"/>
                <w:szCs w:val="18"/>
              </w:rPr>
              <w:t>12.3.2</w:t>
            </w:r>
            <w:r>
              <w:rPr>
                <w:rFonts w:hint="eastAsia" w:ascii="Times New Roman" w:hAnsi="Times New Roman" w:cs="宋体"/>
                <w:b/>
                <w:bCs/>
                <w:color w:val="auto"/>
                <w:kern w:val="0"/>
                <w:sz w:val="18"/>
                <w:szCs w:val="18"/>
              </w:rPr>
              <w:t>（</w:t>
            </w:r>
            <w:r>
              <w:rPr>
                <w:rFonts w:ascii="Times New Roman" w:hAnsi="Times New Roman" w:cs="Times New Roman"/>
                <w:b/>
                <w:bCs/>
                <w:color w:val="auto"/>
                <w:kern w:val="0"/>
                <w:sz w:val="18"/>
                <w:szCs w:val="18"/>
              </w:rPr>
              <w:t>2</w:t>
            </w:r>
            <w:r>
              <w:rPr>
                <w:rFonts w:hint="eastAsia" w:ascii="Times New Roman" w:hAnsi="Times New Roman" w:cs="宋体"/>
                <w:b/>
                <w:bCs/>
                <w:color w:val="auto"/>
                <w:kern w:val="0"/>
                <w:sz w:val="18"/>
                <w:szCs w:val="18"/>
              </w:rPr>
              <w:t>）</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加油站设置水封井。</w:t>
            </w:r>
          </w:p>
        </w:tc>
        <w:tc>
          <w:tcPr>
            <w:tcW w:w="737" w:type="dxa"/>
            <w:vAlign w:val="center"/>
          </w:tcPr>
          <w:p>
            <w:pPr>
              <w:autoSpaceDE w:val="0"/>
              <w:autoSpaceDN w:val="0"/>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708" w:type="dxa"/>
            <w:vAlign w:val="center"/>
          </w:tcPr>
          <w:p>
            <w:pPr>
              <w:autoSpaceDE w:val="0"/>
              <w:autoSpaceDN w:val="0"/>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3</w:t>
            </w:r>
          </w:p>
        </w:tc>
        <w:tc>
          <w:tcPr>
            <w:tcW w:w="6525" w:type="dxa"/>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清洗油罐的污水应集中收集处理，不应直接进入排水管道。</w:t>
            </w:r>
            <w:r>
              <w:rPr>
                <w:rFonts w:ascii="Times New Roman" w:hAnsi="Times New Roman" w:cs="Times New Roman"/>
                <w:b/>
                <w:bCs/>
                <w:color w:val="auto"/>
                <w:kern w:val="0"/>
                <w:sz w:val="18"/>
                <w:szCs w:val="18"/>
              </w:rPr>
              <w:t>12.3.2</w:t>
            </w:r>
            <w:r>
              <w:rPr>
                <w:rFonts w:hint="eastAsia" w:ascii="Times New Roman" w:hAnsi="Times New Roman" w:cs="宋体"/>
                <w:b/>
                <w:bCs/>
                <w:color w:val="auto"/>
                <w:kern w:val="0"/>
                <w:sz w:val="18"/>
                <w:szCs w:val="18"/>
              </w:rPr>
              <w:t>（</w:t>
            </w:r>
            <w:r>
              <w:rPr>
                <w:rFonts w:ascii="Times New Roman" w:hAnsi="Times New Roman" w:cs="Times New Roman"/>
                <w:b/>
                <w:bCs/>
                <w:color w:val="auto"/>
                <w:kern w:val="0"/>
                <w:sz w:val="18"/>
                <w:szCs w:val="18"/>
              </w:rPr>
              <w:t>3</w:t>
            </w:r>
            <w:r>
              <w:rPr>
                <w:rFonts w:hint="eastAsia" w:ascii="Times New Roman" w:hAnsi="Times New Roman" w:cs="宋体"/>
                <w:b/>
                <w:bCs/>
                <w:color w:val="auto"/>
                <w:kern w:val="0"/>
                <w:sz w:val="18"/>
                <w:szCs w:val="18"/>
              </w:rPr>
              <w:t>）</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集中处理</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4</w:t>
            </w:r>
          </w:p>
        </w:tc>
        <w:tc>
          <w:tcPr>
            <w:tcW w:w="6525" w:type="dxa"/>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排出站外的污水应符合国家现行有有关污水排放标准的规定。</w:t>
            </w:r>
            <w:r>
              <w:rPr>
                <w:rFonts w:ascii="Times New Roman" w:hAnsi="Times New Roman" w:cs="Times New Roman"/>
                <w:b/>
                <w:bCs/>
                <w:color w:val="auto"/>
                <w:kern w:val="0"/>
                <w:sz w:val="18"/>
                <w:szCs w:val="18"/>
              </w:rPr>
              <w:t>12.3.2</w:t>
            </w:r>
            <w:r>
              <w:rPr>
                <w:rFonts w:hint="eastAsia" w:ascii="Times New Roman" w:hAnsi="Times New Roman" w:cs="宋体"/>
                <w:b/>
                <w:bCs/>
                <w:color w:val="auto"/>
                <w:kern w:val="0"/>
                <w:sz w:val="18"/>
                <w:szCs w:val="18"/>
              </w:rPr>
              <w:t>（</w:t>
            </w:r>
            <w:r>
              <w:rPr>
                <w:rFonts w:ascii="Times New Roman" w:hAnsi="Times New Roman" w:cs="Times New Roman"/>
                <w:b/>
                <w:bCs/>
                <w:color w:val="auto"/>
                <w:kern w:val="0"/>
                <w:sz w:val="18"/>
                <w:szCs w:val="18"/>
              </w:rPr>
              <w:t>4</w:t>
            </w:r>
            <w:r>
              <w:rPr>
                <w:rFonts w:hint="eastAsia" w:ascii="Times New Roman" w:hAnsi="Times New Roman" w:cs="宋体"/>
                <w:b/>
                <w:bCs/>
                <w:color w:val="auto"/>
                <w:kern w:val="0"/>
                <w:sz w:val="18"/>
                <w:szCs w:val="18"/>
              </w:rPr>
              <w:t>）</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符合要求</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5</w:t>
            </w:r>
          </w:p>
        </w:tc>
        <w:tc>
          <w:tcPr>
            <w:tcW w:w="6525" w:type="dxa"/>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加油站不应采用暗沟排水。</w:t>
            </w:r>
            <w:r>
              <w:rPr>
                <w:rFonts w:ascii="Times New Roman" w:hAnsi="Times New Roman" w:cs="Times New Roman"/>
                <w:b/>
                <w:bCs/>
                <w:color w:val="auto"/>
                <w:kern w:val="0"/>
                <w:sz w:val="18"/>
                <w:szCs w:val="18"/>
              </w:rPr>
              <w:t>12.3.2</w:t>
            </w:r>
            <w:r>
              <w:rPr>
                <w:rFonts w:hint="eastAsia" w:ascii="Times New Roman" w:hAnsi="Times New Roman" w:cs="宋体"/>
                <w:b/>
                <w:bCs/>
                <w:color w:val="auto"/>
                <w:kern w:val="0"/>
                <w:sz w:val="18"/>
                <w:szCs w:val="18"/>
              </w:rPr>
              <w:t>（</w:t>
            </w:r>
            <w:r>
              <w:rPr>
                <w:rFonts w:ascii="Times New Roman" w:hAnsi="Times New Roman" w:cs="Times New Roman"/>
                <w:b/>
                <w:bCs/>
                <w:color w:val="auto"/>
                <w:kern w:val="0"/>
                <w:sz w:val="18"/>
                <w:szCs w:val="18"/>
              </w:rPr>
              <w:t>5</w:t>
            </w:r>
            <w:r>
              <w:rPr>
                <w:rFonts w:hint="eastAsia" w:ascii="Times New Roman" w:hAnsi="Times New Roman" w:cs="宋体"/>
                <w:b/>
                <w:bCs/>
                <w:color w:val="auto"/>
                <w:kern w:val="0"/>
                <w:sz w:val="18"/>
                <w:szCs w:val="18"/>
              </w:rPr>
              <w:t>）</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散流</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6</w:t>
            </w:r>
          </w:p>
        </w:tc>
        <w:tc>
          <w:tcPr>
            <w:tcW w:w="6525" w:type="dxa"/>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排水井、雨水口和化粪池不应设在作业区和可燃液体出现泄露事故时可能流经的部位。</w:t>
            </w:r>
            <w:r>
              <w:rPr>
                <w:rFonts w:ascii="Times New Roman" w:hAnsi="Times New Roman" w:cs="Times New Roman"/>
                <w:color w:val="auto"/>
                <w:kern w:val="0"/>
                <w:sz w:val="18"/>
                <w:szCs w:val="18"/>
              </w:rPr>
              <w:t>12.3.3</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排水井、雨水口和化粪池设在作业区外。</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bl>
    <w:p>
      <w:pPr>
        <w:pStyle w:val="4"/>
        <w:rPr>
          <w:color w:val="auto"/>
        </w:rPr>
      </w:pPr>
      <w:bookmarkStart w:id="153" w:name="_Toc17123"/>
      <w:bookmarkStart w:id="154" w:name="_Toc11107"/>
      <w:r>
        <w:rPr>
          <w:color w:val="auto"/>
        </w:rPr>
        <w:t xml:space="preserve">6.5 </w:t>
      </w:r>
      <w:r>
        <w:rPr>
          <w:rFonts w:hint="eastAsia" w:cs="宋体"/>
          <w:color w:val="auto"/>
        </w:rPr>
        <w:t>加油站电气、报警和紧急切断系统符合性评价</w:t>
      </w:r>
      <w:bookmarkEnd w:id="153"/>
      <w:bookmarkEnd w:id="154"/>
    </w:p>
    <w:p>
      <w:pPr>
        <w:jc w:val="center"/>
        <w:rPr>
          <w:rFonts w:ascii="Times New Roman" w:hAnsi="Times New Roman" w:cs="Times New Roman"/>
          <w:b/>
          <w:bCs/>
          <w:color w:val="auto"/>
          <w:lang w:val="zh-CN"/>
        </w:rPr>
      </w:pPr>
      <w:r>
        <w:rPr>
          <w:rFonts w:hint="eastAsia" w:ascii="Times New Roman" w:hAnsi="Times New Roman" w:cs="宋体"/>
          <w:b/>
          <w:bCs/>
          <w:color w:val="auto"/>
          <w:lang w:val="zh-CN"/>
        </w:rPr>
        <w:t>表</w:t>
      </w:r>
      <w:r>
        <w:rPr>
          <w:rFonts w:ascii="Times New Roman" w:hAnsi="Times New Roman" w:cs="Times New Roman"/>
          <w:b/>
          <w:bCs/>
          <w:color w:val="auto"/>
          <w:lang w:val="zh-CN"/>
        </w:rPr>
        <w:t>6-</w:t>
      </w:r>
      <w:r>
        <w:rPr>
          <w:rFonts w:ascii="Times New Roman" w:hAnsi="Times New Roman" w:cs="Times New Roman"/>
          <w:b/>
          <w:bCs/>
          <w:color w:val="auto"/>
        </w:rPr>
        <w:t>8</w:t>
      </w:r>
      <w:r>
        <w:rPr>
          <w:rFonts w:ascii="Times New Roman" w:hAnsi="Times New Roman" w:cs="Times New Roman"/>
          <w:b/>
          <w:bCs/>
          <w:color w:val="auto"/>
          <w:lang w:val="zh-CN"/>
        </w:rPr>
        <w:t xml:space="preserve">  </w:t>
      </w:r>
      <w:r>
        <w:rPr>
          <w:rFonts w:hint="eastAsia" w:ascii="Times New Roman" w:hAnsi="Times New Roman" w:cs="宋体"/>
          <w:b/>
          <w:bCs/>
          <w:color w:val="auto"/>
          <w:lang w:val="zh-CN"/>
        </w:rPr>
        <w:t>加油站电气、报警和紧急切断系统检查表</w:t>
      </w:r>
    </w:p>
    <w:tbl>
      <w:tblPr>
        <w:tblStyle w:val="20"/>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6525"/>
        <w:gridCol w:w="1110"/>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080" w:type="dxa"/>
            <w:gridSpan w:val="4"/>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供配电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525"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110" w:type="dxa"/>
            <w:vAlign w:val="center"/>
          </w:tcPr>
          <w:p>
            <w:pPr>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737" w:type="dxa"/>
            <w:vAlign w:val="center"/>
          </w:tcPr>
          <w:p>
            <w:pPr>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w:t>
            </w:r>
          </w:p>
        </w:tc>
        <w:tc>
          <w:tcPr>
            <w:tcW w:w="6525" w:type="dxa"/>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加油站的供电负荷等级可为三级，信息系统应设不间断供电电源。</w:t>
            </w:r>
            <w:r>
              <w:rPr>
                <w:rFonts w:ascii="Times New Roman" w:hAnsi="Times New Roman" w:cs="Times New Roman"/>
                <w:color w:val="auto"/>
                <w:kern w:val="0"/>
                <w:sz w:val="18"/>
                <w:szCs w:val="18"/>
              </w:rPr>
              <w:t>13.1.1</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设置</w:t>
            </w:r>
            <w:r>
              <w:rPr>
                <w:rFonts w:ascii="Times New Roman" w:hAnsi="Times New Roman" w:cs="Times New Roman"/>
                <w:color w:val="auto"/>
                <w:kern w:val="0"/>
                <w:sz w:val="18"/>
                <w:szCs w:val="18"/>
              </w:rPr>
              <w:t>UPS</w:t>
            </w:r>
            <w:r>
              <w:rPr>
                <w:rFonts w:hint="eastAsia" w:ascii="Times New Roman" w:hAnsi="Times New Roman" w:cs="宋体"/>
                <w:color w:val="auto"/>
                <w:kern w:val="0"/>
                <w:sz w:val="18"/>
                <w:szCs w:val="18"/>
              </w:rPr>
              <w:t>电源</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p>
        </w:tc>
        <w:tc>
          <w:tcPr>
            <w:tcW w:w="6525" w:type="dxa"/>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加油站的供电电源宜采用电压为</w:t>
            </w:r>
            <w:r>
              <w:rPr>
                <w:rFonts w:ascii="Times New Roman" w:hAnsi="Times New Roman" w:cs="Times New Roman"/>
                <w:color w:val="auto"/>
                <w:kern w:val="0"/>
                <w:sz w:val="18"/>
                <w:szCs w:val="18"/>
              </w:rPr>
              <w:t>380/220V</w:t>
            </w:r>
            <w:r>
              <w:rPr>
                <w:rFonts w:hint="eastAsia" w:ascii="Times New Roman" w:hAnsi="Times New Roman" w:cs="宋体"/>
                <w:color w:val="auto"/>
                <w:kern w:val="0"/>
                <w:sz w:val="18"/>
                <w:szCs w:val="18"/>
              </w:rPr>
              <w:t>的外接电源。</w:t>
            </w:r>
            <w:r>
              <w:rPr>
                <w:rFonts w:ascii="Times New Roman" w:hAnsi="Times New Roman" w:cs="Times New Roman"/>
                <w:color w:val="auto"/>
                <w:kern w:val="0"/>
                <w:sz w:val="18"/>
                <w:szCs w:val="18"/>
              </w:rPr>
              <w:t>13.1.2</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380/220V</w:t>
            </w:r>
            <w:r>
              <w:rPr>
                <w:rFonts w:hint="eastAsia" w:ascii="Times New Roman" w:hAnsi="Times New Roman" w:cs="宋体"/>
                <w:color w:val="auto"/>
                <w:kern w:val="0"/>
                <w:sz w:val="18"/>
                <w:szCs w:val="18"/>
              </w:rPr>
              <w:t>外接电源</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3</w:t>
            </w:r>
          </w:p>
        </w:tc>
        <w:tc>
          <w:tcPr>
            <w:tcW w:w="6525" w:type="dxa"/>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加油站的消防泵房、罩棚、营业室等处，均应设事故照明，连续供电时间不应少于</w:t>
            </w:r>
            <w:r>
              <w:rPr>
                <w:rFonts w:ascii="Times New Roman" w:hAnsi="Times New Roman" w:cs="Times New Roman"/>
                <w:color w:val="auto"/>
                <w:kern w:val="0"/>
                <w:sz w:val="18"/>
                <w:szCs w:val="18"/>
              </w:rPr>
              <w:t>90min</w:t>
            </w:r>
            <w:r>
              <w:rPr>
                <w:rFonts w:hint="eastAsia" w:ascii="Times New Roman" w:hAnsi="Times New Roman" w:cs="宋体"/>
                <w:color w:val="auto"/>
                <w:kern w:val="0"/>
                <w:sz w:val="18"/>
                <w:szCs w:val="18"/>
              </w:rPr>
              <w:t>。</w:t>
            </w:r>
            <w:r>
              <w:rPr>
                <w:rFonts w:ascii="Times New Roman" w:hAnsi="Times New Roman" w:cs="Times New Roman"/>
                <w:color w:val="auto"/>
                <w:kern w:val="0"/>
                <w:sz w:val="18"/>
                <w:szCs w:val="18"/>
              </w:rPr>
              <w:t>13.1.3</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有应急照明</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5</w:t>
            </w:r>
          </w:p>
        </w:tc>
        <w:tc>
          <w:tcPr>
            <w:tcW w:w="6525" w:type="dxa"/>
            <w:vAlign w:val="center"/>
          </w:tcPr>
          <w:p>
            <w:pPr>
              <w:autoSpaceDE w:val="0"/>
              <w:autoSpaceDN w:val="0"/>
              <w:spacing w:line="320" w:lineRule="exact"/>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加油站的电力线路宜采用直埋或电缆穿管敷设。电缆穿越行车道部分，应穿钢管保护。</w:t>
            </w:r>
            <w:r>
              <w:rPr>
                <w:rFonts w:ascii="Times New Roman" w:hAnsi="Times New Roman" w:cs="Times New Roman"/>
                <w:b w:val="0"/>
                <w:bCs w:val="0"/>
                <w:color w:val="auto"/>
                <w:kern w:val="0"/>
                <w:sz w:val="18"/>
                <w:szCs w:val="18"/>
              </w:rPr>
              <w:t>13.1.5</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该站的电力线路采用电缆穿管埋地敷设</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6</w:t>
            </w:r>
          </w:p>
        </w:tc>
        <w:tc>
          <w:tcPr>
            <w:tcW w:w="6525" w:type="dxa"/>
            <w:vAlign w:val="center"/>
          </w:tcPr>
          <w:p>
            <w:pPr>
              <w:autoSpaceDE w:val="0"/>
              <w:autoSpaceDN w:val="0"/>
              <w:spacing w:line="320" w:lineRule="exact"/>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kern w:val="0"/>
                <w:sz w:val="18"/>
                <w:szCs w:val="18"/>
              </w:rPr>
              <w:t>当采用电缆沟敷设电缆时，加油作业区内的电缆沟内必须充沙填实。电缆不得与氢气、油品、</w:t>
            </w:r>
            <w:r>
              <w:rPr>
                <w:rFonts w:ascii="Times New Roman" w:hAnsi="Times New Roman" w:cs="Times New Roman"/>
                <w:b w:val="0"/>
                <w:bCs w:val="0"/>
                <w:color w:val="auto"/>
                <w:kern w:val="0"/>
                <w:sz w:val="18"/>
                <w:szCs w:val="18"/>
              </w:rPr>
              <w:t>LPG</w:t>
            </w:r>
            <w:r>
              <w:rPr>
                <w:rFonts w:hint="eastAsia" w:ascii="Times New Roman" w:hAnsi="Times New Roman" w:cs="宋体"/>
                <w:b w:val="0"/>
                <w:bCs w:val="0"/>
                <w:color w:val="auto"/>
                <w:kern w:val="0"/>
                <w:sz w:val="18"/>
                <w:szCs w:val="18"/>
              </w:rPr>
              <w:t>、</w:t>
            </w:r>
            <w:r>
              <w:rPr>
                <w:rFonts w:ascii="Times New Roman" w:hAnsi="Times New Roman" w:cs="Times New Roman"/>
                <w:b w:val="0"/>
                <w:bCs w:val="0"/>
                <w:color w:val="auto"/>
                <w:kern w:val="0"/>
                <w:sz w:val="18"/>
                <w:szCs w:val="18"/>
              </w:rPr>
              <w:t>LNG</w:t>
            </w:r>
            <w:r>
              <w:rPr>
                <w:rFonts w:hint="eastAsia" w:ascii="Times New Roman" w:hAnsi="Times New Roman" w:cs="宋体"/>
                <w:b w:val="0"/>
                <w:bCs w:val="0"/>
                <w:color w:val="auto"/>
                <w:kern w:val="0"/>
                <w:sz w:val="18"/>
                <w:szCs w:val="18"/>
              </w:rPr>
              <w:t>和</w:t>
            </w:r>
            <w:r>
              <w:rPr>
                <w:rFonts w:ascii="Times New Roman" w:hAnsi="Times New Roman" w:cs="Times New Roman"/>
                <w:b w:val="0"/>
                <w:bCs w:val="0"/>
                <w:color w:val="auto"/>
                <w:kern w:val="0"/>
                <w:sz w:val="18"/>
                <w:szCs w:val="18"/>
              </w:rPr>
              <w:t>CNG</w:t>
            </w:r>
            <w:r>
              <w:rPr>
                <w:rFonts w:hint="eastAsia" w:ascii="Times New Roman" w:hAnsi="Times New Roman" w:cs="宋体"/>
                <w:b w:val="0"/>
                <w:bCs w:val="0"/>
                <w:color w:val="auto"/>
                <w:kern w:val="0"/>
                <w:sz w:val="18"/>
                <w:szCs w:val="18"/>
              </w:rPr>
              <w:t>管道以及热力管道敷设在同一沟内。</w:t>
            </w:r>
            <w:r>
              <w:rPr>
                <w:rFonts w:ascii="Times New Roman" w:hAnsi="Times New Roman" w:cs="Times New Roman"/>
                <w:b w:val="0"/>
                <w:bCs w:val="0"/>
                <w:color w:val="auto"/>
                <w:kern w:val="0"/>
                <w:sz w:val="18"/>
                <w:szCs w:val="18"/>
              </w:rPr>
              <w:t>13.1.6</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该站的电力线路采用电缆穿管埋地敷设</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7</w:t>
            </w:r>
          </w:p>
        </w:tc>
        <w:tc>
          <w:tcPr>
            <w:tcW w:w="6525" w:type="dxa"/>
            <w:vAlign w:val="center"/>
          </w:tcPr>
          <w:p>
            <w:pPr>
              <w:spacing w:line="320" w:lineRule="exact"/>
              <w:rPr>
                <w:rFonts w:ascii="Times New Roman" w:hAnsi="Times New Roman" w:cs="Times New Roman"/>
                <w:b/>
                <w:bCs/>
                <w:color w:val="auto"/>
                <w:kern w:val="0"/>
                <w:sz w:val="18"/>
                <w:szCs w:val="18"/>
              </w:rPr>
            </w:pPr>
            <w:r>
              <w:rPr>
                <w:rFonts w:hint="eastAsia" w:ascii="Times New Roman" w:hAnsi="Times New Roman" w:cs="宋体"/>
                <w:color w:val="auto"/>
                <w:spacing w:val="10"/>
                <w:position w:val="-2"/>
                <w:sz w:val="18"/>
                <w:szCs w:val="18"/>
              </w:rPr>
              <w:t>爆炸危险区域内的电气设备选型、安装、</w:t>
            </w:r>
            <w:r>
              <w:rPr>
                <w:rFonts w:hint="eastAsia" w:ascii="Times New Roman" w:hAnsi="Times New Roman" w:cs="宋体"/>
                <w:color w:val="auto"/>
                <w:spacing w:val="10"/>
                <w:sz w:val="18"/>
                <w:szCs w:val="18"/>
              </w:rPr>
              <w:t>电力线路敷设应符合现行国家标准《爆炸危险环境电力装置设计规范》</w:t>
            </w:r>
            <w:r>
              <w:rPr>
                <w:rFonts w:ascii="Times New Roman" w:hAnsi="Times New Roman" w:cs="Times New Roman"/>
                <w:color w:val="auto"/>
                <w:spacing w:val="10"/>
                <w:sz w:val="18"/>
                <w:szCs w:val="18"/>
              </w:rPr>
              <w:t>GB50058</w:t>
            </w:r>
            <w:r>
              <w:rPr>
                <w:rFonts w:hint="eastAsia" w:ascii="Times New Roman" w:hAnsi="Times New Roman" w:cs="宋体"/>
                <w:color w:val="auto"/>
                <w:spacing w:val="10"/>
                <w:sz w:val="18"/>
                <w:szCs w:val="18"/>
              </w:rPr>
              <w:t>的有关规定。</w:t>
            </w:r>
            <w:r>
              <w:rPr>
                <w:rFonts w:ascii="Times New Roman" w:hAnsi="Times New Roman" w:cs="Times New Roman"/>
                <w:b/>
                <w:bCs/>
                <w:color w:val="auto"/>
                <w:kern w:val="0"/>
                <w:sz w:val="18"/>
                <w:szCs w:val="18"/>
              </w:rPr>
              <w:t>13.1.7</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该站的加油机采用防爆加油机，其他电力设备符合要求</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8</w:t>
            </w:r>
          </w:p>
        </w:tc>
        <w:tc>
          <w:tcPr>
            <w:tcW w:w="6525" w:type="dxa"/>
            <w:vAlign w:val="center"/>
          </w:tcPr>
          <w:p>
            <w:pPr>
              <w:spacing w:line="32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加油站内爆炸危险区域以外的照明灯具可选用非防爆型。罩棚下处于非爆炸危险区域的灯具应选用防护等级不低于</w:t>
            </w:r>
            <w:r>
              <w:rPr>
                <w:rFonts w:ascii="Times New Roman" w:hAnsi="Times New Roman" w:cs="Times New Roman"/>
                <w:color w:val="auto"/>
                <w:spacing w:val="10"/>
                <w:sz w:val="18"/>
                <w:szCs w:val="18"/>
              </w:rPr>
              <w:t>IP44</w:t>
            </w:r>
            <w:r>
              <w:rPr>
                <w:rFonts w:hint="eastAsia" w:ascii="Times New Roman" w:hAnsi="Times New Roman" w:cs="宋体"/>
                <w:color w:val="auto"/>
                <w:spacing w:val="10"/>
                <w:sz w:val="18"/>
                <w:szCs w:val="18"/>
              </w:rPr>
              <w:t>级的照明灯具。</w:t>
            </w:r>
            <w:r>
              <w:rPr>
                <w:rFonts w:ascii="Times New Roman" w:hAnsi="Times New Roman" w:cs="Times New Roman"/>
                <w:color w:val="auto"/>
                <w:kern w:val="0"/>
                <w:sz w:val="18"/>
                <w:szCs w:val="18"/>
              </w:rPr>
              <w:t>13.1.8</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隔爆灯</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9080" w:type="dxa"/>
            <w:gridSpan w:val="4"/>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防雷、防静电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525"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110" w:type="dxa"/>
            <w:vAlign w:val="center"/>
          </w:tcPr>
          <w:p>
            <w:pPr>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737" w:type="dxa"/>
            <w:vAlign w:val="center"/>
          </w:tcPr>
          <w:p>
            <w:pPr>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w:t>
            </w:r>
          </w:p>
        </w:tc>
        <w:tc>
          <w:tcPr>
            <w:tcW w:w="6525" w:type="dxa"/>
            <w:vAlign w:val="center"/>
          </w:tcPr>
          <w:p>
            <w:pPr>
              <w:autoSpaceDE w:val="0"/>
              <w:autoSpaceDN w:val="0"/>
              <w:spacing w:line="24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钢制油罐、</w:t>
            </w:r>
            <w:r>
              <w:rPr>
                <w:rFonts w:ascii="Times New Roman" w:hAnsi="Times New Roman" w:cs="Times New Roman"/>
                <w:color w:val="auto"/>
                <w:spacing w:val="10"/>
                <w:sz w:val="18"/>
                <w:szCs w:val="18"/>
              </w:rPr>
              <w:t>LPG</w:t>
            </w:r>
            <w:r>
              <w:rPr>
                <w:rFonts w:hint="eastAsia" w:ascii="Times New Roman" w:hAnsi="Times New Roman" w:cs="宋体"/>
                <w:color w:val="auto"/>
                <w:spacing w:val="10"/>
                <w:sz w:val="18"/>
                <w:szCs w:val="18"/>
              </w:rPr>
              <w:t>储罐、</w:t>
            </w:r>
            <w:r>
              <w:rPr>
                <w:rFonts w:ascii="Times New Roman" w:hAnsi="Times New Roman" w:cs="Times New Roman"/>
                <w:color w:val="auto"/>
                <w:spacing w:val="10"/>
                <w:sz w:val="18"/>
                <w:szCs w:val="18"/>
              </w:rPr>
              <w:t>LNG</w:t>
            </w:r>
            <w:r>
              <w:rPr>
                <w:rFonts w:hint="eastAsia" w:ascii="Times New Roman" w:hAnsi="Times New Roman" w:cs="宋体"/>
                <w:color w:val="auto"/>
                <w:spacing w:val="10"/>
                <w:sz w:val="18"/>
                <w:szCs w:val="18"/>
              </w:rPr>
              <w:t>储罐、</w:t>
            </w:r>
            <w:r>
              <w:rPr>
                <w:rFonts w:ascii="Times New Roman" w:hAnsi="Times New Roman" w:cs="Times New Roman"/>
                <w:color w:val="auto"/>
                <w:spacing w:val="10"/>
                <w:sz w:val="18"/>
                <w:szCs w:val="18"/>
              </w:rPr>
              <w:t>CNG</w:t>
            </w:r>
            <w:r>
              <w:rPr>
                <w:rFonts w:hint="eastAsia" w:ascii="Times New Roman" w:hAnsi="Times New Roman" w:cs="宋体"/>
                <w:color w:val="auto"/>
                <w:spacing w:val="10"/>
                <w:sz w:val="18"/>
                <w:szCs w:val="18"/>
              </w:rPr>
              <w:t>储气瓶（组）、储氢容器和液氢储罐必须进行防雷接地，接地点不应少于两处。</w:t>
            </w:r>
            <w:r>
              <w:rPr>
                <w:rFonts w:ascii="Times New Roman" w:hAnsi="Times New Roman" w:cs="Times New Roman"/>
                <w:color w:val="auto"/>
                <w:spacing w:val="10"/>
                <w:sz w:val="18"/>
                <w:szCs w:val="18"/>
              </w:rPr>
              <w:t>CNG</w:t>
            </w:r>
            <w:r>
              <w:rPr>
                <w:rFonts w:hint="eastAsia" w:ascii="Times New Roman" w:hAnsi="Times New Roman" w:cs="宋体"/>
                <w:color w:val="auto"/>
                <w:spacing w:val="10"/>
                <w:sz w:val="18"/>
                <w:szCs w:val="18"/>
              </w:rPr>
              <w:t>和氢气的长管拖车或管束式集装箱停放场地、卸车点车辆停放场地应设两处临时用固定防雷接地装置。</w:t>
            </w:r>
            <w:r>
              <w:rPr>
                <w:rFonts w:hint="eastAsia" w:ascii="Times New Roman" w:hAnsi="Times New Roman" w:cs="宋体"/>
                <w:color w:val="auto"/>
                <w:kern w:val="0"/>
                <w:sz w:val="18"/>
                <w:szCs w:val="18"/>
              </w:rPr>
              <w:t>（</w:t>
            </w:r>
            <w:r>
              <w:rPr>
                <w:rFonts w:ascii="Times New Roman" w:hAnsi="Times New Roman" w:cs="Times New Roman"/>
                <w:color w:val="auto"/>
                <w:kern w:val="0"/>
                <w:sz w:val="18"/>
                <w:szCs w:val="18"/>
              </w:rPr>
              <w:t>13.2.1</w:t>
            </w:r>
            <w:r>
              <w:rPr>
                <w:rFonts w:hint="eastAsia" w:ascii="Times New Roman" w:hAnsi="Times New Roman" w:cs="宋体"/>
                <w:color w:val="auto"/>
                <w:kern w:val="0"/>
                <w:sz w:val="18"/>
                <w:szCs w:val="18"/>
              </w:rPr>
              <w:t>）。</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两处接地</w:t>
            </w:r>
          </w:p>
        </w:tc>
        <w:tc>
          <w:tcPr>
            <w:tcW w:w="737" w:type="dxa"/>
            <w:vAlign w:val="center"/>
          </w:tcPr>
          <w:p>
            <w:pPr>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p>
        </w:tc>
        <w:tc>
          <w:tcPr>
            <w:tcW w:w="6525" w:type="dxa"/>
            <w:vAlign w:val="center"/>
          </w:tcPr>
          <w:p>
            <w:pPr>
              <w:spacing w:line="32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汽车加油加气加氢站的防雷接地、防静电接地、电气设备的工作接地、保护接地及信息系统的接地等宜共用接地装置，接地电阻不应大于</w:t>
            </w:r>
            <w:r>
              <w:rPr>
                <w:rFonts w:ascii="Times New Roman" w:hAnsi="Times New Roman" w:cs="Times New Roman"/>
                <w:color w:val="auto"/>
                <w:spacing w:val="10"/>
                <w:sz w:val="18"/>
                <w:szCs w:val="18"/>
              </w:rPr>
              <w:t>4</w:t>
            </w:r>
            <w:r>
              <w:rPr>
                <w:rFonts w:hint="eastAsia" w:ascii="Times New Roman" w:hAnsi="Times New Roman" w:cs="宋体"/>
                <w:color w:val="auto"/>
                <w:spacing w:val="10"/>
                <w:sz w:val="18"/>
                <w:szCs w:val="18"/>
              </w:rPr>
              <w:t>Ω。</w:t>
            </w:r>
            <w:r>
              <w:rPr>
                <w:rFonts w:ascii="Times New Roman" w:hAnsi="Times New Roman" w:cs="Times New Roman"/>
                <w:color w:val="auto"/>
                <w:kern w:val="0"/>
                <w:sz w:val="18"/>
                <w:szCs w:val="18"/>
              </w:rPr>
              <w:t>13.2.2</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防雷接地、防静电接地、保护接地及信息系统的接地等，采用共用接地装置，其接地电阻不大于</w:t>
            </w:r>
            <w:r>
              <w:rPr>
                <w:rFonts w:ascii="Times New Roman" w:hAnsi="Times New Roman" w:cs="Times New Roman"/>
                <w:color w:val="auto"/>
                <w:kern w:val="0"/>
                <w:sz w:val="18"/>
                <w:szCs w:val="18"/>
              </w:rPr>
              <w:t xml:space="preserve"> 4</w:t>
            </w:r>
            <w:r>
              <w:rPr>
                <w:rFonts w:hint="eastAsia" w:ascii="Times New Roman" w:hAnsi="Times New Roman" w:cs="宋体"/>
                <w:color w:val="auto"/>
                <w:kern w:val="0"/>
                <w:sz w:val="18"/>
                <w:szCs w:val="18"/>
              </w:rPr>
              <w:t>Ω。</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3</w:t>
            </w:r>
          </w:p>
        </w:tc>
        <w:tc>
          <w:tcPr>
            <w:tcW w:w="6525" w:type="dxa"/>
            <w:vAlign w:val="center"/>
          </w:tcPr>
          <w:p>
            <w:pPr>
              <w:autoSpaceDE w:val="0"/>
              <w:autoSpaceDN w:val="0"/>
              <w:adjustRightInd w:val="0"/>
              <w:rPr>
                <w:rFonts w:ascii="Times New Roman" w:hAnsi="Times New Roman" w:cs="Times New Roman"/>
                <w:b w:val="0"/>
                <w:bCs w:val="0"/>
                <w:color w:val="auto"/>
                <w:spacing w:val="10"/>
                <w:sz w:val="18"/>
                <w:szCs w:val="18"/>
              </w:rPr>
            </w:pPr>
            <w:r>
              <w:rPr>
                <w:rFonts w:hint="eastAsia" w:ascii="Times New Roman" w:hAnsi="Times New Roman" w:cs="宋体"/>
                <w:b w:val="0"/>
                <w:bCs w:val="0"/>
                <w:color w:val="auto"/>
                <w:spacing w:val="10"/>
                <w:sz w:val="18"/>
                <w:szCs w:val="18"/>
              </w:rPr>
              <w:t>当</w:t>
            </w:r>
            <w:r>
              <w:rPr>
                <w:rFonts w:ascii="Times New Roman" w:hAnsi="Times New Roman" w:cs="Times New Roman"/>
                <w:b w:val="0"/>
                <w:bCs w:val="0"/>
                <w:color w:val="auto"/>
                <w:spacing w:val="10"/>
                <w:sz w:val="18"/>
                <w:szCs w:val="18"/>
              </w:rPr>
              <w:t>LPG</w:t>
            </w:r>
            <w:r>
              <w:rPr>
                <w:rFonts w:hint="eastAsia" w:ascii="Times New Roman" w:hAnsi="Times New Roman" w:cs="宋体"/>
                <w:b w:val="0"/>
                <w:bCs w:val="0"/>
                <w:color w:val="auto"/>
                <w:spacing w:val="10"/>
                <w:sz w:val="18"/>
                <w:szCs w:val="18"/>
              </w:rPr>
              <w:t>储罐的阴极防腐合下列规定时，可不另设防雷和防静电接地装置：</w:t>
            </w:r>
          </w:p>
          <w:p>
            <w:pPr>
              <w:autoSpaceDE w:val="0"/>
              <w:autoSpaceDN w:val="0"/>
              <w:adjustRightInd w:val="0"/>
              <w:rPr>
                <w:rFonts w:ascii="Times New Roman" w:hAnsi="Times New Roman" w:cs="Times New Roman"/>
                <w:b w:val="0"/>
                <w:bCs w:val="0"/>
                <w:color w:val="auto"/>
                <w:spacing w:val="10"/>
                <w:sz w:val="18"/>
                <w:szCs w:val="18"/>
              </w:rPr>
            </w:pPr>
            <w:r>
              <w:rPr>
                <w:rFonts w:hint="eastAsia" w:ascii="Times New Roman" w:hAnsi="Times New Roman" w:cs="宋体"/>
                <w:b w:val="0"/>
                <w:bCs w:val="0"/>
                <w:color w:val="auto"/>
                <w:spacing w:val="10"/>
                <w:sz w:val="18"/>
                <w:szCs w:val="18"/>
              </w:rPr>
              <w:t>（</w:t>
            </w:r>
            <w:r>
              <w:rPr>
                <w:rFonts w:ascii="Times New Roman" w:hAnsi="Times New Roman" w:cs="Times New Roman"/>
                <w:b w:val="0"/>
                <w:bCs w:val="0"/>
                <w:color w:val="auto"/>
                <w:spacing w:val="10"/>
                <w:sz w:val="18"/>
                <w:szCs w:val="18"/>
              </w:rPr>
              <w:t>1</w:t>
            </w:r>
            <w:r>
              <w:rPr>
                <w:rFonts w:hint="eastAsia" w:ascii="Times New Roman" w:hAnsi="Times New Roman" w:cs="宋体"/>
                <w:b w:val="0"/>
                <w:bCs w:val="0"/>
                <w:color w:val="auto"/>
                <w:spacing w:val="10"/>
                <w:sz w:val="18"/>
                <w:szCs w:val="18"/>
              </w:rPr>
              <w:t>）</w:t>
            </w:r>
            <w:r>
              <w:rPr>
                <w:rFonts w:ascii="Times New Roman" w:hAnsi="Times New Roman" w:cs="Times New Roman"/>
                <w:b w:val="0"/>
                <w:bCs w:val="0"/>
                <w:color w:val="auto"/>
                <w:spacing w:val="10"/>
                <w:sz w:val="18"/>
                <w:szCs w:val="18"/>
              </w:rPr>
              <w:t>LPG</w:t>
            </w:r>
            <w:r>
              <w:rPr>
                <w:rFonts w:hint="eastAsia" w:ascii="Times New Roman" w:hAnsi="Times New Roman" w:cs="宋体"/>
                <w:b w:val="0"/>
                <w:bCs w:val="0"/>
                <w:color w:val="auto"/>
                <w:spacing w:val="10"/>
                <w:sz w:val="18"/>
                <w:szCs w:val="18"/>
              </w:rPr>
              <w:t>储罐采用牺牲相极法进行阴极防护时，牺牲阳极的接地电阻不应大于</w:t>
            </w:r>
            <w:r>
              <w:rPr>
                <w:rFonts w:ascii="Times New Roman" w:hAnsi="Times New Roman" w:cs="Times New Roman"/>
                <w:b w:val="0"/>
                <w:bCs w:val="0"/>
                <w:color w:val="auto"/>
                <w:spacing w:val="10"/>
                <w:sz w:val="18"/>
                <w:szCs w:val="18"/>
              </w:rPr>
              <w:t>10g</w:t>
            </w:r>
            <w:r>
              <w:rPr>
                <w:rFonts w:hint="eastAsia" w:ascii="Times New Roman" w:hAnsi="Times New Roman" w:cs="宋体"/>
                <w:b w:val="0"/>
                <w:bCs w:val="0"/>
                <w:color w:val="auto"/>
                <w:spacing w:val="10"/>
                <w:sz w:val="18"/>
                <w:szCs w:val="18"/>
              </w:rPr>
              <w:t>，阳极与储罐的铜芯连线横截面不应小于</w:t>
            </w:r>
            <w:r>
              <w:rPr>
                <w:rFonts w:ascii="Times New Roman" w:hAnsi="Times New Roman" w:cs="Times New Roman"/>
                <w:b w:val="0"/>
                <w:bCs w:val="0"/>
                <w:color w:val="auto"/>
                <w:spacing w:val="10"/>
                <w:sz w:val="18"/>
                <w:szCs w:val="18"/>
              </w:rPr>
              <w:t>16mm</w:t>
            </w:r>
            <w:r>
              <w:rPr>
                <w:rFonts w:ascii="Times New Roman" w:hAnsi="Times New Roman" w:cs="Times New Roman"/>
                <w:b w:val="0"/>
                <w:bCs w:val="0"/>
                <w:color w:val="auto"/>
                <w:spacing w:val="10"/>
                <w:sz w:val="18"/>
                <w:szCs w:val="18"/>
                <w:vertAlign w:val="superscript"/>
              </w:rPr>
              <w:t>2</w:t>
            </w:r>
            <w:r>
              <w:rPr>
                <w:rFonts w:hint="eastAsia" w:ascii="Times New Roman" w:hAnsi="Times New Roman" w:cs="宋体"/>
                <w:b w:val="0"/>
                <w:bCs w:val="0"/>
                <w:color w:val="auto"/>
                <w:spacing w:val="10"/>
                <w:sz w:val="18"/>
                <w:szCs w:val="18"/>
              </w:rPr>
              <w:t>；</w:t>
            </w:r>
          </w:p>
          <w:p>
            <w:pPr>
              <w:rPr>
                <w:rFonts w:ascii="Times New Roman" w:hAnsi="Times New Roman" w:cs="Times New Roman"/>
                <w:b w:val="0"/>
                <w:bCs w:val="0"/>
                <w:color w:val="auto"/>
                <w:spacing w:val="10"/>
                <w:sz w:val="18"/>
                <w:szCs w:val="18"/>
              </w:rPr>
            </w:pPr>
            <w:r>
              <w:rPr>
                <w:rFonts w:hint="eastAsia" w:ascii="Times New Roman" w:hAnsi="Times New Roman" w:cs="宋体"/>
                <w:b w:val="0"/>
                <w:bCs w:val="0"/>
                <w:color w:val="auto"/>
                <w:spacing w:val="10"/>
                <w:sz w:val="18"/>
                <w:szCs w:val="18"/>
              </w:rPr>
              <w:t>（</w:t>
            </w:r>
            <w:r>
              <w:rPr>
                <w:rFonts w:ascii="Times New Roman" w:hAnsi="Times New Roman" w:cs="Times New Roman"/>
                <w:b w:val="0"/>
                <w:bCs w:val="0"/>
                <w:color w:val="auto"/>
                <w:spacing w:val="10"/>
                <w:sz w:val="18"/>
                <w:szCs w:val="18"/>
              </w:rPr>
              <w:t>2</w:t>
            </w:r>
            <w:r>
              <w:rPr>
                <w:rFonts w:hint="eastAsia" w:ascii="Times New Roman" w:hAnsi="Times New Roman" w:cs="宋体"/>
                <w:b w:val="0"/>
                <w:bCs w:val="0"/>
                <w:color w:val="auto"/>
                <w:spacing w:val="10"/>
                <w:sz w:val="18"/>
                <w:szCs w:val="18"/>
              </w:rPr>
              <w:t>）</w:t>
            </w:r>
            <w:r>
              <w:rPr>
                <w:rFonts w:ascii="Times New Roman" w:hAnsi="Times New Roman" w:cs="Times New Roman"/>
                <w:b w:val="0"/>
                <w:bCs w:val="0"/>
                <w:color w:val="auto"/>
                <w:spacing w:val="10"/>
                <w:sz w:val="18"/>
                <w:szCs w:val="18"/>
              </w:rPr>
              <w:t>LPG</w:t>
            </w:r>
            <w:r>
              <w:rPr>
                <w:rFonts w:hint="eastAsia" w:ascii="Times New Roman" w:hAnsi="Times New Roman" w:cs="宋体"/>
                <w:b w:val="0"/>
                <w:bCs w:val="0"/>
                <w:color w:val="auto"/>
                <w:spacing w:val="10"/>
                <w:sz w:val="18"/>
                <w:szCs w:val="18"/>
              </w:rPr>
              <w:t>储罐采用强制电流法进行阴极防护时，接地电极应采用锌棒或镁锌复合棒，其接地电阻不应大于</w:t>
            </w:r>
            <w:r>
              <w:rPr>
                <w:rFonts w:ascii="Times New Roman" w:hAnsi="Times New Roman" w:cs="Times New Roman"/>
                <w:b w:val="0"/>
                <w:bCs w:val="0"/>
                <w:color w:val="auto"/>
                <w:spacing w:val="10"/>
                <w:sz w:val="18"/>
                <w:szCs w:val="18"/>
              </w:rPr>
              <w:t>10Ω</w:t>
            </w:r>
            <w:r>
              <w:rPr>
                <w:rFonts w:hint="eastAsia" w:ascii="Times New Roman" w:hAnsi="Times New Roman" w:cs="宋体"/>
                <w:b w:val="0"/>
                <w:bCs w:val="0"/>
                <w:color w:val="auto"/>
                <w:spacing w:val="10"/>
                <w:sz w:val="18"/>
                <w:szCs w:val="18"/>
              </w:rPr>
              <w:t>，接地电极与储罐的铜芯连线横截面不应小于</w:t>
            </w:r>
            <w:r>
              <w:rPr>
                <w:rFonts w:ascii="Times New Roman" w:hAnsi="Times New Roman" w:cs="Times New Roman"/>
                <w:b w:val="0"/>
                <w:bCs w:val="0"/>
                <w:color w:val="auto"/>
                <w:spacing w:val="10"/>
                <w:sz w:val="18"/>
                <w:szCs w:val="18"/>
              </w:rPr>
              <w:t>16mm</w:t>
            </w:r>
            <w:r>
              <w:rPr>
                <w:rFonts w:ascii="Times New Roman" w:hAnsi="Times New Roman" w:cs="Times New Roman"/>
                <w:b w:val="0"/>
                <w:bCs w:val="0"/>
                <w:color w:val="auto"/>
                <w:spacing w:val="10"/>
                <w:sz w:val="18"/>
                <w:szCs w:val="18"/>
                <w:vertAlign w:val="superscript"/>
              </w:rPr>
              <w:t>2</w:t>
            </w:r>
            <w:r>
              <w:rPr>
                <w:rFonts w:hint="eastAsia" w:ascii="Times New Roman" w:hAnsi="Times New Roman" w:cs="宋体"/>
                <w:b w:val="0"/>
                <w:bCs w:val="0"/>
                <w:color w:val="auto"/>
                <w:spacing w:val="10"/>
                <w:sz w:val="18"/>
                <w:szCs w:val="18"/>
              </w:rPr>
              <w:t>。</w:t>
            </w:r>
            <w:r>
              <w:rPr>
                <w:rFonts w:ascii="Times New Roman" w:hAnsi="Times New Roman" w:cs="Times New Roman"/>
                <w:b w:val="0"/>
                <w:bCs w:val="0"/>
                <w:color w:val="auto"/>
                <w:spacing w:val="10"/>
                <w:sz w:val="18"/>
                <w:szCs w:val="18"/>
              </w:rPr>
              <w:t>13.2.3</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737" w:type="dxa"/>
            <w:vAlign w:val="center"/>
          </w:tcPr>
          <w:p>
            <w:pPr>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4</w:t>
            </w:r>
          </w:p>
        </w:tc>
        <w:tc>
          <w:tcPr>
            <w:tcW w:w="6525" w:type="dxa"/>
            <w:vAlign w:val="center"/>
          </w:tcPr>
          <w:p>
            <w:pPr>
              <w:spacing w:line="320" w:lineRule="exact"/>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spacing w:val="10"/>
                <w:sz w:val="18"/>
                <w:szCs w:val="18"/>
              </w:rPr>
              <w:t>埋地钢制油罐、埋地</w:t>
            </w:r>
            <w:r>
              <w:rPr>
                <w:rFonts w:ascii="Times New Roman" w:hAnsi="Times New Roman" w:cs="Times New Roman"/>
                <w:b w:val="0"/>
                <w:bCs w:val="0"/>
                <w:color w:val="auto"/>
                <w:spacing w:val="10"/>
                <w:sz w:val="18"/>
                <w:szCs w:val="18"/>
              </w:rPr>
              <w:t>LPG</w:t>
            </w:r>
            <w:r>
              <w:rPr>
                <w:rFonts w:hint="eastAsia" w:ascii="Times New Roman" w:hAnsi="Times New Roman" w:cs="宋体"/>
                <w:b w:val="0"/>
                <w:bCs w:val="0"/>
                <w:color w:val="auto"/>
                <w:spacing w:val="10"/>
                <w:sz w:val="18"/>
                <w:szCs w:val="18"/>
              </w:rPr>
              <w:t>储罐以及非金属油罐顶部的金属部件和罐内的各金属部件，必须与非埋地部分的工艺金属管道相互做电气连接并接地。</w:t>
            </w:r>
            <w:r>
              <w:rPr>
                <w:rFonts w:ascii="Times New Roman" w:hAnsi="Times New Roman" w:cs="Times New Roman"/>
                <w:b w:val="0"/>
                <w:bCs w:val="0"/>
                <w:color w:val="auto"/>
                <w:kern w:val="0"/>
                <w:sz w:val="18"/>
                <w:szCs w:val="18"/>
              </w:rPr>
              <w:t>13.2.4</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有连接并接地</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5</w:t>
            </w:r>
          </w:p>
        </w:tc>
        <w:tc>
          <w:tcPr>
            <w:tcW w:w="6525" w:type="dxa"/>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spacing w:val="10"/>
                <w:kern w:val="0"/>
                <w:sz w:val="18"/>
                <w:szCs w:val="18"/>
              </w:rPr>
              <w:t>汽车加油加气加氢站内油气放散管在接入全站共用接地装置后，可不单独做防雷接地。</w:t>
            </w:r>
            <w:r>
              <w:rPr>
                <w:rFonts w:ascii="Times New Roman" w:hAnsi="Times New Roman" w:cs="Times New Roman"/>
                <w:color w:val="auto"/>
                <w:kern w:val="0"/>
                <w:sz w:val="18"/>
                <w:szCs w:val="18"/>
              </w:rPr>
              <w:t>13.2.5</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该站的放散管接入共用接地装置，不单独做防雷接地。</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color w:val="auto"/>
                <w:kern w:val="0"/>
                <w:sz w:val="18"/>
                <w:szCs w:val="18"/>
              </w:rPr>
            </w:pPr>
            <w:r>
              <w:rPr>
                <w:rFonts w:ascii="Times New Roman" w:hAnsi="Times New Roman" w:cs="Times New Roman"/>
                <w:b/>
                <w:bCs/>
                <w:color w:val="auto"/>
                <w:kern w:val="0"/>
                <w:sz w:val="18"/>
                <w:szCs w:val="18"/>
              </w:rPr>
              <w:t>6</w:t>
            </w:r>
          </w:p>
        </w:tc>
        <w:tc>
          <w:tcPr>
            <w:tcW w:w="6525" w:type="dxa"/>
            <w:vAlign w:val="center"/>
          </w:tcPr>
          <w:p>
            <w:pPr>
              <w:autoSpaceDE w:val="0"/>
              <w:autoSpaceDN w:val="0"/>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当汽车加油加气加氢站内的站房和罩棚等建筑物需要防直击雷时，应采用接闪带（网）保护。当罩棚采用金属屋面时，宜利用屋面作为接闪器，但应符合下列规定：</w:t>
            </w:r>
          </w:p>
          <w:p>
            <w:pPr>
              <w:autoSpaceDE w:val="0"/>
              <w:autoSpaceDN w:val="0"/>
              <w:spacing w:line="280" w:lineRule="exac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1 </w:t>
            </w:r>
            <w:r>
              <w:rPr>
                <w:rFonts w:hint="eastAsia" w:ascii="Times New Roman" w:hAnsi="Times New Roman" w:cs="宋体"/>
                <w:color w:val="auto"/>
                <w:kern w:val="0"/>
                <w:sz w:val="18"/>
                <w:szCs w:val="18"/>
              </w:rPr>
              <w:t>板间的连接应是持久的电气贯通，可采用铜锌合金焊、熔焊、卷边压接、缝接、螺钉或螺栓连接。</w:t>
            </w:r>
          </w:p>
          <w:p>
            <w:pPr>
              <w:autoSpaceDE w:val="0"/>
              <w:autoSpaceDN w:val="0"/>
              <w:spacing w:line="280" w:lineRule="exac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2 </w:t>
            </w:r>
            <w:r>
              <w:rPr>
                <w:rFonts w:hint="eastAsia" w:ascii="Times New Roman" w:hAnsi="Times New Roman" w:cs="宋体"/>
                <w:color w:val="auto"/>
                <w:kern w:val="0"/>
                <w:sz w:val="18"/>
                <w:szCs w:val="18"/>
              </w:rPr>
              <w:t>金属板下面不应有易燃物品，热镀锌钢板的厚度不应小于</w:t>
            </w:r>
            <w:r>
              <w:rPr>
                <w:rFonts w:ascii="Times New Roman" w:hAnsi="Times New Roman" w:cs="Times New Roman"/>
                <w:color w:val="auto"/>
                <w:kern w:val="0"/>
                <w:sz w:val="18"/>
                <w:szCs w:val="18"/>
              </w:rPr>
              <w:t>0.5mm</w:t>
            </w:r>
            <w:r>
              <w:rPr>
                <w:rFonts w:hint="eastAsia" w:ascii="Times New Roman" w:hAnsi="Times New Roman" w:cs="宋体"/>
                <w:color w:val="auto"/>
                <w:kern w:val="0"/>
                <w:sz w:val="18"/>
                <w:szCs w:val="18"/>
              </w:rPr>
              <w:t>，铝板的厚度不应小于</w:t>
            </w:r>
            <w:r>
              <w:rPr>
                <w:rFonts w:ascii="Times New Roman" w:hAnsi="Times New Roman" w:cs="Times New Roman"/>
                <w:color w:val="auto"/>
                <w:kern w:val="0"/>
                <w:sz w:val="18"/>
                <w:szCs w:val="18"/>
              </w:rPr>
              <w:t>0.65mm</w:t>
            </w:r>
            <w:r>
              <w:rPr>
                <w:rFonts w:hint="eastAsia" w:ascii="Times New Roman" w:hAnsi="Times New Roman" w:cs="宋体"/>
                <w:color w:val="auto"/>
                <w:kern w:val="0"/>
                <w:sz w:val="18"/>
                <w:szCs w:val="18"/>
              </w:rPr>
              <w:t>，锌板的厚度不应小于</w:t>
            </w:r>
            <w:r>
              <w:rPr>
                <w:rFonts w:ascii="Times New Roman" w:hAnsi="Times New Roman" w:cs="Times New Roman"/>
                <w:color w:val="auto"/>
                <w:kern w:val="0"/>
                <w:sz w:val="18"/>
                <w:szCs w:val="18"/>
              </w:rPr>
              <w:t>0.7mm</w:t>
            </w:r>
            <w:r>
              <w:rPr>
                <w:rFonts w:hint="eastAsia" w:ascii="Times New Roman" w:hAnsi="Times New Roman" w:cs="宋体"/>
                <w:color w:val="auto"/>
                <w:kern w:val="0"/>
                <w:sz w:val="18"/>
                <w:szCs w:val="18"/>
              </w:rPr>
              <w:t>。</w:t>
            </w:r>
          </w:p>
          <w:p>
            <w:pPr>
              <w:autoSpaceDE w:val="0"/>
              <w:autoSpaceDN w:val="0"/>
              <w:spacing w:line="280" w:lineRule="exac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3 </w:t>
            </w:r>
            <w:r>
              <w:rPr>
                <w:rFonts w:hint="eastAsia" w:ascii="Times New Roman" w:hAnsi="Times New Roman" w:cs="宋体"/>
                <w:color w:val="auto"/>
                <w:kern w:val="0"/>
                <w:sz w:val="18"/>
                <w:szCs w:val="18"/>
              </w:rPr>
              <w:t>金属板应无绝缘被覆盖。</w:t>
            </w:r>
            <w:r>
              <w:rPr>
                <w:rFonts w:ascii="Times New Roman" w:hAnsi="Times New Roman" w:cs="Times New Roman"/>
                <w:color w:val="auto"/>
                <w:kern w:val="0"/>
                <w:sz w:val="18"/>
                <w:szCs w:val="18"/>
              </w:rPr>
              <w:t>13.2.6</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该站的站房和罩棚采用接闪带（网）保护，金属屋面满足相关规定。</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7</w:t>
            </w:r>
          </w:p>
        </w:tc>
        <w:tc>
          <w:tcPr>
            <w:tcW w:w="6525" w:type="dxa"/>
            <w:vAlign w:val="center"/>
          </w:tcPr>
          <w:p>
            <w:pPr>
              <w:autoSpaceDE w:val="0"/>
              <w:autoSpaceDN w:val="0"/>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汽车加油加气加氢站的信息系统应采用铠装电缆或导线穿钢管配线。配线电缆铠装金属层两端、保护钢管两端均应接地。</w:t>
            </w:r>
            <w:r>
              <w:rPr>
                <w:rFonts w:ascii="Times New Roman" w:hAnsi="Times New Roman" w:cs="Times New Roman"/>
                <w:color w:val="auto"/>
                <w:kern w:val="0"/>
                <w:sz w:val="18"/>
                <w:szCs w:val="18"/>
              </w:rPr>
              <w:t>13.2.7</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加油站的信息系统采用导线穿钢管配线。</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8</w:t>
            </w:r>
          </w:p>
        </w:tc>
        <w:tc>
          <w:tcPr>
            <w:tcW w:w="6525" w:type="dxa"/>
            <w:vAlign w:val="center"/>
          </w:tcPr>
          <w:p>
            <w:pPr>
              <w:autoSpaceDE w:val="0"/>
              <w:autoSpaceDN w:val="0"/>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汽车加油加气加氢站信息系统的配电线路首、末端与电子器件连接时，应装设与电子器件耐压水平相适应的过电压（电涌）保护器。</w:t>
            </w:r>
            <w:r>
              <w:rPr>
                <w:rFonts w:ascii="Times New Roman" w:hAnsi="Times New Roman" w:cs="Times New Roman"/>
                <w:color w:val="auto"/>
                <w:kern w:val="0"/>
                <w:sz w:val="18"/>
                <w:szCs w:val="18"/>
              </w:rPr>
              <w:t>13.2.8</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加油站信息系统装有电压保护器。</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9</w:t>
            </w:r>
          </w:p>
        </w:tc>
        <w:tc>
          <w:tcPr>
            <w:tcW w:w="6525" w:type="dxa"/>
            <w:vAlign w:val="center"/>
          </w:tcPr>
          <w:p>
            <w:pPr>
              <w:autoSpaceDE w:val="0"/>
              <w:autoSpaceDN w:val="0"/>
              <w:spacing w:line="280" w:lineRule="exact"/>
              <w:rPr>
                <w:rFonts w:ascii="Times New Roman" w:hAnsi="Times New Roman" w:cs="Times New Roman"/>
                <w:color w:val="auto"/>
                <w:kern w:val="0"/>
                <w:sz w:val="18"/>
                <w:szCs w:val="18"/>
              </w:rPr>
            </w:pPr>
            <w:r>
              <w:rPr>
                <w:rFonts w:ascii="Times New Roman" w:hAnsi="Times New Roman" w:cs="Times New Roman"/>
                <w:color w:val="auto"/>
                <w:kern w:val="0"/>
                <w:sz w:val="18"/>
                <w:szCs w:val="18"/>
              </w:rPr>
              <w:t>380/220V</w:t>
            </w:r>
            <w:r>
              <w:rPr>
                <w:rFonts w:hint="eastAsia" w:ascii="Times New Roman" w:hAnsi="Times New Roman" w:cs="宋体"/>
                <w:color w:val="auto"/>
                <w:kern w:val="0"/>
                <w:sz w:val="18"/>
                <w:szCs w:val="18"/>
              </w:rPr>
              <w:t>供配电系统宜采用</w:t>
            </w:r>
            <w:r>
              <w:rPr>
                <w:rFonts w:ascii="Times New Roman" w:hAnsi="Times New Roman" w:cs="Times New Roman"/>
                <w:color w:val="auto"/>
                <w:kern w:val="0"/>
                <w:sz w:val="18"/>
                <w:szCs w:val="18"/>
              </w:rPr>
              <w:t>TN-S</w:t>
            </w:r>
            <w:r>
              <w:rPr>
                <w:rFonts w:hint="eastAsia" w:ascii="Times New Roman" w:hAnsi="Times New Roman" w:cs="宋体"/>
                <w:color w:val="auto"/>
                <w:kern w:val="0"/>
                <w:sz w:val="18"/>
                <w:szCs w:val="18"/>
              </w:rPr>
              <w:t>系统，当外供电源为</w:t>
            </w:r>
            <w:r>
              <w:rPr>
                <w:rFonts w:ascii="Times New Roman" w:hAnsi="Times New Roman" w:cs="Times New Roman"/>
                <w:color w:val="auto"/>
                <w:kern w:val="0"/>
                <w:sz w:val="18"/>
                <w:szCs w:val="18"/>
              </w:rPr>
              <w:t>380V</w:t>
            </w:r>
            <w:r>
              <w:rPr>
                <w:rFonts w:hint="eastAsia" w:ascii="Times New Roman" w:hAnsi="Times New Roman" w:cs="宋体"/>
                <w:color w:val="auto"/>
                <w:kern w:val="0"/>
                <w:sz w:val="18"/>
                <w:szCs w:val="18"/>
              </w:rPr>
              <w:t>时，可采用</w:t>
            </w:r>
            <w:r>
              <w:rPr>
                <w:rFonts w:ascii="Times New Roman" w:hAnsi="Times New Roman" w:cs="Times New Roman"/>
                <w:color w:val="auto"/>
                <w:kern w:val="0"/>
                <w:sz w:val="18"/>
                <w:szCs w:val="18"/>
              </w:rPr>
              <w:t>TN-C-S</w:t>
            </w:r>
            <w:r>
              <w:rPr>
                <w:rFonts w:hint="eastAsia" w:ascii="Times New Roman" w:hAnsi="Times New Roman" w:cs="宋体"/>
                <w:color w:val="auto"/>
                <w:kern w:val="0"/>
                <w:sz w:val="18"/>
                <w:szCs w:val="18"/>
              </w:rPr>
              <w:t>系统。供电系统的电缆金属外皮或电缆金属保护管两端均应接地，在供配电系统的电源端应安装与设备耐压水平相适应的过电压（电涌）保护器。</w:t>
            </w:r>
            <w:r>
              <w:rPr>
                <w:rFonts w:ascii="Times New Roman" w:hAnsi="Times New Roman" w:cs="Times New Roman"/>
                <w:color w:val="auto"/>
                <w:kern w:val="0"/>
                <w:sz w:val="18"/>
                <w:szCs w:val="18"/>
              </w:rPr>
              <w:t>13.2.9</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已安装过电压（电涌）保护器。</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10</w:t>
            </w:r>
          </w:p>
        </w:tc>
        <w:tc>
          <w:tcPr>
            <w:tcW w:w="6525" w:type="dxa"/>
            <w:vAlign w:val="center"/>
          </w:tcPr>
          <w:p>
            <w:pPr>
              <w:autoSpaceDE w:val="0"/>
              <w:autoSpaceDN w:val="0"/>
              <w:spacing w:line="280" w:lineRule="exact"/>
              <w:rPr>
                <w:rFonts w:ascii="Times New Roman" w:hAnsi="Times New Roman" w:cs="Times New Roman"/>
                <w:b/>
                <w:bCs/>
                <w:color w:val="auto"/>
                <w:kern w:val="0"/>
                <w:sz w:val="18"/>
                <w:szCs w:val="18"/>
              </w:rPr>
            </w:pPr>
            <w:r>
              <w:rPr>
                <w:rFonts w:hint="eastAsia" w:ascii="Times New Roman" w:hAnsi="Times New Roman" w:cs="宋体"/>
                <w:color w:val="auto"/>
                <w:kern w:val="0"/>
                <w:sz w:val="18"/>
                <w:szCs w:val="18"/>
              </w:rPr>
              <w:t>地上或管沟敷设的油品管道、</w:t>
            </w:r>
            <w:r>
              <w:rPr>
                <w:rFonts w:ascii="Times New Roman" w:hAnsi="Times New Roman" w:cs="Times New Roman"/>
                <w:color w:val="auto"/>
                <w:kern w:val="0"/>
                <w:sz w:val="18"/>
                <w:szCs w:val="18"/>
              </w:rPr>
              <w:t>LPG</w:t>
            </w:r>
            <w:r>
              <w:rPr>
                <w:rFonts w:hint="eastAsia" w:ascii="Times New Roman" w:hAnsi="Times New Roman" w:cs="宋体"/>
                <w:color w:val="auto"/>
                <w:kern w:val="0"/>
                <w:sz w:val="18"/>
                <w:szCs w:val="18"/>
              </w:rPr>
              <w:t>管道、</w:t>
            </w:r>
            <w:r>
              <w:rPr>
                <w:rFonts w:ascii="Times New Roman" w:hAnsi="Times New Roman" w:cs="Times New Roman"/>
                <w:color w:val="auto"/>
                <w:kern w:val="0"/>
                <w:sz w:val="18"/>
                <w:szCs w:val="18"/>
              </w:rPr>
              <w:t>LNG</w:t>
            </w:r>
            <w:r>
              <w:rPr>
                <w:rFonts w:hint="eastAsia" w:ascii="Times New Roman" w:hAnsi="Times New Roman" w:cs="宋体"/>
                <w:color w:val="auto"/>
                <w:kern w:val="0"/>
                <w:sz w:val="18"/>
                <w:szCs w:val="18"/>
              </w:rPr>
              <w:t>管道、</w:t>
            </w:r>
            <w:r>
              <w:rPr>
                <w:rFonts w:ascii="Times New Roman" w:hAnsi="Times New Roman" w:cs="Times New Roman"/>
                <w:color w:val="auto"/>
                <w:kern w:val="0"/>
                <w:sz w:val="18"/>
                <w:szCs w:val="18"/>
              </w:rPr>
              <w:t>CNG</w:t>
            </w:r>
            <w:r>
              <w:rPr>
                <w:rFonts w:hint="eastAsia" w:ascii="Times New Roman" w:hAnsi="Times New Roman" w:cs="宋体"/>
                <w:color w:val="auto"/>
                <w:kern w:val="0"/>
                <w:sz w:val="18"/>
                <w:szCs w:val="18"/>
              </w:rPr>
              <w:t>管道、氢气管道和液氢管道应设防静电和防感应雷的共用接地装置，接地电阻不应大于</w:t>
            </w:r>
            <w:r>
              <w:rPr>
                <w:rFonts w:ascii="Times New Roman" w:hAnsi="Times New Roman" w:cs="Times New Roman"/>
                <w:color w:val="auto"/>
                <w:kern w:val="0"/>
                <w:sz w:val="18"/>
                <w:szCs w:val="18"/>
              </w:rPr>
              <w:t>30Ω</w:t>
            </w:r>
            <w:r>
              <w:rPr>
                <w:rFonts w:hint="eastAsia" w:ascii="Times New Roman" w:hAnsi="Times New Roman" w:cs="宋体"/>
                <w:color w:val="auto"/>
                <w:kern w:val="0"/>
                <w:sz w:val="18"/>
                <w:szCs w:val="18"/>
              </w:rPr>
              <w:t>。</w:t>
            </w:r>
            <w:r>
              <w:rPr>
                <w:rFonts w:ascii="Times New Roman" w:hAnsi="Times New Roman" w:cs="Times New Roman"/>
                <w:color w:val="auto"/>
                <w:kern w:val="0"/>
                <w:sz w:val="18"/>
                <w:szCs w:val="18"/>
              </w:rPr>
              <w:t>13.2.10</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该站的油品管道设防静电和防感应雷的联合接地装置。</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11</w:t>
            </w:r>
          </w:p>
        </w:tc>
        <w:tc>
          <w:tcPr>
            <w:tcW w:w="6525" w:type="dxa"/>
            <w:vAlign w:val="center"/>
          </w:tcPr>
          <w:p>
            <w:pPr>
              <w:autoSpaceDE w:val="0"/>
              <w:autoSpaceDN w:val="0"/>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加油加气加氢站的汽油罐车、</w:t>
            </w:r>
            <w:r>
              <w:rPr>
                <w:rFonts w:ascii="Times New Roman" w:hAnsi="Times New Roman" w:cs="Times New Roman"/>
                <w:color w:val="auto"/>
                <w:kern w:val="0"/>
                <w:sz w:val="18"/>
                <w:szCs w:val="18"/>
              </w:rPr>
              <w:t>LPG</w:t>
            </w:r>
            <w:r>
              <w:rPr>
                <w:rFonts w:hint="eastAsia" w:ascii="Times New Roman" w:hAnsi="Times New Roman" w:cs="宋体"/>
                <w:color w:val="auto"/>
                <w:kern w:val="0"/>
                <w:sz w:val="18"/>
                <w:szCs w:val="18"/>
              </w:rPr>
              <w:t>罐车、</w:t>
            </w:r>
            <w:r>
              <w:rPr>
                <w:rFonts w:ascii="Times New Roman" w:hAnsi="Times New Roman" w:cs="Times New Roman"/>
                <w:color w:val="auto"/>
                <w:kern w:val="0"/>
                <w:sz w:val="18"/>
                <w:szCs w:val="18"/>
              </w:rPr>
              <w:t>LNG</w:t>
            </w:r>
            <w:r>
              <w:rPr>
                <w:rFonts w:hint="eastAsia" w:ascii="Times New Roman" w:hAnsi="Times New Roman" w:cs="宋体"/>
                <w:color w:val="auto"/>
                <w:kern w:val="0"/>
                <w:sz w:val="18"/>
                <w:szCs w:val="18"/>
              </w:rPr>
              <w:t>罐车和液氢罐车卸车场地应设卸车或卸气临时用的防静电接地装置，并应设置能检测跨接线及监视接地装置状态的静电接地仪。</w:t>
            </w:r>
            <w:r>
              <w:rPr>
                <w:rFonts w:ascii="Times New Roman" w:hAnsi="Times New Roman" w:cs="Times New Roman"/>
                <w:color w:val="auto"/>
                <w:kern w:val="0"/>
                <w:sz w:val="18"/>
                <w:szCs w:val="18"/>
              </w:rPr>
              <w:t>13.2.11</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该站安装了静电夹。</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12</w:t>
            </w:r>
          </w:p>
        </w:tc>
        <w:tc>
          <w:tcPr>
            <w:tcW w:w="6525" w:type="dxa"/>
            <w:vAlign w:val="center"/>
          </w:tcPr>
          <w:p>
            <w:pPr>
              <w:autoSpaceDE w:val="0"/>
              <w:autoSpaceDN w:val="0"/>
              <w:spacing w:line="280" w:lineRule="exact"/>
              <w:rPr>
                <w:rFonts w:ascii="Times New Roman" w:hAnsi="Times New Roman" w:cs="Times New Roman"/>
                <w:b/>
                <w:bCs/>
                <w:color w:val="auto"/>
                <w:kern w:val="0"/>
                <w:sz w:val="18"/>
                <w:szCs w:val="18"/>
              </w:rPr>
            </w:pPr>
            <w:r>
              <w:rPr>
                <w:rFonts w:hint="eastAsia" w:ascii="Times New Roman" w:hAnsi="Times New Roman" w:cs="宋体"/>
                <w:color w:val="auto"/>
                <w:kern w:val="0"/>
                <w:sz w:val="18"/>
                <w:szCs w:val="18"/>
              </w:rPr>
              <w:t>在爆炸危险区域内工艺管道上的法兰、胶管两端等连接处，应用金属线跨接。当法兰的连接螺栓不少于</w:t>
            </w:r>
            <w:r>
              <w:rPr>
                <w:rFonts w:ascii="Times New Roman" w:hAnsi="Times New Roman" w:cs="Times New Roman"/>
                <w:color w:val="auto"/>
                <w:kern w:val="0"/>
                <w:sz w:val="18"/>
                <w:szCs w:val="18"/>
              </w:rPr>
              <w:t>5</w:t>
            </w:r>
            <w:r>
              <w:rPr>
                <w:rFonts w:hint="eastAsia" w:ascii="Times New Roman" w:hAnsi="Times New Roman" w:cs="宋体"/>
                <w:color w:val="auto"/>
                <w:kern w:val="0"/>
                <w:sz w:val="18"/>
                <w:szCs w:val="18"/>
              </w:rPr>
              <w:t>根时，在非腐蚀环境下可不跨接。</w:t>
            </w:r>
            <w:r>
              <w:rPr>
                <w:rFonts w:ascii="Times New Roman" w:hAnsi="Times New Roman" w:cs="Times New Roman"/>
                <w:color w:val="auto"/>
                <w:kern w:val="0"/>
                <w:sz w:val="18"/>
                <w:szCs w:val="18"/>
              </w:rPr>
              <w:t>13.2.12</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该站工艺管道上的法兰、胶管等连接处应用金属线跨接。</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13</w:t>
            </w:r>
          </w:p>
        </w:tc>
        <w:tc>
          <w:tcPr>
            <w:tcW w:w="6525" w:type="dxa"/>
            <w:vAlign w:val="center"/>
          </w:tcPr>
          <w:p>
            <w:pPr>
              <w:autoSpaceDE w:val="0"/>
              <w:autoSpaceDN w:val="0"/>
              <w:spacing w:line="280" w:lineRule="exact"/>
              <w:rPr>
                <w:rFonts w:ascii="Times New Roman" w:hAnsi="Times New Roman" w:cs="Times New Roman"/>
                <w:b/>
                <w:bCs/>
                <w:color w:val="auto"/>
                <w:kern w:val="0"/>
                <w:sz w:val="18"/>
                <w:szCs w:val="18"/>
              </w:rPr>
            </w:pPr>
            <w:r>
              <w:rPr>
                <w:rFonts w:hint="eastAsia" w:ascii="Times New Roman" w:hAnsi="Times New Roman" w:cs="宋体"/>
                <w:color w:val="auto"/>
                <w:kern w:val="0"/>
                <w:sz w:val="18"/>
                <w:szCs w:val="18"/>
              </w:rPr>
              <w:t>油罐车卸油用的卸油软管、油气回收软管与两端接头，应保证可靠的电气连接。</w:t>
            </w:r>
            <w:r>
              <w:rPr>
                <w:rFonts w:ascii="Times New Roman" w:hAnsi="Times New Roman" w:cs="Times New Roman"/>
                <w:color w:val="auto"/>
                <w:kern w:val="0"/>
                <w:sz w:val="18"/>
                <w:szCs w:val="18"/>
              </w:rPr>
              <w:t>11.2.13</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可靠接地</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14</w:t>
            </w:r>
          </w:p>
        </w:tc>
        <w:tc>
          <w:tcPr>
            <w:tcW w:w="6525" w:type="dxa"/>
            <w:vAlign w:val="center"/>
          </w:tcPr>
          <w:p>
            <w:pPr>
              <w:autoSpaceDE w:val="0"/>
              <w:autoSpaceDN w:val="0"/>
              <w:adjustRightInd w:val="0"/>
              <w:spacing w:line="28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r>
              <w:rPr>
                <w:rFonts w:ascii="Times New Roman" w:hAnsi="Times New Roman" w:cs="Times New Roman"/>
                <w:color w:val="auto"/>
                <w:kern w:val="0"/>
                <w:sz w:val="18"/>
                <w:szCs w:val="18"/>
              </w:rPr>
              <w:t>13.2.14</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采用导静电热塑性塑料管道并有内村接地</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15</w:t>
            </w:r>
          </w:p>
        </w:tc>
        <w:tc>
          <w:tcPr>
            <w:tcW w:w="6525" w:type="dxa"/>
            <w:vAlign w:val="center"/>
          </w:tcPr>
          <w:p>
            <w:pPr>
              <w:autoSpaceDE w:val="0"/>
              <w:autoSpaceDN w:val="0"/>
              <w:spacing w:line="280" w:lineRule="exact"/>
              <w:rPr>
                <w:rFonts w:ascii="Times New Roman" w:hAnsi="Times New Roman" w:cs="Times New Roman"/>
                <w:b/>
                <w:bCs/>
                <w:color w:val="auto"/>
                <w:kern w:val="0"/>
                <w:sz w:val="18"/>
                <w:szCs w:val="18"/>
              </w:rPr>
            </w:pPr>
            <w:r>
              <w:rPr>
                <w:rFonts w:hint="eastAsia" w:ascii="Times New Roman" w:hAnsi="Times New Roman" w:cs="宋体"/>
                <w:color w:val="auto"/>
                <w:kern w:val="0"/>
                <w:sz w:val="18"/>
                <w:szCs w:val="18"/>
              </w:rPr>
              <w:t>防静电接地装置的接地电阻不应大于</w:t>
            </w:r>
            <w:r>
              <w:rPr>
                <w:rFonts w:ascii="Times New Roman" w:hAnsi="Times New Roman" w:cs="Times New Roman"/>
                <w:color w:val="auto"/>
                <w:kern w:val="0"/>
                <w:sz w:val="18"/>
                <w:szCs w:val="18"/>
              </w:rPr>
              <w:t>100Ω</w:t>
            </w:r>
            <w:r>
              <w:rPr>
                <w:rFonts w:hint="eastAsia" w:ascii="Times New Roman" w:hAnsi="Times New Roman" w:cs="宋体"/>
                <w:color w:val="auto"/>
                <w:kern w:val="0"/>
                <w:sz w:val="18"/>
                <w:szCs w:val="18"/>
              </w:rPr>
              <w:t>。</w:t>
            </w:r>
            <w:r>
              <w:rPr>
                <w:rFonts w:ascii="Times New Roman" w:hAnsi="Times New Roman" w:cs="Times New Roman"/>
                <w:color w:val="auto"/>
                <w:kern w:val="0"/>
                <w:sz w:val="18"/>
                <w:szCs w:val="18"/>
              </w:rPr>
              <w:t>13.2.15</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符合要求</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16</w:t>
            </w:r>
          </w:p>
        </w:tc>
        <w:tc>
          <w:tcPr>
            <w:tcW w:w="6525" w:type="dxa"/>
            <w:vAlign w:val="center"/>
          </w:tcPr>
          <w:p>
            <w:pPr>
              <w:autoSpaceDE w:val="0"/>
              <w:autoSpaceDN w:val="0"/>
              <w:spacing w:line="28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油罐车、</w:t>
            </w:r>
            <w:r>
              <w:rPr>
                <w:rFonts w:ascii="Times New Roman" w:hAnsi="Times New Roman" w:cs="Times New Roman"/>
                <w:color w:val="auto"/>
                <w:kern w:val="0"/>
                <w:sz w:val="18"/>
                <w:szCs w:val="18"/>
              </w:rPr>
              <w:t>LPG</w:t>
            </w:r>
            <w:r>
              <w:rPr>
                <w:rFonts w:hint="eastAsia" w:ascii="Times New Roman" w:hAnsi="Times New Roman" w:cs="宋体"/>
                <w:color w:val="auto"/>
                <w:kern w:val="0"/>
                <w:sz w:val="18"/>
                <w:szCs w:val="18"/>
              </w:rPr>
              <w:t>罐车、</w:t>
            </w:r>
            <w:r>
              <w:rPr>
                <w:rFonts w:ascii="Times New Roman" w:hAnsi="Times New Roman" w:cs="Times New Roman"/>
                <w:color w:val="auto"/>
                <w:kern w:val="0"/>
                <w:sz w:val="18"/>
                <w:szCs w:val="18"/>
              </w:rPr>
              <w:t>LNG</w:t>
            </w:r>
            <w:r>
              <w:rPr>
                <w:rFonts w:hint="eastAsia" w:ascii="Times New Roman" w:hAnsi="Times New Roman" w:cs="宋体"/>
                <w:color w:val="auto"/>
                <w:kern w:val="0"/>
                <w:sz w:val="18"/>
                <w:szCs w:val="18"/>
              </w:rPr>
              <w:t>罐车和液氢罐车卸车场地内用于防静电跨接的固定接地装置，不应设置在爆炸危险</w:t>
            </w:r>
            <w:r>
              <w:rPr>
                <w:rFonts w:ascii="Times New Roman" w:hAnsi="Times New Roman" w:cs="Times New Roman"/>
                <w:color w:val="auto"/>
                <w:kern w:val="0"/>
                <w:sz w:val="18"/>
                <w:szCs w:val="18"/>
              </w:rPr>
              <w:t>1</w:t>
            </w:r>
            <w:r>
              <w:rPr>
                <w:rFonts w:hint="eastAsia" w:ascii="Times New Roman" w:hAnsi="Times New Roman" w:cs="宋体"/>
                <w:color w:val="auto"/>
                <w:kern w:val="0"/>
                <w:sz w:val="18"/>
                <w:szCs w:val="18"/>
              </w:rPr>
              <w:t>区。</w:t>
            </w:r>
            <w:r>
              <w:rPr>
                <w:rFonts w:ascii="Times New Roman" w:hAnsi="Times New Roman" w:cs="Times New Roman"/>
                <w:color w:val="auto"/>
                <w:kern w:val="0"/>
                <w:sz w:val="18"/>
                <w:szCs w:val="18"/>
              </w:rPr>
              <w:t>13.2.16</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未设置在爆炸危险</w:t>
            </w:r>
            <w:r>
              <w:rPr>
                <w:rFonts w:ascii="Times New Roman" w:hAnsi="Times New Roman" w:cs="Times New Roman"/>
                <w:color w:val="auto"/>
                <w:kern w:val="0"/>
                <w:sz w:val="18"/>
                <w:szCs w:val="18"/>
              </w:rPr>
              <w:t>1</w:t>
            </w:r>
            <w:r>
              <w:rPr>
                <w:rFonts w:hint="eastAsia" w:ascii="Times New Roman" w:hAnsi="Times New Roman" w:cs="宋体"/>
                <w:color w:val="auto"/>
                <w:kern w:val="0"/>
                <w:sz w:val="18"/>
                <w:szCs w:val="18"/>
              </w:rPr>
              <w:t>区</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9080" w:type="dxa"/>
            <w:gridSpan w:val="4"/>
            <w:vAlign w:val="center"/>
          </w:tcPr>
          <w:p>
            <w:pPr>
              <w:spacing w:line="20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紧急切断系统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525" w:type="dxa"/>
            <w:vAlign w:val="center"/>
          </w:tcPr>
          <w:p>
            <w:pPr>
              <w:autoSpaceDE w:val="0"/>
              <w:autoSpaceDN w:val="0"/>
              <w:spacing w:line="28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检查记录</w:t>
            </w:r>
          </w:p>
        </w:tc>
        <w:tc>
          <w:tcPr>
            <w:tcW w:w="737" w:type="dxa"/>
            <w:vAlign w:val="center"/>
          </w:tcPr>
          <w:p>
            <w:pPr>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w:t>
            </w:r>
          </w:p>
        </w:tc>
        <w:tc>
          <w:tcPr>
            <w:tcW w:w="6525" w:type="dxa"/>
            <w:vAlign w:val="center"/>
          </w:tcPr>
          <w:p>
            <w:pPr>
              <w:spacing w:line="280" w:lineRule="exact"/>
              <w:rPr>
                <w:rFonts w:ascii="Times New Roman" w:hAnsi="Times New Roman" w:cs="Times New Roman"/>
                <w:b w:val="0"/>
                <w:bCs w:val="0"/>
                <w:color w:val="auto"/>
                <w:kern w:val="0"/>
                <w:sz w:val="18"/>
                <w:szCs w:val="18"/>
              </w:rPr>
            </w:pPr>
            <w:r>
              <w:rPr>
                <w:rFonts w:hint="eastAsia" w:ascii="Times New Roman" w:hAnsi="Times New Roman" w:cs="宋体"/>
                <w:b w:val="0"/>
                <w:bCs w:val="0"/>
                <w:color w:val="auto"/>
                <w:spacing w:val="10"/>
                <w:sz w:val="18"/>
                <w:szCs w:val="18"/>
              </w:rPr>
              <w:t>汽车加油加气加氢站应设置紧急切断系统，该系统应能在事故状态下实现紧急停车和关闭紧急切断阀的保护功能。</w:t>
            </w:r>
            <w:r>
              <w:rPr>
                <w:rFonts w:ascii="Times New Roman" w:hAnsi="Times New Roman" w:cs="Times New Roman"/>
                <w:b w:val="0"/>
                <w:bCs w:val="0"/>
                <w:color w:val="auto"/>
                <w:spacing w:val="10"/>
                <w:sz w:val="18"/>
                <w:szCs w:val="18"/>
              </w:rPr>
              <w:t>13.5.1</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设置</w:t>
            </w:r>
            <w:r>
              <w:rPr>
                <w:rFonts w:hint="eastAsia" w:ascii="Times New Roman" w:hAnsi="Times New Roman" w:cs="宋体"/>
                <w:color w:val="auto"/>
                <w:kern w:val="0"/>
                <w:sz w:val="18"/>
                <w:szCs w:val="18"/>
                <w:lang w:eastAsia="zh-CN"/>
              </w:rPr>
              <w:t>了</w:t>
            </w:r>
            <w:r>
              <w:rPr>
                <w:rFonts w:hint="eastAsia" w:ascii="Times New Roman" w:hAnsi="Times New Roman" w:cs="宋体"/>
                <w:color w:val="auto"/>
                <w:kern w:val="0"/>
                <w:sz w:val="18"/>
                <w:szCs w:val="18"/>
              </w:rPr>
              <w:t>紧急切断系统</w:t>
            </w:r>
          </w:p>
        </w:tc>
        <w:tc>
          <w:tcPr>
            <w:tcW w:w="737" w:type="dxa"/>
            <w:vAlign w:val="center"/>
          </w:tcPr>
          <w:p>
            <w:pPr>
              <w:spacing w:line="320" w:lineRule="exact"/>
              <w:jc w:val="center"/>
              <w:rPr>
                <w:rFonts w:hint="eastAsia" w:ascii="Times New Roman" w:hAnsi="Times New Roman" w:eastAsia="宋体" w:cs="Times New Roman"/>
                <w:color w:val="auto"/>
                <w:kern w:val="0"/>
                <w:sz w:val="18"/>
                <w:szCs w:val="18"/>
                <w:lang w:eastAsia="zh-CN"/>
              </w:rPr>
            </w:pPr>
            <w:r>
              <w:rPr>
                <w:rFonts w:hint="eastAsia" w:ascii="Times New Roman" w:hAnsi="Times New Roman" w:cs="宋体"/>
                <w:color w:val="auto"/>
                <w:kern w:val="0"/>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p>
        </w:tc>
        <w:tc>
          <w:tcPr>
            <w:tcW w:w="6525" w:type="dxa"/>
            <w:vAlign w:val="center"/>
          </w:tcPr>
          <w:p>
            <w:pPr>
              <w:autoSpaceDE w:val="0"/>
              <w:autoSpaceDN w:val="0"/>
              <w:adjustRightInd w:val="0"/>
              <w:spacing w:line="280" w:lineRule="exact"/>
              <w:rPr>
                <w:rFonts w:ascii="Times New Roman" w:hAnsi="Times New Roman" w:cs="Times New Roman"/>
                <w:b w:val="0"/>
                <w:bCs w:val="0"/>
                <w:color w:val="auto"/>
                <w:spacing w:val="10"/>
                <w:sz w:val="18"/>
                <w:szCs w:val="18"/>
              </w:rPr>
            </w:pPr>
            <w:r>
              <w:rPr>
                <w:rFonts w:hint="eastAsia" w:ascii="Times New Roman" w:hAnsi="Times New Roman" w:cs="宋体"/>
                <w:b w:val="0"/>
                <w:bCs w:val="0"/>
                <w:color w:val="auto"/>
                <w:spacing w:val="10"/>
                <w:sz w:val="18"/>
                <w:szCs w:val="18"/>
              </w:rPr>
              <w:t>紧急切断系统应至少在下列位置设置紧急切断开关：</w:t>
            </w:r>
          </w:p>
          <w:p>
            <w:pPr>
              <w:autoSpaceDE w:val="0"/>
              <w:autoSpaceDN w:val="0"/>
              <w:adjustRightInd w:val="0"/>
              <w:spacing w:line="280" w:lineRule="exact"/>
              <w:rPr>
                <w:rFonts w:ascii="Times New Roman" w:hAnsi="Times New Roman" w:cs="Times New Roman"/>
                <w:b w:val="0"/>
                <w:bCs w:val="0"/>
                <w:color w:val="auto"/>
                <w:spacing w:val="10"/>
                <w:sz w:val="18"/>
                <w:szCs w:val="18"/>
              </w:rPr>
            </w:pPr>
            <w:r>
              <w:rPr>
                <w:rFonts w:ascii="Times New Roman" w:hAnsi="Times New Roman" w:cs="Times New Roman"/>
                <w:b w:val="0"/>
                <w:bCs w:val="0"/>
                <w:color w:val="auto"/>
                <w:spacing w:val="10"/>
                <w:sz w:val="18"/>
                <w:szCs w:val="18"/>
              </w:rPr>
              <w:t>1</w:t>
            </w:r>
            <w:r>
              <w:rPr>
                <w:rFonts w:hint="eastAsia" w:ascii="Times New Roman" w:hAnsi="Times New Roman" w:cs="宋体"/>
                <w:b w:val="0"/>
                <w:bCs w:val="0"/>
                <w:color w:val="auto"/>
                <w:spacing w:val="10"/>
                <w:sz w:val="18"/>
                <w:szCs w:val="18"/>
              </w:rPr>
              <w:t>、在汽车加油加气加氢站现场工作人员容易接近且较为安全的位置；</w:t>
            </w:r>
          </w:p>
          <w:p>
            <w:pPr>
              <w:autoSpaceDE w:val="0"/>
              <w:autoSpaceDN w:val="0"/>
              <w:adjustRightInd w:val="0"/>
              <w:spacing w:line="280" w:lineRule="exact"/>
              <w:rPr>
                <w:rFonts w:ascii="Times New Roman" w:hAnsi="Times New Roman" w:cs="Times New Roman"/>
                <w:b w:val="0"/>
                <w:bCs w:val="0"/>
                <w:color w:val="auto"/>
                <w:spacing w:val="10"/>
                <w:sz w:val="18"/>
                <w:szCs w:val="18"/>
              </w:rPr>
            </w:pPr>
            <w:r>
              <w:rPr>
                <w:rFonts w:ascii="Times New Roman" w:hAnsi="Times New Roman" w:cs="Times New Roman"/>
                <w:b w:val="0"/>
                <w:bCs w:val="0"/>
                <w:color w:val="auto"/>
                <w:spacing w:val="10"/>
                <w:sz w:val="18"/>
                <w:szCs w:val="18"/>
              </w:rPr>
              <w:t>2</w:t>
            </w:r>
            <w:r>
              <w:rPr>
                <w:rFonts w:hint="eastAsia" w:ascii="Times New Roman" w:hAnsi="Times New Roman" w:cs="宋体"/>
                <w:b w:val="0"/>
                <w:bCs w:val="0"/>
                <w:color w:val="auto"/>
                <w:spacing w:val="10"/>
                <w:sz w:val="18"/>
                <w:szCs w:val="18"/>
              </w:rPr>
              <w:t>、在控制室、值班室内或站房收银台等有人员值守的位置。</w:t>
            </w:r>
            <w:r>
              <w:rPr>
                <w:rFonts w:ascii="Times New Roman" w:hAnsi="Times New Roman" w:cs="Times New Roman"/>
                <w:b w:val="0"/>
                <w:bCs w:val="0"/>
                <w:color w:val="auto"/>
                <w:spacing w:val="10"/>
                <w:sz w:val="18"/>
                <w:szCs w:val="18"/>
              </w:rPr>
              <w:t>13.5.2</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设置</w:t>
            </w:r>
            <w:r>
              <w:rPr>
                <w:rFonts w:hint="eastAsia" w:ascii="Times New Roman" w:hAnsi="Times New Roman" w:cs="宋体"/>
                <w:color w:val="auto"/>
                <w:kern w:val="0"/>
                <w:sz w:val="18"/>
                <w:szCs w:val="18"/>
                <w:lang w:val="en-US" w:eastAsia="zh-CN"/>
              </w:rPr>
              <w:t>了</w:t>
            </w:r>
            <w:r>
              <w:rPr>
                <w:rFonts w:hint="eastAsia" w:ascii="Times New Roman" w:hAnsi="Times New Roman" w:cs="宋体"/>
                <w:color w:val="auto"/>
                <w:kern w:val="0"/>
                <w:sz w:val="18"/>
                <w:szCs w:val="18"/>
              </w:rPr>
              <w:t>紧急切断系统</w:t>
            </w:r>
          </w:p>
        </w:tc>
        <w:tc>
          <w:tcPr>
            <w:tcW w:w="737"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3</w:t>
            </w:r>
          </w:p>
        </w:tc>
        <w:tc>
          <w:tcPr>
            <w:tcW w:w="6525" w:type="dxa"/>
            <w:vAlign w:val="center"/>
          </w:tcPr>
          <w:p>
            <w:pPr>
              <w:spacing w:line="280" w:lineRule="exact"/>
              <w:rPr>
                <w:rFonts w:ascii="Times New Roman" w:hAnsi="Times New Roman" w:cs="Times New Roman"/>
                <w:b w:val="0"/>
                <w:bCs w:val="0"/>
                <w:color w:val="auto"/>
                <w:spacing w:val="10"/>
                <w:sz w:val="18"/>
                <w:szCs w:val="18"/>
              </w:rPr>
            </w:pPr>
            <w:r>
              <w:rPr>
                <w:rFonts w:hint="eastAsia" w:ascii="Times New Roman" w:hAnsi="Times New Roman" w:cs="宋体"/>
                <w:b w:val="0"/>
                <w:bCs w:val="0"/>
                <w:color w:val="auto"/>
                <w:spacing w:val="10"/>
                <w:sz w:val="18"/>
                <w:szCs w:val="18"/>
              </w:rPr>
              <w:t>工艺设备的电源和工艺管道上的紧急切断阀应能由手动启动的远程控制切断系统操纵关闭。</w:t>
            </w:r>
            <w:r>
              <w:rPr>
                <w:rFonts w:ascii="Times New Roman" w:hAnsi="Times New Roman" w:cs="Times New Roman"/>
                <w:b w:val="0"/>
                <w:bCs w:val="0"/>
                <w:color w:val="auto"/>
                <w:spacing w:val="10"/>
                <w:sz w:val="18"/>
                <w:szCs w:val="18"/>
              </w:rPr>
              <w:t>13.5.3</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配电箱上设有手动切断</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4</w:t>
            </w:r>
          </w:p>
        </w:tc>
        <w:tc>
          <w:tcPr>
            <w:tcW w:w="6525" w:type="dxa"/>
            <w:vAlign w:val="center"/>
          </w:tcPr>
          <w:p>
            <w:pPr>
              <w:spacing w:line="280" w:lineRule="exact"/>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紧急切断系统应只能手动复位。</w:t>
            </w:r>
            <w:r>
              <w:rPr>
                <w:rFonts w:ascii="Times New Roman" w:hAnsi="Times New Roman" w:cs="Times New Roman"/>
                <w:color w:val="auto"/>
                <w:spacing w:val="10"/>
                <w:sz w:val="18"/>
                <w:szCs w:val="18"/>
              </w:rPr>
              <w:t>13.5.4</w:t>
            </w:r>
          </w:p>
        </w:tc>
        <w:tc>
          <w:tcPr>
            <w:tcW w:w="1110" w:type="dxa"/>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手动复位</w:t>
            </w:r>
          </w:p>
        </w:tc>
        <w:tc>
          <w:tcPr>
            <w:tcW w:w="737" w:type="dxa"/>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bl>
    <w:p>
      <w:pPr>
        <w:keepNext/>
        <w:keepLines/>
        <w:spacing w:line="600" w:lineRule="exact"/>
        <w:outlineLvl w:val="1"/>
        <w:rPr>
          <w:rFonts w:ascii="Times New Roman" w:hAnsi="Times New Roman" w:cs="Times New Roman"/>
          <w:b/>
          <w:bCs/>
          <w:color w:val="auto"/>
          <w:sz w:val="28"/>
          <w:szCs w:val="28"/>
        </w:rPr>
      </w:pPr>
      <w:bookmarkStart w:id="155" w:name="_Toc10965"/>
      <w:bookmarkStart w:id="156" w:name="_Toc1877"/>
      <w:r>
        <w:rPr>
          <w:rFonts w:ascii="Times New Roman" w:hAnsi="Times New Roman" w:cs="Times New Roman"/>
          <w:b/>
          <w:bCs/>
          <w:color w:val="auto"/>
          <w:sz w:val="28"/>
          <w:szCs w:val="28"/>
        </w:rPr>
        <w:t xml:space="preserve">6.6 </w:t>
      </w:r>
      <w:r>
        <w:rPr>
          <w:rFonts w:hint="eastAsia" w:ascii="Times New Roman" w:hAnsi="Times New Roman" w:cs="宋体"/>
          <w:b/>
          <w:bCs/>
          <w:color w:val="auto"/>
          <w:sz w:val="28"/>
          <w:szCs w:val="28"/>
        </w:rPr>
        <w:t>加油站采暖通风、建（构）筑物、绿化符合性评价</w:t>
      </w:r>
      <w:bookmarkEnd w:id="155"/>
      <w:bookmarkEnd w:id="156"/>
    </w:p>
    <w:p>
      <w:pPr>
        <w:jc w:val="center"/>
        <w:rPr>
          <w:rFonts w:ascii="Times New Roman" w:hAnsi="Times New Roman" w:cs="Times New Roman"/>
          <w:b/>
          <w:bCs/>
          <w:color w:val="auto"/>
          <w:lang w:val="zh-CN"/>
        </w:rPr>
      </w:pPr>
      <w:r>
        <w:rPr>
          <w:rFonts w:hint="eastAsia" w:ascii="Times New Roman" w:hAnsi="Times New Roman" w:cs="宋体"/>
          <w:b/>
          <w:bCs/>
          <w:color w:val="auto"/>
          <w:lang w:val="zh-CN"/>
        </w:rPr>
        <w:t>表</w:t>
      </w:r>
      <w:r>
        <w:rPr>
          <w:rFonts w:ascii="Times New Roman" w:hAnsi="Times New Roman" w:cs="Times New Roman"/>
          <w:b/>
          <w:bCs/>
          <w:color w:val="auto"/>
          <w:lang w:val="zh-CN"/>
        </w:rPr>
        <w:t>6-</w:t>
      </w:r>
      <w:r>
        <w:rPr>
          <w:rFonts w:ascii="Times New Roman" w:hAnsi="Times New Roman" w:cs="Times New Roman"/>
          <w:b/>
          <w:bCs/>
          <w:color w:val="auto"/>
        </w:rPr>
        <w:t>9</w:t>
      </w:r>
      <w:r>
        <w:rPr>
          <w:rFonts w:ascii="Times New Roman" w:hAnsi="Times New Roman" w:cs="Times New Roman"/>
          <w:b/>
          <w:bCs/>
          <w:color w:val="auto"/>
          <w:lang w:val="zh-CN"/>
        </w:rPr>
        <w:t xml:space="preserve"> </w:t>
      </w:r>
      <w:r>
        <w:rPr>
          <w:rFonts w:hint="eastAsia" w:ascii="Times New Roman" w:hAnsi="Times New Roman" w:cs="宋体"/>
          <w:b/>
          <w:bCs/>
          <w:color w:val="auto"/>
          <w:lang w:val="zh-CN"/>
        </w:rPr>
        <w:t>加油站采暖通风、建（构）筑物、绿化符合性检查表</w:t>
      </w:r>
    </w:p>
    <w:tbl>
      <w:tblPr>
        <w:tblStyle w:val="20"/>
        <w:tblW w:w="9080" w:type="dxa"/>
        <w:jc w:val="center"/>
        <w:tblLayout w:type="fixed"/>
        <w:tblCellMar>
          <w:top w:w="0" w:type="dxa"/>
          <w:left w:w="0" w:type="dxa"/>
          <w:bottom w:w="0" w:type="dxa"/>
          <w:right w:w="0" w:type="dxa"/>
        </w:tblCellMar>
      </w:tblPr>
      <w:tblGrid>
        <w:gridCol w:w="708"/>
        <w:gridCol w:w="6555"/>
        <w:gridCol w:w="1065"/>
        <w:gridCol w:w="752"/>
      </w:tblGrid>
      <w:tr>
        <w:tblPrEx>
          <w:tblCellMar>
            <w:top w:w="0" w:type="dxa"/>
            <w:left w:w="0" w:type="dxa"/>
            <w:bottom w:w="0" w:type="dxa"/>
            <w:right w:w="0" w:type="dxa"/>
          </w:tblCellMar>
        </w:tblPrEx>
        <w:trPr>
          <w:trHeight w:val="397" w:hRule="atLeast"/>
          <w:jc w:val="center"/>
        </w:trPr>
        <w:tc>
          <w:tcPr>
            <w:tcW w:w="9080" w:type="dxa"/>
            <w:gridSpan w:val="4"/>
            <w:tcBorders>
              <w:top w:val="single" w:color="auto" w:sz="4" w:space="0"/>
              <w:left w:val="single" w:color="auto" w:sz="4" w:space="0"/>
              <w:bottom w:val="single" w:color="auto" w:sz="8" w:space="0"/>
              <w:right w:val="single" w:color="auto" w:sz="4"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采暖通风</w:t>
            </w:r>
          </w:p>
        </w:tc>
      </w:tr>
      <w:tr>
        <w:tblPrEx>
          <w:tblCellMar>
            <w:top w:w="0" w:type="dxa"/>
            <w:left w:w="0" w:type="dxa"/>
            <w:bottom w:w="0" w:type="dxa"/>
            <w:right w:w="0" w:type="dxa"/>
          </w:tblCellMar>
        </w:tblPrEx>
        <w:trPr>
          <w:trHeight w:val="405" w:hRule="atLeast"/>
          <w:jc w:val="center"/>
        </w:trPr>
        <w:tc>
          <w:tcPr>
            <w:tcW w:w="708"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555" w:type="dxa"/>
            <w:tcBorders>
              <w:top w:val="single" w:color="auto" w:sz="8" w:space="0"/>
              <w:left w:val="single" w:color="auto" w:sz="8" w:space="0"/>
              <w:bottom w:val="single" w:color="auto" w:sz="8" w:space="0"/>
              <w:right w:val="single" w:color="auto" w:sz="4"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065" w:type="dxa"/>
            <w:tcBorders>
              <w:top w:val="single" w:color="auto" w:sz="8" w:space="0"/>
              <w:left w:val="single" w:color="auto" w:sz="4" w:space="0"/>
              <w:bottom w:val="single" w:color="auto" w:sz="8" w:space="0"/>
              <w:right w:val="single" w:color="auto" w:sz="4" w:space="0"/>
            </w:tcBorders>
            <w:vAlign w:val="center"/>
          </w:tcPr>
          <w:p>
            <w:pPr>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752" w:type="dxa"/>
            <w:tcBorders>
              <w:top w:val="single" w:color="auto" w:sz="8" w:space="0"/>
              <w:left w:val="single" w:color="auto" w:sz="4" w:space="0"/>
              <w:bottom w:val="single" w:color="auto" w:sz="8" w:space="0"/>
              <w:right w:val="single" w:color="auto" w:sz="4" w:space="0"/>
            </w:tcBorders>
            <w:vAlign w:val="center"/>
          </w:tcPr>
          <w:p>
            <w:pPr>
              <w:spacing w:line="32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CellMar>
            <w:top w:w="0" w:type="dxa"/>
            <w:left w:w="0" w:type="dxa"/>
            <w:bottom w:w="0" w:type="dxa"/>
            <w:right w:w="0" w:type="dxa"/>
          </w:tblCellMar>
        </w:tblPrEx>
        <w:trPr>
          <w:trHeight w:val="561" w:hRule="atLeast"/>
          <w:jc w:val="center"/>
        </w:trPr>
        <w:tc>
          <w:tcPr>
            <w:tcW w:w="708"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w:t>
            </w:r>
          </w:p>
        </w:tc>
        <w:tc>
          <w:tcPr>
            <w:tcW w:w="6555" w:type="dxa"/>
            <w:tcBorders>
              <w:top w:val="single" w:color="auto" w:sz="8" w:space="0"/>
              <w:left w:val="single" w:color="auto" w:sz="8" w:space="0"/>
              <w:bottom w:val="single" w:color="auto" w:sz="8" w:space="0"/>
              <w:right w:val="single" w:color="auto" w:sz="4" w:space="0"/>
            </w:tcBorders>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汽车加油加气加氢站采暖宜利用城市、小区或领近单位的热源。无利用条件时，可在汽车加油加气加氢站内设置锅炉房。</w:t>
            </w:r>
            <w:r>
              <w:rPr>
                <w:rFonts w:ascii="Times New Roman" w:hAnsi="Times New Roman" w:cs="Times New Roman"/>
                <w:color w:val="auto"/>
                <w:kern w:val="0"/>
                <w:sz w:val="18"/>
                <w:szCs w:val="18"/>
              </w:rPr>
              <w:t>14.1.2</w:t>
            </w:r>
          </w:p>
        </w:tc>
        <w:tc>
          <w:tcPr>
            <w:tcW w:w="1065" w:type="dxa"/>
            <w:tcBorders>
              <w:top w:val="single" w:color="auto" w:sz="8" w:space="0"/>
              <w:left w:val="single" w:color="auto" w:sz="4" w:space="0"/>
              <w:bottom w:val="single" w:color="auto" w:sz="8"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752" w:type="dxa"/>
            <w:tcBorders>
              <w:top w:val="single" w:color="auto" w:sz="8" w:space="0"/>
              <w:left w:val="single" w:color="auto" w:sz="4" w:space="0"/>
              <w:bottom w:val="single" w:color="auto" w:sz="8"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CellMar>
            <w:top w:w="0" w:type="dxa"/>
            <w:left w:w="0" w:type="dxa"/>
            <w:bottom w:w="0" w:type="dxa"/>
            <w:right w:w="0" w:type="dxa"/>
          </w:tblCellMar>
        </w:tblPrEx>
        <w:trPr>
          <w:trHeight w:val="331" w:hRule="atLeast"/>
          <w:jc w:val="center"/>
        </w:trPr>
        <w:tc>
          <w:tcPr>
            <w:tcW w:w="708"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p>
        </w:tc>
        <w:tc>
          <w:tcPr>
            <w:tcW w:w="6555" w:type="dxa"/>
            <w:tcBorders>
              <w:top w:val="single" w:color="auto" w:sz="8" w:space="0"/>
              <w:left w:val="single" w:color="auto" w:sz="8" w:space="0"/>
              <w:bottom w:val="single" w:color="auto" w:sz="8" w:space="0"/>
              <w:right w:val="single" w:color="auto" w:sz="4" w:space="0"/>
            </w:tcBorders>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设置在站房内的热水锅炉房（间）应符合下列规定：</w:t>
            </w:r>
          </w:p>
          <w:p>
            <w:pPr>
              <w:autoSpaceDE w:val="0"/>
              <w:autoSpaceDN w:val="0"/>
              <w:spacing w:line="320" w:lineRule="exac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1 </w:t>
            </w:r>
            <w:r>
              <w:rPr>
                <w:rFonts w:hint="eastAsia" w:ascii="Times New Roman" w:hAnsi="Times New Roman" w:cs="宋体"/>
                <w:color w:val="auto"/>
                <w:kern w:val="0"/>
                <w:sz w:val="18"/>
                <w:szCs w:val="18"/>
              </w:rPr>
              <w:t>锅炉宜选用额定供热量不大于</w:t>
            </w:r>
            <w:r>
              <w:rPr>
                <w:rFonts w:ascii="Times New Roman" w:hAnsi="Times New Roman" w:cs="Times New Roman"/>
                <w:color w:val="auto"/>
                <w:kern w:val="0"/>
                <w:sz w:val="18"/>
                <w:szCs w:val="18"/>
              </w:rPr>
              <w:t>140kW</w:t>
            </w:r>
            <w:r>
              <w:rPr>
                <w:rFonts w:hint="eastAsia" w:ascii="Times New Roman" w:hAnsi="Times New Roman" w:cs="宋体"/>
                <w:color w:val="auto"/>
                <w:kern w:val="0"/>
                <w:sz w:val="18"/>
                <w:szCs w:val="18"/>
              </w:rPr>
              <w:t>的小型锅炉。</w:t>
            </w:r>
          </w:p>
          <w:p>
            <w:pPr>
              <w:autoSpaceDE w:val="0"/>
              <w:autoSpaceDN w:val="0"/>
              <w:spacing w:line="320" w:lineRule="exac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2 </w:t>
            </w:r>
            <w:r>
              <w:rPr>
                <w:rFonts w:hint="eastAsia" w:ascii="Times New Roman" w:hAnsi="Times New Roman" w:cs="宋体"/>
                <w:color w:val="auto"/>
                <w:kern w:val="0"/>
                <w:sz w:val="18"/>
                <w:szCs w:val="18"/>
              </w:rPr>
              <w:t>采用燃煤锅炉时，宜选用具有除尘功能的自然通风型锅炉。锅炉烟囱出口应高出屋顶</w:t>
            </w:r>
            <w:r>
              <w:rPr>
                <w:rFonts w:ascii="Times New Roman" w:hAnsi="Times New Roman" w:cs="Times New Roman"/>
                <w:color w:val="auto"/>
                <w:kern w:val="0"/>
                <w:sz w:val="18"/>
                <w:szCs w:val="18"/>
              </w:rPr>
              <w:t>2m</w:t>
            </w:r>
            <w:r>
              <w:rPr>
                <w:rFonts w:hint="eastAsia" w:ascii="Times New Roman" w:hAnsi="Times New Roman" w:cs="宋体"/>
                <w:color w:val="auto"/>
                <w:kern w:val="0"/>
                <w:sz w:val="18"/>
                <w:szCs w:val="18"/>
              </w:rPr>
              <w:t>及以上，且应采取防止火星外逸的有效措施。</w:t>
            </w:r>
          </w:p>
          <w:p>
            <w:pPr>
              <w:autoSpaceDE w:val="0"/>
              <w:autoSpaceDN w:val="0"/>
              <w:spacing w:line="320" w:lineRule="exac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3 </w:t>
            </w:r>
            <w:r>
              <w:rPr>
                <w:rFonts w:hint="eastAsia" w:ascii="Times New Roman" w:hAnsi="Times New Roman" w:cs="宋体"/>
                <w:color w:val="auto"/>
                <w:kern w:val="0"/>
                <w:sz w:val="18"/>
                <w:szCs w:val="18"/>
              </w:rPr>
              <w:t>当采用燃气热水器采暖时，热水器应设有排烟系统和熄火保护等安全装置。</w:t>
            </w:r>
            <w:r>
              <w:rPr>
                <w:rFonts w:ascii="Times New Roman" w:hAnsi="Times New Roman" w:cs="Times New Roman"/>
                <w:color w:val="auto"/>
                <w:kern w:val="0"/>
                <w:sz w:val="18"/>
                <w:szCs w:val="18"/>
              </w:rPr>
              <w:t>14.1.3</w:t>
            </w:r>
          </w:p>
        </w:tc>
        <w:tc>
          <w:tcPr>
            <w:tcW w:w="1065" w:type="dxa"/>
            <w:tcBorders>
              <w:top w:val="single" w:color="auto" w:sz="8" w:space="0"/>
              <w:left w:val="single" w:color="auto" w:sz="4" w:space="0"/>
              <w:bottom w:val="single" w:color="auto" w:sz="8" w:space="0"/>
              <w:right w:val="single" w:color="auto" w:sz="4" w:space="0"/>
            </w:tcBorders>
            <w:vAlign w:val="center"/>
          </w:tcPr>
          <w:p>
            <w:pPr>
              <w:spacing w:line="200" w:lineRule="exact"/>
              <w:jc w:val="center"/>
              <w:rPr>
                <w:rFonts w:ascii="Times New Roman" w:hAnsi="Times New Roman" w:cs="Times New Roman"/>
                <w:color w:val="auto"/>
                <w:kern w:val="0"/>
                <w:sz w:val="15"/>
                <w:szCs w:val="15"/>
              </w:rPr>
            </w:pPr>
            <w:r>
              <w:rPr>
                <w:rFonts w:ascii="Times New Roman" w:hAnsi="Times New Roman" w:cs="Times New Roman"/>
                <w:color w:val="auto"/>
                <w:kern w:val="0"/>
                <w:sz w:val="15"/>
                <w:szCs w:val="15"/>
              </w:rPr>
              <w:t>-</w:t>
            </w:r>
          </w:p>
        </w:tc>
        <w:tc>
          <w:tcPr>
            <w:tcW w:w="752" w:type="dxa"/>
            <w:tcBorders>
              <w:top w:val="single" w:color="auto" w:sz="8" w:space="0"/>
              <w:left w:val="single" w:color="auto" w:sz="4" w:space="0"/>
              <w:bottom w:val="single" w:color="auto" w:sz="8"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CellMar>
            <w:top w:w="0" w:type="dxa"/>
            <w:left w:w="0" w:type="dxa"/>
            <w:bottom w:w="0" w:type="dxa"/>
            <w:right w:w="0" w:type="dxa"/>
          </w:tblCellMar>
        </w:tblPrEx>
        <w:trPr>
          <w:trHeight w:val="304" w:hRule="atLeast"/>
          <w:jc w:val="center"/>
        </w:trPr>
        <w:tc>
          <w:tcPr>
            <w:tcW w:w="708" w:type="dxa"/>
            <w:tcBorders>
              <w:top w:val="single" w:color="auto" w:sz="8"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3</w:t>
            </w:r>
          </w:p>
        </w:tc>
        <w:tc>
          <w:tcPr>
            <w:tcW w:w="6555" w:type="dxa"/>
            <w:tcBorders>
              <w:top w:val="single" w:color="auto" w:sz="8" w:space="0"/>
              <w:left w:val="single" w:color="auto" w:sz="8" w:space="0"/>
              <w:bottom w:val="single" w:color="auto" w:sz="6"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汽车加油加气加氢站内爆炸危险区域内的房间应采取通风措施，并应符合下列规定：</w:t>
            </w:r>
          </w:p>
          <w:p>
            <w:pPr>
              <w:autoSpaceDE w:val="0"/>
              <w:autoSpaceDN w:val="0"/>
              <w:adjustRightInd w:val="0"/>
              <w:spacing w:line="320" w:lineRule="exact"/>
              <w:jc w:val="lef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1 </w:t>
            </w:r>
            <w:r>
              <w:rPr>
                <w:rFonts w:hint="eastAsia" w:ascii="Times New Roman" w:hAnsi="Times New Roman" w:cs="宋体"/>
                <w:color w:val="auto"/>
                <w:kern w:val="0"/>
                <w:sz w:val="18"/>
                <w:szCs w:val="18"/>
              </w:rPr>
              <w:t>采用强制通风时，通风设备的通风能力在工艺设备工作期间应按每小时换气</w:t>
            </w:r>
            <w:r>
              <w:rPr>
                <w:rFonts w:ascii="Times New Roman" w:hAnsi="Times New Roman" w:cs="Times New Roman"/>
                <w:color w:val="auto"/>
                <w:kern w:val="0"/>
                <w:sz w:val="18"/>
                <w:szCs w:val="18"/>
              </w:rPr>
              <w:t>12</w:t>
            </w:r>
            <w:r>
              <w:rPr>
                <w:rFonts w:hint="eastAsia" w:ascii="Times New Roman" w:hAnsi="Times New Roman" w:cs="宋体"/>
                <w:color w:val="auto"/>
                <w:kern w:val="0"/>
                <w:sz w:val="18"/>
                <w:szCs w:val="18"/>
              </w:rPr>
              <w:t>次计算，在工艺设备非工作期间应按每小时换气</w:t>
            </w:r>
            <w:r>
              <w:rPr>
                <w:rFonts w:ascii="Times New Roman" w:hAnsi="Times New Roman" w:cs="Times New Roman"/>
                <w:color w:val="auto"/>
                <w:kern w:val="0"/>
                <w:sz w:val="18"/>
                <w:szCs w:val="18"/>
              </w:rPr>
              <w:t>5</w:t>
            </w:r>
            <w:r>
              <w:rPr>
                <w:rFonts w:hint="eastAsia" w:ascii="Times New Roman" w:hAnsi="Times New Roman" w:cs="宋体"/>
                <w:color w:val="auto"/>
                <w:kern w:val="0"/>
                <w:sz w:val="18"/>
                <w:szCs w:val="18"/>
              </w:rPr>
              <w:t>次计算。通风设备应防爆，并应与可燃气体浓度报警器联锁。</w:t>
            </w:r>
          </w:p>
          <w:p>
            <w:pPr>
              <w:autoSpaceDE w:val="0"/>
              <w:autoSpaceDN w:val="0"/>
              <w:adjustRightInd w:val="0"/>
              <w:spacing w:line="320" w:lineRule="exact"/>
              <w:jc w:val="lef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2 </w:t>
            </w:r>
            <w:r>
              <w:rPr>
                <w:rFonts w:hint="eastAsia" w:ascii="Times New Roman" w:hAnsi="Times New Roman" w:cs="宋体"/>
                <w:color w:val="auto"/>
                <w:kern w:val="0"/>
                <w:sz w:val="18"/>
                <w:szCs w:val="18"/>
              </w:rPr>
              <w:t>采用自然通风时，通风口总面积不应小于</w:t>
            </w:r>
            <w:r>
              <w:rPr>
                <w:rFonts w:ascii="Times New Roman" w:hAnsi="Times New Roman" w:cs="Times New Roman"/>
                <w:color w:val="auto"/>
                <w:kern w:val="0"/>
                <w:sz w:val="18"/>
                <w:szCs w:val="18"/>
              </w:rPr>
              <w:t>300cm² /m²</w:t>
            </w:r>
            <w:r>
              <w:rPr>
                <w:rFonts w:hint="eastAsia" w:ascii="Times New Roman" w:hAnsi="Times New Roman" w:cs="宋体"/>
                <w:color w:val="auto"/>
                <w:kern w:val="0"/>
                <w:sz w:val="18"/>
                <w:szCs w:val="18"/>
              </w:rPr>
              <w:t>（地面），通风口不应少于</w:t>
            </w:r>
            <w:r>
              <w:rPr>
                <w:rFonts w:ascii="Times New Roman" w:hAnsi="Times New Roman" w:cs="Times New Roman"/>
                <w:color w:val="auto"/>
                <w:kern w:val="0"/>
                <w:sz w:val="18"/>
                <w:szCs w:val="18"/>
              </w:rPr>
              <w:t>2</w:t>
            </w:r>
            <w:r>
              <w:rPr>
                <w:rFonts w:hint="eastAsia" w:ascii="Times New Roman" w:hAnsi="Times New Roman" w:cs="宋体"/>
                <w:color w:val="auto"/>
                <w:kern w:val="0"/>
                <w:sz w:val="18"/>
                <w:szCs w:val="18"/>
              </w:rPr>
              <w:t>个，且应靠近可燃气体积聚的部位设置。</w:t>
            </w:r>
            <w:r>
              <w:rPr>
                <w:rFonts w:ascii="Times New Roman" w:hAnsi="Times New Roman" w:cs="Times New Roman"/>
                <w:color w:val="auto"/>
                <w:kern w:val="0"/>
                <w:sz w:val="18"/>
                <w:szCs w:val="18"/>
              </w:rPr>
              <w:t>14.1.4</w:t>
            </w:r>
          </w:p>
        </w:tc>
        <w:tc>
          <w:tcPr>
            <w:tcW w:w="1065" w:type="dxa"/>
            <w:tcBorders>
              <w:top w:val="single" w:color="auto" w:sz="8"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爆炸危险区域内无房间</w:t>
            </w:r>
          </w:p>
        </w:tc>
        <w:tc>
          <w:tcPr>
            <w:tcW w:w="752" w:type="dxa"/>
            <w:tcBorders>
              <w:top w:val="single" w:color="auto" w:sz="8"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4</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汽车加油加气加氢站室内外采暖管道宜直埋敷设，当采用管沟敷设时，管沟应充沙填实，进出建筑物处应采取隔断措施。</w:t>
            </w:r>
            <w:r>
              <w:rPr>
                <w:rFonts w:ascii="Times New Roman" w:hAnsi="Times New Roman" w:cs="Times New Roman"/>
                <w:color w:val="auto"/>
                <w:kern w:val="0"/>
                <w:sz w:val="18"/>
                <w:szCs w:val="18"/>
              </w:rPr>
              <w:t>14.1.5</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CellMar>
            <w:top w:w="0" w:type="dxa"/>
            <w:left w:w="0" w:type="dxa"/>
            <w:bottom w:w="0" w:type="dxa"/>
            <w:right w:w="0" w:type="dxa"/>
          </w:tblCellMar>
        </w:tblPrEx>
        <w:trPr>
          <w:trHeight w:val="395" w:hRule="atLeast"/>
          <w:jc w:val="center"/>
        </w:trPr>
        <w:tc>
          <w:tcPr>
            <w:tcW w:w="9080" w:type="dxa"/>
            <w:gridSpan w:val="4"/>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建（构）筑物</w:t>
            </w:r>
          </w:p>
        </w:tc>
      </w:tr>
      <w:tr>
        <w:tblPrEx>
          <w:tblCellMar>
            <w:top w:w="0" w:type="dxa"/>
            <w:left w:w="0" w:type="dxa"/>
            <w:bottom w:w="0" w:type="dxa"/>
            <w:right w:w="0" w:type="dxa"/>
          </w:tblCellMar>
        </w:tblPrEx>
        <w:trPr>
          <w:trHeight w:val="410"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序号</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检查内容</w:t>
            </w:r>
          </w:p>
        </w:tc>
        <w:tc>
          <w:tcPr>
            <w:tcW w:w="1065"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检查记录</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结论</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spacing w:line="320" w:lineRule="exac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作业区内的站房及其他附属建筑物的耐火等级不应低于二级。罩棚顶棚可采用无防火保护的钢结构。</w:t>
            </w:r>
            <w:r>
              <w:rPr>
                <w:rFonts w:ascii="Times New Roman" w:hAnsi="Times New Roman" w:cs="Times New Roman"/>
                <w:color w:val="auto"/>
                <w:kern w:val="0"/>
                <w:sz w:val="18"/>
                <w:szCs w:val="18"/>
              </w:rPr>
              <w:t>14.2.1</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站房耐火等级为二级</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spacing w:line="320" w:lineRule="exact"/>
              <w:textAlignment w:val="bottom"/>
              <w:rPr>
                <w:rFonts w:ascii="Times New Roman" w:hAnsi="Times New Roman" w:cs="Times New Roman"/>
                <w:color w:val="auto"/>
                <w:spacing w:val="10"/>
                <w:sz w:val="18"/>
                <w:szCs w:val="18"/>
              </w:rPr>
            </w:pPr>
            <w:r>
              <w:rPr>
                <w:rFonts w:hint="eastAsia" w:ascii="Times New Roman" w:hAnsi="Times New Roman" w:cs="宋体"/>
                <w:color w:val="auto"/>
                <w:spacing w:val="10"/>
                <w:sz w:val="18"/>
                <w:szCs w:val="18"/>
              </w:rPr>
              <w:t>汽车加油加气加氢场地宜设罩棚，罩棚的设计应符合下列规定：</w:t>
            </w:r>
          </w:p>
          <w:p>
            <w:pPr>
              <w:autoSpaceDE w:val="0"/>
              <w:autoSpaceDN w:val="0"/>
              <w:spacing w:line="320" w:lineRule="exact"/>
              <w:textAlignment w:val="bottom"/>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1 </w:t>
            </w:r>
            <w:r>
              <w:rPr>
                <w:rFonts w:hint="eastAsia" w:ascii="Times New Roman" w:hAnsi="Times New Roman" w:cs="宋体"/>
                <w:color w:val="auto"/>
                <w:spacing w:val="10"/>
                <w:sz w:val="18"/>
                <w:szCs w:val="18"/>
              </w:rPr>
              <w:t>罩棚应采用不燃烧材料建造</w:t>
            </w:r>
            <w:r>
              <w:rPr>
                <w:rFonts w:ascii="Times New Roman" w:hAnsi="Times New Roman" w:cs="Times New Roman"/>
                <w:color w:val="auto"/>
                <w:spacing w:val="10"/>
                <w:sz w:val="18"/>
                <w:szCs w:val="18"/>
              </w:rPr>
              <w:t>.</w:t>
            </w:r>
          </w:p>
          <w:p>
            <w:pPr>
              <w:autoSpaceDE w:val="0"/>
              <w:autoSpaceDN w:val="0"/>
              <w:spacing w:line="320" w:lineRule="exact"/>
              <w:textAlignment w:val="bottom"/>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sz w:val="18"/>
                <w:szCs w:val="18"/>
              </w:rPr>
              <w:t>进站口无限高措施时，罩棚的净空高度不应小于</w:t>
            </w:r>
            <w:r>
              <w:rPr>
                <w:rFonts w:ascii="Times New Roman" w:hAnsi="Times New Roman" w:cs="Times New Roman"/>
                <w:color w:val="auto"/>
                <w:spacing w:val="10"/>
                <w:sz w:val="18"/>
                <w:szCs w:val="18"/>
              </w:rPr>
              <w:t>4.5m</w:t>
            </w:r>
            <w:r>
              <w:rPr>
                <w:rFonts w:hint="eastAsia" w:ascii="Times New Roman" w:hAnsi="Times New Roman" w:cs="宋体"/>
                <w:color w:val="auto"/>
                <w:spacing w:val="10"/>
                <w:sz w:val="18"/>
                <w:szCs w:val="18"/>
              </w:rPr>
              <w:t>；进站口有限高措施时，罩棚的净空高度不应小于限高高度。</w:t>
            </w:r>
          </w:p>
          <w:p>
            <w:pPr>
              <w:autoSpaceDE w:val="0"/>
              <w:autoSpaceDN w:val="0"/>
              <w:spacing w:line="320" w:lineRule="exact"/>
              <w:textAlignment w:val="bottom"/>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3 </w:t>
            </w:r>
            <w:r>
              <w:rPr>
                <w:rFonts w:hint="eastAsia" w:ascii="Times New Roman" w:hAnsi="Times New Roman" w:cs="宋体"/>
                <w:color w:val="auto"/>
                <w:spacing w:val="10"/>
                <w:sz w:val="18"/>
                <w:szCs w:val="18"/>
              </w:rPr>
              <w:t>罩棚遮盖加油机、加气机的平面投影距离不宜小于</w:t>
            </w:r>
            <w:r>
              <w:rPr>
                <w:rFonts w:ascii="Times New Roman" w:hAnsi="Times New Roman" w:cs="Times New Roman"/>
                <w:color w:val="auto"/>
                <w:spacing w:val="10"/>
                <w:sz w:val="18"/>
                <w:szCs w:val="18"/>
              </w:rPr>
              <w:t>2m</w:t>
            </w:r>
            <w:r>
              <w:rPr>
                <w:rFonts w:hint="eastAsia" w:ascii="Times New Roman" w:hAnsi="Times New Roman" w:cs="宋体"/>
                <w:color w:val="auto"/>
                <w:spacing w:val="10"/>
                <w:sz w:val="18"/>
                <w:szCs w:val="18"/>
              </w:rPr>
              <w:t>。</w:t>
            </w:r>
          </w:p>
          <w:p>
            <w:pPr>
              <w:pStyle w:val="38"/>
              <w:rPr>
                <w:rFonts w:ascii="Times New Roman" w:cs="Times New Roman"/>
                <w:color w:val="auto"/>
                <w:spacing w:val="10"/>
                <w:kern w:val="2"/>
                <w:sz w:val="18"/>
                <w:szCs w:val="18"/>
              </w:rPr>
            </w:pPr>
            <w:r>
              <w:rPr>
                <w:rFonts w:ascii="Times New Roman" w:cs="Times New Roman"/>
                <w:color w:val="auto"/>
                <w:spacing w:val="10"/>
                <w:kern w:val="2"/>
                <w:sz w:val="18"/>
                <w:szCs w:val="18"/>
              </w:rPr>
              <w:t>4.</w:t>
            </w:r>
            <w:r>
              <w:rPr>
                <w:rFonts w:hint="eastAsia" w:ascii="Times New Roman"/>
                <w:color w:val="auto"/>
                <w:spacing w:val="10"/>
                <w:kern w:val="2"/>
                <w:sz w:val="18"/>
                <w:szCs w:val="18"/>
              </w:rPr>
              <w:t>罩棚的安全等级和可靠度设计应按现行国家标准《建筑结构可靠度设计统一标准》</w:t>
            </w:r>
            <w:r>
              <w:rPr>
                <w:rFonts w:ascii="Times New Roman" w:cs="Times New Roman"/>
                <w:color w:val="auto"/>
                <w:spacing w:val="10"/>
                <w:kern w:val="2"/>
                <w:sz w:val="18"/>
                <w:szCs w:val="18"/>
              </w:rPr>
              <w:t>GB50068</w:t>
            </w:r>
            <w:r>
              <w:rPr>
                <w:rFonts w:hint="eastAsia" w:ascii="Times New Roman"/>
                <w:color w:val="auto"/>
                <w:spacing w:val="10"/>
                <w:kern w:val="2"/>
                <w:sz w:val="18"/>
                <w:szCs w:val="18"/>
              </w:rPr>
              <w:t>的有关规定执行。</w:t>
            </w:r>
          </w:p>
          <w:p>
            <w:pPr>
              <w:spacing w:line="32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4 </w:t>
            </w:r>
            <w:r>
              <w:rPr>
                <w:rFonts w:hint="eastAsia" w:ascii="Times New Roman" w:hAnsi="Times New Roman" w:cs="宋体"/>
                <w:color w:val="auto"/>
                <w:spacing w:val="10"/>
                <w:sz w:val="18"/>
                <w:szCs w:val="18"/>
              </w:rPr>
              <w:t>罩棚设计应计及活荷载、雪荷载、风荷载，其设计标准值应符合现行国家标准《建筑结构荷载规范》</w:t>
            </w:r>
            <w:r>
              <w:rPr>
                <w:rFonts w:ascii="Times New Roman" w:hAnsi="Times New Roman" w:cs="Times New Roman"/>
                <w:color w:val="auto"/>
                <w:spacing w:val="10"/>
                <w:sz w:val="18"/>
                <w:szCs w:val="18"/>
              </w:rPr>
              <w:t>GB50009</w:t>
            </w:r>
            <w:r>
              <w:rPr>
                <w:rFonts w:hint="eastAsia" w:ascii="Times New Roman" w:hAnsi="Times New Roman" w:cs="宋体"/>
                <w:color w:val="auto"/>
                <w:spacing w:val="10"/>
                <w:sz w:val="18"/>
                <w:szCs w:val="18"/>
              </w:rPr>
              <w:t>的有关规定。</w:t>
            </w:r>
          </w:p>
          <w:p>
            <w:pPr>
              <w:spacing w:line="32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5 </w:t>
            </w:r>
            <w:r>
              <w:rPr>
                <w:rFonts w:hint="eastAsia" w:ascii="Times New Roman" w:hAnsi="Times New Roman" w:cs="宋体"/>
                <w:color w:val="auto"/>
                <w:spacing w:val="10"/>
                <w:sz w:val="18"/>
                <w:szCs w:val="18"/>
              </w:rPr>
              <w:t>罩棚的抗震设计应按现行国家标准《建筑抗震设计规范》</w:t>
            </w:r>
            <w:r>
              <w:rPr>
                <w:rFonts w:ascii="Times New Roman" w:hAnsi="Times New Roman" w:cs="Times New Roman"/>
                <w:color w:val="auto"/>
                <w:spacing w:val="10"/>
                <w:sz w:val="18"/>
                <w:szCs w:val="18"/>
              </w:rPr>
              <w:t>GB50011</w:t>
            </w:r>
            <w:r>
              <w:rPr>
                <w:rFonts w:hint="eastAsia" w:ascii="Times New Roman" w:hAnsi="Times New Roman" w:cs="宋体"/>
                <w:color w:val="auto"/>
                <w:spacing w:val="10"/>
                <w:sz w:val="18"/>
                <w:szCs w:val="18"/>
              </w:rPr>
              <w:t>的有关规定执行。</w:t>
            </w:r>
          </w:p>
          <w:p>
            <w:pPr>
              <w:autoSpaceDE w:val="0"/>
              <w:autoSpaceDN w:val="0"/>
              <w:adjustRightInd w:val="0"/>
              <w:spacing w:line="40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6.</w:t>
            </w:r>
            <w:r>
              <w:rPr>
                <w:rFonts w:hint="eastAsia" w:ascii="Times New Roman" w:hAnsi="Times New Roman" w:cs="宋体"/>
                <w:color w:val="auto"/>
                <w:spacing w:val="10"/>
                <w:sz w:val="18"/>
                <w:szCs w:val="18"/>
              </w:rPr>
              <w:t>罩棚的抗震设计应按现行国家标准《建筑抗震设计规范》</w:t>
            </w:r>
          </w:p>
          <w:p>
            <w:pPr>
              <w:spacing w:line="32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GB50011</w:t>
            </w:r>
            <w:r>
              <w:rPr>
                <w:rFonts w:hint="eastAsia" w:ascii="Times New Roman" w:hAnsi="Times New Roman" w:cs="宋体"/>
                <w:color w:val="auto"/>
                <w:spacing w:val="10"/>
                <w:sz w:val="18"/>
                <w:szCs w:val="18"/>
              </w:rPr>
              <w:t>的有关规定执行。</w:t>
            </w:r>
          </w:p>
          <w:p>
            <w:pPr>
              <w:spacing w:line="32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7. </w:t>
            </w:r>
            <w:r>
              <w:rPr>
                <w:rFonts w:hint="eastAsia" w:ascii="Times New Roman" w:hAnsi="Times New Roman" w:cs="宋体"/>
                <w:color w:val="auto"/>
                <w:spacing w:val="10"/>
                <w:sz w:val="18"/>
                <w:szCs w:val="18"/>
              </w:rPr>
              <w:t>设置于</w:t>
            </w:r>
            <w:r>
              <w:rPr>
                <w:rFonts w:ascii="Times New Roman" w:hAnsi="Times New Roman" w:cs="Times New Roman"/>
                <w:color w:val="auto"/>
                <w:spacing w:val="10"/>
                <w:sz w:val="18"/>
                <w:szCs w:val="18"/>
              </w:rPr>
              <w:t>CNG</w:t>
            </w:r>
            <w:r>
              <w:rPr>
                <w:rFonts w:hint="eastAsia" w:ascii="Times New Roman" w:hAnsi="Times New Roman" w:cs="宋体"/>
                <w:color w:val="auto"/>
                <w:spacing w:val="10"/>
                <w:sz w:val="18"/>
                <w:szCs w:val="18"/>
              </w:rPr>
              <w:t>设备、</w:t>
            </w:r>
            <w:r>
              <w:rPr>
                <w:rFonts w:ascii="Times New Roman" w:hAnsi="Times New Roman" w:cs="Times New Roman"/>
                <w:color w:val="auto"/>
                <w:spacing w:val="10"/>
                <w:sz w:val="18"/>
                <w:szCs w:val="18"/>
              </w:rPr>
              <w:t>LNG</w:t>
            </w:r>
            <w:r>
              <w:rPr>
                <w:rFonts w:hint="eastAsia" w:ascii="Times New Roman" w:hAnsi="Times New Roman" w:cs="宋体"/>
                <w:color w:val="auto"/>
                <w:spacing w:val="10"/>
                <w:sz w:val="18"/>
                <w:szCs w:val="18"/>
              </w:rPr>
              <w:t>设备和氢气设备上方的罩棚应采用避免天然气和氢气积聚的结构形式</w:t>
            </w:r>
          </w:p>
          <w:p>
            <w:pPr>
              <w:spacing w:line="32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8. </w:t>
            </w:r>
            <w:r>
              <w:rPr>
                <w:rFonts w:hint="eastAsia" w:ascii="Times New Roman" w:hAnsi="Times New Roman" w:cs="宋体"/>
                <w:color w:val="auto"/>
                <w:spacing w:val="10"/>
                <w:sz w:val="18"/>
                <w:szCs w:val="18"/>
              </w:rPr>
              <w:t>罩棚柱应有防止车辆碰撞的技术措施。</w:t>
            </w:r>
            <w:r>
              <w:rPr>
                <w:rFonts w:ascii="Times New Roman" w:hAnsi="Times New Roman" w:cs="Times New Roman"/>
                <w:color w:val="auto"/>
                <w:spacing w:val="10"/>
                <w:sz w:val="18"/>
                <w:szCs w:val="18"/>
              </w:rPr>
              <w:t>14.2.2</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罩棚为钢结构轻质顶，高</w:t>
            </w:r>
            <w:r>
              <w:rPr>
                <w:rFonts w:hint="eastAsia" w:ascii="Times New Roman" w:hAnsi="Times New Roman" w:cs="Times New Roman"/>
                <w:color w:val="auto"/>
                <w:kern w:val="0"/>
                <w:sz w:val="18"/>
                <w:szCs w:val="18"/>
                <w:lang w:val="en-US" w:eastAsia="zh-CN"/>
              </w:rPr>
              <w:t>6</w:t>
            </w:r>
            <w:r>
              <w:rPr>
                <w:rFonts w:ascii="Times New Roman" w:hAnsi="Times New Roman" w:cs="Times New Roman"/>
                <w:color w:val="auto"/>
                <w:kern w:val="0"/>
                <w:sz w:val="18"/>
                <w:szCs w:val="18"/>
              </w:rPr>
              <w:t>m</w:t>
            </w:r>
            <w:r>
              <w:rPr>
                <w:rFonts w:hint="eastAsia" w:ascii="Times New Roman" w:hAnsi="Times New Roman" w:cs="宋体"/>
                <w:color w:val="auto"/>
                <w:kern w:val="0"/>
                <w:sz w:val="18"/>
                <w:szCs w:val="18"/>
              </w:rPr>
              <w:t>，罩棚边缘与加油机的最小平面距离</w:t>
            </w:r>
            <w:r>
              <w:rPr>
                <w:rFonts w:hint="eastAsia" w:ascii="Times New Roman" w:hAnsi="Times New Roman" w:cs="宋体"/>
                <w:color w:val="auto"/>
                <w:kern w:val="0"/>
                <w:sz w:val="18"/>
                <w:szCs w:val="18"/>
                <w:lang w:val="en-US" w:eastAsia="zh-CN"/>
              </w:rPr>
              <w:t>大于2</w:t>
            </w:r>
            <w:r>
              <w:rPr>
                <w:rFonts w:ascii="Times New Roman" w:hAnsi="Times New Roman" w:cs="Times New Roman"/>
                <w:color w:val="auto"/>
                <w:kern w:val="0"/>
                <w:sz w:val="18"/>
                <w:szCs w:val="18"/>
              </w:rPr>
              <w:t>m</w:t>
            </w:r>
            <w:r>
              <w:rPr>
                <w:rFonts w:hint="eastAsia" w:ascii="Times New Roman" w:hAnsi="Times New Roman" w:cs="宋体"/>
                <w:color w:val="auto"/>
                <w:kern w:val="0"/>
                <w:sz w:val="18"/>
                <w:szCs w:val="18"/>
              </w:rPr>
              <w:t>。罩棚柱两端均设有防碰撞栏</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3</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28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加油岛、加气岛、加氢岛的设计应符合下列规定：</w:t>
            </w:r>
          </w:p>
          <w:p>
            <w:pPr>
              <w:autoSpaceDE w:val="0"/>
              <w:autoSpaceDN w:val="0"/>
              <w:spacing w:line="280" w:lineRule="exact"/>
              <w:textAlignment w:val="bottom"/>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1 </w:t>
            </w:r>
            <w:r>
              <w:rPr>
                <w:rFonts w:hint="eastAsia" w:ascii="Times New Roman" w:hAnsi="Times New Roman" w:cs="宋体"/>
                <w:color w:val="auto"/>
                <w:spacing w:val="10"/>
                <w:sz w:val="18"/>
                <w:szCs w:val="18"/>
              </w:rPr>
              <w:t>加油岛</w:t>
            </w:r>
            <w:r>
              <w:rPr>
                <w:rFonts w:hint="eastAsia" w:ascii="Times New Roman" w:hAnsi="Times New Roman" w:cs="宋体"/>
                <w:color w:val="auto"/>
                <w:kern w:val="0"/>
                <w:sz w:val="18"/>
                <w:szCs w:val="18"/>
              </w:rPr>
              <w:t>、加气岛、加氢岛</w:t>
            </w:r>
            <w:r>
              <w:rPr>
                <w:rFonts w:hint="eastAsia" w:ascii="Times New Roman" w:hAnsi="Times New Roman" w:cs="宋体"/>
                <w:color w:val="auto"/>
                <w:spacing w:val="10"/>
                <w:sz w:val="18"/>
                <w:szCs w:val="18"/>
              </w:rPr>
              <w:t>应高出停车位的地坪</w:t>
            </w:r>
            <w:r>
              <w:rPr>
                <w:rFonts w:ascii="Times New Roman" w:hAnsi="Times New Roman" w:cs="Times New Roman"/>
                <w:color w:val="auto"/>
                <w:spacing w:val="10"/>
                <w:sz w:val="18"/>
                <w:szCs w:val="18"/>
              </w:rPr>
              <w:t>0.15m ~0.2m</w:t>
            </w:r>
            <w:r>
              <w:rPr>
                <w:rFonts w:hint="eastAsia" w:ascii="Times New Roman" w:hAnsi="Times New Roman" w:cs="宋体"/>
                <w:color w:val="auto"/>
                <w:spacing w:val="10"/>
                <w:sz w:val="18"/>
                <w:szCs w:val="18"/>
              </w:rPr>
              <w:t>。</w:t>
            </w:r>
          </w:p>
          <w:p>
            <w:pPr>
              <w:autoSpaceDE w:val="0"/>
              <w:autoSpaceDN w:val="0"/>
              <w:spacing w:line="280" w:lineRule="exact"/>
              <w:textAlignment w:val="bottom"/>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2 </w:t>
            </w:r>
            <w:r>
              <w:rPr>
                <w:rFonts w:hint="eastAsia" w:ascii="Times New Roman" w:hAnsi="Times New Roman" w:cs="宋体"/>
                <w:color w:val="auto"/>
                <w:spacing w:val="10"/>
                <w:sz w:val="18"/>
                <w:szCs w:val="18"/>
              </w:rPr>
              <w:t>加油岛</w:t>
            </w:r>
            <w:r>
              <w:rPr>
                <w:rFonts w:hint="eastAsia" w:ascii="Times New Roman" w:hAnsi="Times New Roman" w:cs="宋体"/>
                <w:color w:val="auto"/>
                <w:kern w:val="0"/>
                <w:sz w:val="18"/>
                <w:szCs w:val="18"/>
              </w:rPr>
              <w:t>、加气岛、加氢岛</w:t>
            </w:r>
            <w:r>
              <w:rPr>
                <w:rFonts w:hint="eastAsia" w:ascii="Times New Roman" w:hAnsi="Times New Roman" w:cs="宋体"/>
                <w:color w:val="auto"/>
                <w:spacing w:val="10"/>
                <w:sz w:val="18"/>
                <w:szCs w:val="18"/>
              </w:rPr>
              <w:t>两端的宽度不应小于</w:t>
            </w:r>
            <w:r>
              <w:rPr>
                <w:rFonts w:ascii="Times New Roman" w:hAnsi="Times New Roman" w:cs="Times New Roman"/>
                <w:color w:val="auto"/>
                <w:spacing w:val="10"/>
                <w:sz w:val="18"/>
                <w:szCs w:val="18"/>
              </w:rPr>
              <w:t>1.2m</w:t>
            </w:r>
            <w:r>
              <w:rPr>
                <w:rFonts w:hint="eastAsia" w:ascii="Times New Roman" w:hAnsi="Times New Roman" w:cs="宋体"/>
                <w:color w:val="auto"/>
                <w:spacing w:val="10"/>
                <w:sz w:val="18"/>
                <w:szCs w:val="18"/>
              </w:rPr>
              <w:t>。</w:t>
            </w:r>
          </w:p>
          <w:p>
            <w:pPr>
              <w:spacing w:line="28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 xml:space="preserve">3 </w:t>
            </w:r>
            <w:r>
              <w:rPr>
                <w:rFonts w:hint="eastAsia" w:ascii="Times New Roman" w:hAnsi="Times New Roman" w:cs="宋体"/>
                <w:color w:val="auto"/>
                <w:spacing w:val="10"/>
                <w:sz w:val="18"/>
                <w:szCs w:val="18"/>
              </w:rPr>
              <w:t>加油岛</w:t>
            </w:r>
            <w:r>
              <w:rPr>
                <w:rFonts w:hint="eastAsia" w:ascii="Times New Roman" w:hAnsi="Times New Roman" w:cs="宋体"/>
                <w:color w:val="auto"/>
                <w:kern w:val="0"/>
                <w:sz w:val="18"/>
                <w:szCs w:val="18"/>
              </w:rPr>
              <w:t>、加气岛、加氢岛</w:t>
            </w:r>
            <w:r>
              <w:rPr>
                <w:rFonts w:hint="eastAsia" w:ascii="Times New Roman" w:hAnsi="Times New Roman" w:cs="宋体"/>
                <w:color w:val="auto"/>
                <w:spacing w:val="10"/>
                <w:sz w:val="18"/>
                <w:szCs w:val="18"/>
              </w:rPr>
              <w:t>上的罩棚立柱边缘距岛端部，不应小于</w:t>
            </w:r>
            <w:r>
              <w:rPr>
                <w:rFonts w:ascii="Times New Roman" w:hAnsi="Times New Roman" w:cs="Times New Roman"/>
                <w:color w:val="auto"/>
                <w:spacing w:val="10"/>
                <w:sz w:val="18"/>
                <w:szCs w:val="18"/>
              </w:rPr>
              <w:t>0.6m</w:t>
            </w:r>
            <w:r>
              <w:rPr>
                <w:rFonts w:hint="eastAsia" w:ascii="Times New Roman" w:hAnsi="Times New Roman" w:cs="宋体"/>
                <w:color w:val="auto"/>
                <w:spacing w:val="10"/>
                <w:sz w:val="18"/>
                <w:szCs w:val="18"/>
              </w:rPr>
              <w:t>。</w:t>
            </w:r>
          </w:p>
          <w:p>
            <w:pPr>
              <w:spacing w:line="280" w:lineRule="exact"/>
              <w:rPr>
                <w:rFonts w:ascii="Times New Roman" w:hAnsi="Times New Roman" w:cs="Times New Roman"/>
                <w:color w:val="auto"/>
                <w:kern w:val="0"/>
                <w:sz w:val="18"/>
                <w:szCs w:val="18"/>
              </w:rPr>
            </w:pPr>
            <w:r>
              <w:rPr>
                <w:rFonts w:ascii="Times New Roman" w:hAnsi="Times New Roman" w:cs="Times New Roman"/>
                <w:color w:val="auto"/>
                <w:spacing w:val="10"/>
                <w:sz w:val="18"/>
                <w:szCs w:val="18"/>
              </w:rPr>
              <w:t xml:space="preserve">4 </w:t>
            </w:r>
            <w:r>
              <w:rPr>
                <w:rFonts w:hint="eastAsia" w:ascii="Times New Roman" w:hAnsi="Times New Roman" w:cs="宋体"/>
                <w:color w:val="auto"/>
                <w:spacing w:val="10"/>
                <w:sz w:val="18"/>
                <w:szCs w:val="18"/>
              </w:rPr>
              <w:t>靠近岛端部的加油机、加气机、加氢机等岛上的工艺设备应有防止车辆误碰撞的措施和警示标识。采用钢管防撞柱（栏）时，其钢管的直径不应小于</w:t>
            </w:r>
            <w:r>
              <w:rPr>
                <w:rFonts w:ascii="Times New Roman" w:hAnsi="Times New Roman" w:cs="Times New Roman"/>
                <w:color w:val="auto"/>
                <w:spacing w:val="10"/>
                <w:sz w:val="18"/>
                <w:szCs w:val="18"/>
              </w:rPr>
              <w:t>100mm</w:t>
            </w:r>
            <w:r>
              <w:rPr>
                <w:rFonts w:hint="eastAsia" w:ascii="Times New Roman" w:hAnsi="Times New Roman" w:cs="宋体"/>
                <w:color w:val="auto"/>
                <w:spacing w:val="10"/>
                <w:sz w:val="18"/>
                <w:szCs w:val="18"/>
              </w:rPr>
              <w:t>，高度不应小</w:t>
            </w:r>
            <w:r>
              <w:rPr>
                <w:rFonts w:ascii="Times New Roman" w:hAnsi="Times New Roman" w:cs="Times New Roman"/>
                <w:color w:val="auto"/>
                <w:spacing w:val="10"/>
                <w:sz w:val="18"/>
                <w:szCs w:val="18"/>
              </w:rPr>
              <w:t>0.5m</w:t>
            </w:r>
            <w:r>
              <w:rPr>
                <w:rFonts w:hint="eastAsia" w:ascii="Times New Roman" w:hAnsi="Times New Roman" w:cs="宋体"/>
                <w:color w:val="auto"/>
                <w:spacing w:val="10"/>
                <w:sz w:val="18"/>
                <w:szCs w:val="18"/>
              </w:rPr>
              <w:t>，并应设置牢固。</w:t>
            </w:r>
            <w:r>
              <w:rPr>
                <w:rFonts w:ascii="Times New Roman" w:hAnsi="Times New Roman" w:cs="Times New Roman"/>
                <w:color w:val="auto"/>
                <w:kern w:val="0"/>
                <w:sz w:val="18"/>
                <w:szCs w:val="18"/>
              </w:rPr>
              <w:t>14.2.3</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加油岛高出停车场的地坪</w:t>
            </w:r>
            <w:r>
              <w:rPr>
                <w:rFonts w:ascii="Times New Roman" w:hAnsi="Times New Roman" w:cs="Times New Roman"/>
                <w:color w:val="auto"/>
                <w:kern w:val="0"/>
                <w:sz w:val="18"/>
                <w:szCs w:val="18"/>
              </w:rPr>
              <w:t>0.2m</w:t>
            </w:r>
            <w:r>
              <w:rPr>
                <w:rFonts w:hint="eastAsia" w:ascii="Times New Roman" w:hAnsi="Times New Roman" w:cs="宋体"/>
                <w:color w:val="auto"/>
                <w:kern w:val="0"/>
                <w:sz w:val="18"/>
                <w:szCs w:val="18"/>
              </w:rPr>
              <w:t>，加油岛两端设有防撞栏</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4</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280" w:lineRule="exact"/>
              <w:jc w:val="lef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汽车加油加气加氢站内的艺设备不宜布置在封闭的房间或箱体内；工艺设备需要布置在封闭的房间或箱体内时，房间或箱体内应设置可燃气体检测报警器和强制通风设备，并应符合本标准第</w:t>
            </w:r>
            <w:r>
              <w:rPr>
                <w:rFonts w:ascii="Times New Roman" w:hAnsi="Times New Roman" w:cs="Times New Roman"/>
                <w:color w:val="auto"/>
                <w:spacing w:val="10"/>
                <w:sz w:val="18"/>
                <w:szCs w:val="18"/>
              </w:rPr>
              <w:t>14.1.4</w:t>
            </w:r>
            <w:r>
              <w:rPr>
                <w:rFonts w:hint="eastAsia" w:ascii="Times New Roman" w:hAnsi="Times New Roman" w:cs="宋体"/>
                <w:color w:val="auto"/>
                <w:spacing w:val="10"/>
                <w:sz w:val="18"/>
                <w:szCs w:val="18"/>
              </w:rPr>
              <w:t>条的规定。</w:t>
            </w:r>
            <w:r>
              <w:rPr>
                <w:rFonts w:ascii="Times New Roman" w:hAnsi="Times New Roman" w:cs="Times New Roman"/>
                <w:color w:val="auto"/>
                <w:spacing w:val="10"/>
                <w:sz w:val="18"/>
                <w:szCs w:val="18"/>
              </w:rPr>
              <w:t>14.2.7</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未布置在封闭房间的工艺设备</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5</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站房可由办公室、值班室、营业室、控制室、变配电间、卫生间和便利店等组成，站房内可设非明火餐厨设备。</w:t>
            </w:r>
            <w:r>
              <w:rPr>
                <w:rFonts w:ascii="Times New Roman" w:hAnsi="Times New Roman" w:cs="Times New Roman"/>
                <w:color w:val="auto"/>
                <w:kern w:val="0"/>
                <w:sz w:val="18"/>
                <w:szCs w:val="18"/>
              </w:rPr>
              <w:t>14.2.9</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该站房设置办公室、配电间、厨房等。无明火设备</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6</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站房的一部分位于作业区内时，该站房的建筑面积不宜超过</w:t>
            </w:r>
            <w:r>
              <w:rPr>
                <w:rFonts w:ascii="Times New Roman" w:hAnsi="Times New Roman" w:cs="Times New Roman"/>
                <w:color w:val="auto"/>
                <w:kern w:val="0"/>
                <w:sz w:val="18"/>
                <w:szCs w:val="18"/>
              </w:rPr>
              <w:t>300</w:t>
            </w:r>
            <w:r>
              <w:rPr>
                <w:rFonts w:hint="eastAsia" w:ascii="Times New Roman" w:hAnsi="Times New Roman" w:cs="宋体"/>
                <w:color w:val="auto"/>
                <w:kern w:val="0"/>
                <w:sz w:val="18"/>
                <w:szCs w:val="18"/>
              </w:rPr>
              <w:t>㎡，且该站房内不得有明火设备。</w:t>
            </w:r>
            <w:r>
              <w:rPr>
                <w:rFonts w:ascii="Times New Roman" w:hAnsi="Times New Roman" w:cs="Times New Roman"/>
                <w:color w:val="auto"/>
                <w:kern w:val="0"/>
                <w:sz w:val="18"/>
                <w:szCs w:val="18"/>
              </w:rPr>
              <w:t>14.2.10</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无明火设备</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7</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辅助服务区内建筑物的面积不应超过本标准附录</w:t>
            </w:r>
            <w:r>
              <w:rPr>
                <w:rFonts w:ascii="Times New Roman" w:hAnsi="Times New Roman" w:cs="Times New Roman"/>
                <w:color w:val="auto"/>
                <w:kern w:val="0"/>
                <w:sz w:val="18"/>
                <w:szCs w:val="18"/>
              </w:rPr>
              <w:t>B</w:t>
            </w:r>
            <w:r>
              <w:rPr>
                <w:rFonts w:hint="eastAsia" w:ascii="Times New Roman" w:hAnsi="Times New Roman" w:cs="宋体"/>
                <w:color w:val="auto"/>
                <w:kern w:val="0"/>
                <w:sz w:val="18"/>
                <w:szCs w:val="18"/>
              </w:rPr>
              <w:t>中三类保护物标准，其消防设计应符合现行国家际准《建筑设计防火规范》</w:t>
            </w:r>
            <w:r>
              <w:rPr>
                <w:rFonts w:ascii="Times New Roman" w:hAnsi="Times New Roman" w:cs="Times New Roman"/>
                <w:color w:val="auto"/>
                <w:kern w:val="0"/>
                <w:sz w:val="18"/>
                <w:szCs w:val="18"/>
              </w:rPr>
              <w:t>GB50016</w:t>
            </w:r>
            <w:r>
              <w:rPr>
                <w:rFonts w:hint="eastAsia" w:ascii="Times New Roman" w:hAnsi="Times New Roman" w:cs="宋体"/>
                <w:color w:val="auto"/>
                <w:kern w:val="0"/>
                <w:sz w:val="18"/>
                <w:szCs w:val="18"/>
              </w:rPr>
              <w:t>的有关规定。</w:t>
            </w:r>
            <w:r>
              <w:rPr>
                <w:rFonts w:ascii="Times New Roman" w:hAnsi="Times New Roman" w:cs="Times New Roman"/>
                <w:color w:val="auto"/>
                <w:kern w:val="0"/>
                <w:sz w:val="18"/>
                <w:szCs w:val="18"/>
              </w:rPr>
              <w:t>14.2.11</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hint="eastAsia" w:ascii="Times New Roman" w:hAnsi="Times New Roman" w:eastAsia="宋体" w:cs="Times New Roman"/>
                <w:color w:val="auto"/>
                <w:kern w:val="0"/>
                <w:sz w:val="18"/>
                <w:szCs w:val="18"/>
                <w:lang w:eastAsia="zh-CN"/>
              </w:rPr>
            </w:pPr>
            <w:r>
              <w:rPr>
                <w:rFonts w:hint="eastAsia" w:ascii="Times New Roman" w:hAnsi="Times New Roman" w:cs="宋体"/>
                <w:color w:val="auto"/>
                <w:kern w:val="0"/>
                <w:sz w:val="18"/>
                <w:szCs w:val="18"/>
                <w:lang w:eastAsia="zh-CN"/>
              </w:rPr>
              <w:t>消防设计符合要求</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8</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可与设置在辅助服务区内的餐厅、汽车服务、锅炉房、厨房、员工宿舍、司机休息室等设施合建，但站房与餐厅、汽车服务、锅炉房、厨房、员工宿舍、司机休息室等设施之间应设置无门窗洞口，且耐火极限不低于</w:t>
            </w:r>
            <w:r>
              <w:rPr>
                <w:rFonts w:ascii="Times New Roman" w:hAnsi="Times New Roman" w:cs="Times New Roman"/>
                <w:color w:val="auto"/>
                <w:kern w:val="0"/>
                <w:sz w:val="18"/>
                <w:szCs w:val="18"/>
              </w:rPr>
              <w:t>3h</w:t>
            </w:r>
            <w:r>
              <w:rPr>
                <w:rFonts w:hint="eastAsia" w:ascii="Times New Roman" w:hAnsi="Times New Roman" w:cs="宋体"/>
                <w:color w:val="auto"/>
                <w:kern w:val="0"/>
                <w:sz w:val="18"/>
                <w:szCs w:val="18"/>
              </w:rPr>
              <w:t>的实体墙。</w:t>
            </w:r>
            <w:r>
              <w:rPr>
                <w:rFonts w:ascii="Times New Roman" w:hAnsi="Times New Roman" w:cs="Times New Roman"/>
                <w:color w:val="auto"/>
                <w:kern w:val="0"/>
                <w:sz w:val="18"/>
                <w:szCs w:val="18"/>
              </w:rPr>
              <w:t>14.2.12</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按要求设置</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9</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站房可设在站外民用建筑物内或与站外民用建筑物合建，并应符合下列规定：</w:t>
            </w:r>
          </w:p>
          <w:p>
            <w:pPr>
              <w:autoSpaceDE w:val="0"/>
              <w:autoSpaceDN w:val="0"/>
              <w:adjustRightInd w:val="0"/>
              <w:spacing w:line="320" w:lineRule="exact"/>
              <w:jc w:val="lef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1 </w:t>
            </w:r>
            <w:r>
              <w:rPr>
                <w:rFonts w:hint="eastAsia" w:ascii="Times New Roman" w:hAnsi="Times New Roman" w:cs="宋体"/>
                <w:color w:val="auto"/>
                <w:kern w:val="0"/>
                <w:sz w:val="18"/>
                <w:szCs w:val="18"/>
              </w:rPr>
              <w:t>站房与民用建筑物之间不得有连接通道。</w:t>
            </w:r>
          </w:p>
          <w:p>
            <w:pPr>
              <w:autoSpaceDE w:val="0"/>
              <w:autoSpaceDN w:val="0"/>
              <w:adjustRightInd w:val="0"/>
              <w:spacing w:line="320" w:lineRule="exact"/>
              <w:jc w:val="lef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2 </w:t>
            </w:r>
            <w:r>
              <w:rPr>
                <w:rFonts w:hint="eastAsia" w:ascii="Times New Roman" w:hAnsi="Times New Roman" w:cs="宋体"/>
                <w:color w:val="auto"/>
                <w:kern w:val="0"/>
                <w:sz w:val="18"/>
                <w:szCs w:val="18"/>
              </w:rPr>
              <w:t>站房应单独开设通向汽车加油加气加氢站的出入口。</w:t>
            </w:r>
          </w:p>
          <w:p>
            <w:pPr>
              <w:autoSpaceDE w:val="0"/>
              <w:autoSpaceDN w:val="0"/>
              <w:adjustRightInd w:val="0"/>
              <w:spacing w:line="320" w:lineRule="exact"/>
              <w:jc w:val="left"/>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3 </w:t>
            </w:r>
            <w:r>
              <w:rPr>
                <w:rFonts w:hint="eastAsia" w:ascii="Times New Roman" w:hAnsi="Times New Roman" w:cs="宋体"/>
                <w:color w:val="auto"/>
                <w:kern w:val="0"/>
                <w:sz w:val="18"/>
                <w:szCs w:val="18"/>
              </w:rPr>
              <w:t>民用建筑物不得有直接通向汽车加油加气加氢站的出入口。</w:t>
            </w:r>
            <w:r>
              <w:rPr>
                <w:rFonts w:ascii="Times New Roman" w:hAnsi="Times New Roman" w:cs="Times New Roman"/>
                <w:color w:val="auto"/>
                <w:kern w:val="0"/>
                <w:sz w:val="18"/>
                <w:szCs w:val="18"/>
              </w:rPr>
              <w:t>14.2.13</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10</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站内的锅炉房、厨房等有明火设备的房间与工艺设备之间的距离符合表</w:t>
            </w:r>
            <w:r>
              <w:rPr>
                <w:rFonts w:ascii="Times New Roman" w:hAnsi="Times New Roman" w:cs="Times New Roman"/>
                <w:color w:val="auto"/>
                <w:kern w:val="0"/>
                <w:sz w:val="18"/>
                <w:szCs w:val="18"/>
              </w:rPr>
              <w:t>5.0.13</w:t>
            </w:r>
            <w:r>
              <w:rPr>
                <w:rFonts w:hint="eastAsia" w:ascii="Times New Roman" w:hAnsi="Times New Roman" w:cs="宋体"/>
                <w:color w:val="auto"/>
                <w:kern w:val="0"/>
                <w:sz w:val="18"/>
                <w:szCs w:val="18"/>
              </w:rPr>
              <w:t>的规定但小于或等于</w:t>
            </w:r>
            <w:r>
              <w:rPr>
                <w:rFonts w:ascii="Times New Roman" w:hAnsi="Times New Roman" w:cs="Times New Roman"/>
                <w:color w:val="auto"/>
                <w:kern w:val="0"/>
                <w:sz w:val="18"/>
                <w:szCs w:val="18"/>
              </w:rPr>
              <w:t>25m</w:t>
            </w:r>
            <w:r>
              <w:rPr>
                <w:rFonts w:hint="eastAsia" w:ascii="Times New Roman" w:hAnsi="Times New Roman" w:cs="宋体"/>
                <w:color w:val="auto"/>
                <w:kern w:val="0"/>
                <w:sz w:val="18"/>
                <w:szCs w:val="18"/>
              </w:rPr>
              <w:t>时，朝向作业区的外墙应为无门窗洞口且耐火极限不低于</w:t>
            </w:r>
            <w:r>
              <w:rPr>
                <w:rFonts w:ascii="Times New Roman" w:hAnsi="Times New Roman" w:cs="Times New Roman"/>
                <w:color w:val="auto"/>
                <w:kern w:val="0"/>
                <w:sz w:val="18"/>
                <w:szCs w:val="18"/>
              </w:rPr>
              <w:t xml:space="preserve">3h </w:t>
            </w:r>
            <w:r>
              <w:rPr>
                <w:rFonts w:hint="eastAsia" w:ascii="Times New Roman" w:hAnsi="Times New Roman" w:cs="宋体"/>
                <w:color w:val="auto"/>
                <w:kern w:val="0"/>
                <w:sz w:val="18"/>
                <w:szCs w:val="18"/>
              </w:rPr>
              <w:t>的实体墙。</w:t>
            </w:r>
            <w:r>
              <w:rPr>
                <w:rFonts w:ascii="Times New Roman" w:hAnsi="Times New Roman" w:cs="Times New Roman"/>
                <w:color w:val="auto"/>
                <w:kern w:val="0"/>
                <w:sz w:val="18"/>
                <w:szCs w:val="18"/>
              </w:rPr>
              <w:t>14.2.14</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11</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加油站、</w:t>
            </w:r>
            <w:r>
              <w:rPr>
                <w:rFonts w:ascii="Times New Roman" w:hAnsi="Times New Roman" w:cs="Times New Roman"/>
                <w:color w:val="auto"/>
                <w:kern w:val="0"/>
                <w:sz w:val="18"/>
                <w:szCs w:val="18"/>
              </w:rPr>
              <w:t>LPG</w:t>
            </w:r>
            <w:r>
              <w:rPr>
                <w:rFonts w:hint="eastAsia" w:ascii="Times New Roman" w:hAnsi="Times New Roman" w:cs="宋体"/>
                <w:color w:val="auto"/>
                <w:kern w:val="0"/>
                <w:sz w:val="18"/>
                <w:szCs w:val="18"/>
              </w:rPr>
              <w:t>加气站、</w:t>
            </w:r>
            <w:r>
              <w:rPr>
                <w:rFonts w:ascii="Times New Roman" w:hAnsi="Times New Roman" w:cs="Times New Roman"/>
                <w:color w:val="auto"/>
                <w:kern w:val="0"/>
                <w:sz w:val="18"/>
                <w:szCs w:val="18"/>
              </w:rPr>
              <w:t>LNG</w:t>
            </w:r>
            <w:r>
              <w:rPr>
                <w:rFonts w:hint="eastAsia" w:ascii="Times New Roman" w:hAnsi="Times New Roman" w:cs="宋体"/>
                <w:color w:val="auto"/>
                <w:kern w:val="0"/>
                <w:sz w:val="18"/>
                <w:szCs w:val="18"/>
              </w:rPr>
              <w:t>加气站和</w:t>
            </w:r>
            <w:r>
              <w:rPr>
                <w:rFonts w:ascii="Times New Roman" w:hAnsi="Times New Roman" w:cs="Times New Roman"/>
                <w:color w:val="auto"/>
                <w:kern w:val="0"/>
                <w:sz w:val="18"/>
                <w:szCs w:val="18"/>
              </w:rPr>
              <w:t>L-CNG</w:t>
            </w:r>
            <w:r>
              <w:rPr>
                <w:rFonts w:hint="eastAsia" w:ascii="Times New Roman" w:hAnsi="Times New Roman" w:cs="宋体"/>
                <w:color w:val="auto"/>
                <w:kern w:val="0"/>
                <w:sz w:val="18"/>
                <w:szCs w:val="18"/>
              </w:rPr>
              <w:t>加气站内不应建地下和半地下室，消防水池应具有通风条件。</w:t>
            </w:r>
            <w:r>
              <w:rPr>
                <w:rFonts w:ascii="Times New Roman" w:hAnsi="Times New Roman" w:cs="Times New Roman"/>
                <w:color w:val="auto"/>
                <w:kern w:val="0"/>
                <w:sz w:val="18"/>
                <w:szCs w:val="18"/>
              </w:rPr>
              <w:t>14.2.15</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未建在地下和半地下室</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12</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埋地油罐和埋地</w:t>
            </w:r>
            <w:r>
              <w:rPr>
                <w:rFonts w:ascii="Times New Roman" w:hAnsi="Times New Roman" w:cs="Times New Roman"/>
                <w:color w:val="auto"/>
                <w:kern w:val="0"/>
                <w:sz w:val="18"/>
                <w:szCs w:val="18"/>
              </w:rPr>
              <w:t>LPG</w:t>
            </w:r>
            <w:r>
              <w:rPr>
                <w:rFonts w:hint="eastAsia" w:ascii="Times New Roman" w:hAnsi="Times New Roman" w:cs="宋体"/>
                <w:color w:val="auto"/>
                <w:kern w:val="0"/>
                <w:sz w:val="18"/>
                <w:szCs w:val="18"/>
              </w:rPr>
              <w:t>储罐的操作井、位于作业区的排水井应采取防渗漏措施，位于爆炸危险区域内的操作井和排水井应有防止产生火花的措施。</w:t>
            </w:r>
            <w:r>
              <w:rPr>
                <w:rFonts w:ascii="Times New Roman" w:hAnsi="Times New Roman" w:cs="Times New Roman"/>
                <w:color w:val="auto"/>
                <w:kern w:val="0"/>
                <w:sz w:val="18"/>
                <w:szCs w:val="18"/>
              </w:rPr>
              <w:t>12.2.16</w:t>
            </w:r>
          </w:p>
        </w:tc>
        <w:tc>
          <w:tcPr>
            <w:tcW w:w="1065" w:type="dxa"/>
            <w:tcBorders>
              <w:top w:val="single" w:color="auto" w:sz="6" w:space="0"/>
              <w:left w:val="single" w:color="auto" w:sz="4" w:space="0"/>
              <w:bottom w:val="single" w:color="auto" w:sz="6" w:space="0"/>
              <w:right w:val="single" w:color="auto" w:sz="4" w:space="0"/>
            </w:tcBorders>
            <w:vAlign w:val="center"/>
          </w:tcPr>
          <w:p>
            <w:pPr>
              <w:spacing w:line="20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埋地油罐设有防渗漏措施</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trHeight w:val="440" w:hRule="atLeast"/>
          <w:jc w:val="center"/>
        </w:trPr>
        <w:tc>
          <w:tcPr>
            <w:tcW w:w="9080" w:type="dxa"/>
            <w:gridSpan w:val="4"/>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绿化</w:t>
            </w:r>
          </w:p>
        </w:tc>
      </w:tr>
      <w:tr>
        <w:tblPrEx>
          <w:tblCellMar>
            <w:top w:w="0" w:type="dxa"/>
            <w:left w:w="0" w:type="dxa"/>
            <w:bottom w:w="0" w:type="dxa"/>
            <w:right w:w="0" w:type="dxa"/>
          </w:tblCellMar>
        </w:tblPrEx>
        <w:trPr>
          <w:trHeight w:val="425" w:hRule="atLeast"/>
          <w:jc w:val="center"/>
        </w:trPr>
        <w:tc>
          <w:tcPr>
            <w:tcW w:w="708" w:type="dxa"/>
            <w:tcBorders>
              <w:top w:val="single" w:color="auto" w:sz="6" w:space="0"/>
              <w:left w:val="single" w:color="auto" w:sz="4" w:space="0"/>
              <w:bottom w:val="single" w:color="auto" w:sz="6" w:space="0"/>
              <w:right w:val="single" w:color="auto" w:sz="8" w:space="0"/>
            </w:tcBorders>
            <w:vAlign w:val="center"/>
          </w:tcPr>
          <w:p>
            <w:pPr>
              <w:autoSpaceDE w:val="0"/>
              <w:autoSpaceDN w:val="0"/>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序号</w:t>
            </w:r>
          </w:p>
        </w:tc>
        <w:tc>
          <w:tcPr>
            <w:tcW w:w="6555" w:type="dxa"/>
            <w:tcBorders>
              <w:top w:val="single" w:color="auto" w:sz="6" w:space="0"/>
              <w:left w:val="single" w:color="auto" w:sz="8" w:space="0"/>
              <w:bottom w:val="single" w:color="auto" w:sz="6" w:space="0"/>
              <w:right w:val="single" w:color="auto" w:sz="4" w:space="0"/>
            </w:tcBorders>
            <w:vAlign w:val="center"/>
          </w:tcPr>
          <w:p>
            <w:pPr>
              <w:autoSpaceDE w:val="0"/>
              <w:autoSpaceDN w:val="0"/>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检查内容</w:t>
            </w:r>
          </w:p>
        </w:tc>
        <w:tc>
          <w:tcPr>
            <w:tcW w:w="1065"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检查记录</w:t>
            </w:r>
          </w:p>
        </w:tc>
        <w:tc>
          <w:tcPr>
            <w:tcW w:w="752" w:type="dxa"/>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b/>
                <w:bCs/>
                <w:color w:val="auto"/>
                <w:kern w:val="0"/>
                <w:sz w:val="18"/>
                <w:szCs w:val="18"/>
              </w:rPr>
              <w:t>结论</w:t>
            </w:r>
          </w:p>
        </w:tc>
      </w:tr>
      <w:tr>
        <w:tblPrEx>
          <w:tblCellMar>
            <w:top w:w="0" w:type="dxa"/>
            <w:left w:w="0" w:type="dxa"/>
            <w:bottom w:w="0" w:type="dxa"/>
            <w:right w:w="0" w:type="dxa"/>
          </w:tblCellMar>
        </w:tblPrEx>
        <w:trPr>
          <w:trHeight w:val="304" w:hRule="atLeast"/>
          <w:jc w:val="center"/>
        </w:trPr>
        <w:tc>
          <w:tcPr>
            <w:tcW w:w="708" w:type="dxa"/>
            <w:tcBorders>
              <w:top w:val="single" w:color="auto" w:sz="6" w:space="0"/>
              <w:left w:val="single" w:color="auto" w:sz="4" w:space="0"/>
              <w:bottom w:val="single" w:color="auto" w:sz="4" w:space="0"/>
              <w:right w:val="single" w:color="auto" w:sz="8" w:space="0"/>
            </w:tcBorders>
            <w:vAlign w:val="center"/>
          </w:tcPr>
          <w:p>
            <w:pPr>
              <w:autoSpaceDE w:val="0"/>
              <w:autoSpaceDN w:val="0"/>
              <w:spacing w:line="320" w:lineRule="exact"/>
              <w:jc w:val="center"/>
              <w:rPr>
                <w:rFonts w:ascii="Times New Roman" w:hAnsi="Times New Roman" w:cs="Times New Roman"/>
                <w:color w:val="auto"/>
                <w:kern w:val="0"/>
                <w:sz w:val="18"/>
                <w:szCs w:val="18"/>
              </w:rPr>
            </w:pPr>
            <w:r>
              <w:rPr>
                <w:rFonts w:ascii="Times New Roman" w:hAnsi="Times New Roman" w:cs="Times New Roman"/>
                <w:b/>
                <w:bCs/>
                <w:color w:val="auto"/>
                <w:kern w:val="0"/>
                <w:sz w:val="18"/>
                <w:szCs w:val="18"/>
              </w:rPr>
              <w:t>1</w:t>
            </w:r>
          </w:p>
        </w:tc>
        <w:tc>
          <w:tcPr>
            <w:tcW w:w="6555" w:type="dxa"/>
            <w:tcBorders>
              <w:top w:val="single" w:color="auto" w:sz="6" w:space="0"/>
              <w:left w:val="single" w:color="auto" w:sz="8" w:space="0"/>
              <w:bottom w:val="single" w:color="auto" w:sz="4" w:space="0"/>
              <w:right w:val="single" w:color="auto" w:sz="4" w:space="0"/>
            </w:tcBorders>
            <w:vAlign w:val="center"/>
          </w:tcPr>
          <w:p>
            <w:pPr>
              <w:autoSpaceDE w:val="0"/>
              <w:autoSpaceDN w:val="0"/>
              <w:adjustRightInd w:val="0"/>
              <w:spacing w:line="320" w:lineRule="exact"/>
              <w:jc w:val="left"/>
              <w:rPr>
                <w:rFonts w:ascii="Times New Roman" w:hAnsi="Times New Roman" w:cs="Times New Roman"/>
                <w:color w:val="auto"/>
                <w:kern w:val="0"/>
                <w:sz w:val="18"/>
                <w:szCs w:val="18"/>
              </w:rPr>
            </w:pPr>
            <w:r>
              <w:rPr>
                <w:rFonts w:hint="eastAsia" w:ascii="Times New Roman" w:hAnsi="Times New Roman" w:cs="宋体"/>
                <w:color w:val="auto"/>
                <w:spacing w:val="10"/>
                <w:sz w:val="18"/>
                <w:szCs w:val="18"/>
              </w:rPr>
              <w:t>汽车加油加气加氢站</w:t>
            </w:r>
            <w:r>
              <w:rPr>
                <w:rFonts w:hint="eastAsia" w:ascii="Times New Roman" w:hAnsi="Times New Roman" w:cs="宋体"/>
                <w:color w:val="auto"/>
                <w:kern w:val="0"/>
                <w:sz w:val="18"/>
                <w:szCs w:val="18"/>
              </w:rPr>
              <w:t>作业区内不得种植油性植物。</w:t>
            </w:r>
            <w:r>
              <w:rPr>
                <w:rFonts w:ascii="Times New Roman" w:hAnsi="Times New Roman" w:cs="Times New Roman"/>
                <w:color w:val="auto"/>
                <w:kern w:val="0"/>
                <w:sz w:val="18"/>
                <w:szCs w:val="18"/>
              </w:rPr>
              <w:t>14.3.1</w:t>
            </w:r>
          </w:p>
        </w:tc>
        <w:tc>
          <w:tcPr>
            <w:tcW w:w="1065" w:type="dxa"/>
            <w:tcBorders>
              <w:top w:val="single" w:color="auto" w:sz="6"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作业区内无油性植物</w:t>
            </w:r>
          </w:p>
        </w:tc>
        <w:tc>
          <w:tcPr>
            <w:tcW w:w="752" w:type="dxa"/>
            <w:tcBorders>
              <w:top w:val="single" w:color="auto" w:sz="6"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bl>
    <w:p>
      <w:pPr>
        <w:keepNext/>
        <w:keepLines/>
        <w:spacing w:line="600" w:lineRule="exact"/>
        <w:outlineLvl w:val="1"/>
        <w:rPr>
          <w:rFonts w:ascii="Times New Roman" w:hAnsi="Times New Roman" w:cs="Times New Roman"/>
          <w:b/>
          <w:bCs/>
          <w:color w:val="auto"/>
          <w:sz w:val="28"/>
          <w:szCs w:val="28"/>
        </w:rPr>
      </w:pPr>
      <w:bookmarkStart w:id="157" w:name="_Toc20987"/>
      <w:bookmarkStart w:id="158" w:name="_Toc5261"/>
      <w:r>
        <w:rPr>
          <w:rFonts w:ascii="Times New Roman" w:hAnsi="Times New Roman" w:cs="Times New Roman"/>
          <w:b/>
          <w:bCs/>
          <w:color w:val="auto"/>
          <w:sz w:val="28"/>
          <w:szCs w:val="28"/>
        </w:rPr>
        <w:t xml:space="preserve">6.7 </w:t>
      </w:r>
      <w:r>
        <w:rPr>
          <w:rFonts w:hint="eastAsia" w:ascii="Times New Roman" w:hAnsi="Times New Roman" w:cs="宋体"/>
          <w:b/>
          <w:bCs/>
          <w:color w:val="auto"/>
          <w:sz w:val="28"/>
          <w:szCs w:val="28"/>
        </w:rPr>
        <w:t>法律法规符合性评价</w:t>
      </w:r>
      <w:bookmarkEnd w:id="157"/>
      <w:bookmarkEnd w:id="158"/>
    </w:p>
    <w:tbl>
      <w:tblPr>
        <w:tblStyle w:val="20"/>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3"/>
        <w:gridCol w:w="4908"/>
        <w:gridCol w:w="2673"/>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3" w:hRule="atLeast"/>
          <w:jc w:val="center"/>
        </w:trPr>
        <w:tc>
          <w:tcPr>
            <w:tcW w:w="693" w:type="dxa"/>
            <w:vAlign w:val="center"/>
          </w:tcPr>
          <w:p>
            <w:pPr>
              <w:autoSpaceDE w:val="0"/>
              <w:autoSpaceDN w:val="0"/>
              <w:jc w:val="center"/>
              <w:rPr>
                <w:rFonts w:ascii="Times New Roman" w:hAnsi="Times New Roman" w:eastAsia="宋体" w:cs="Times New Roman"/>
                <w:b/>
                <w:bCs/>
                <w:color w:val="auto"/>
                <w:kern w:val="0"/>
                <w:sz w:val="18"/>
                <w:szCs w:val="18"/>
              </w:rPr>
            </w:pPr>
            <w:bookmarkStart w:id="159" w:name="_Toc6896"/>
            <w:r>
              <w:rPr>
                <w:rFonts w:hint="eastAsia" w:ascii="Times New Roman" w:hAnsi="Times New Roman" w:eastAsia="宋体" w:cs="宋体"/>
                <w:b/>
                <w:bCs/>
                <w:color w:val="auto"/>
                <w:kern w:val="0"/>
                <w:sz w:val="18"/>
                <w:szCs w:val="18"/>
              </w:rPr>
              <w:t>序号</w:t>
            </w:r>
          </w:p>
        </w:tc>
        <w:tc>
          <w:tcPr>
            <w:tcW w:w="4908" w:type="dxa"/>
            <w:vAlign w:val="center"/>
          </w:tcPr>
          <w:p>
            <w:pPr>
              <w:autoSpaceDE w:val="0"/>
              <w:autoSpaceDN w:val="0"/>
              <w:jc w:val="center"/>
              <w:rPr>
                <w:rFonts w:ascii="Times New Roman" w:hAnsi="Times New Roman" w:eastAsia="宋体" w:cs="Times New Roman"/>
                <w:b/>
                <w:bCs/>
                <w:color w:val="auto"/>
                <w:kern w:val="0"/>
                <w:sz w:val="18"/>
                <w:szCs w:val="18"/>
              </w:rPr>
            </w:pPr>
            <w:r>
              <w:rPr>
                <w:rFonts w:hint="eastAsia" w:ascii="Times New Roman" w:hAnsi="Times New Roman" w:eastAsia="宋体" w:cs="宋体"/>
                <w:b/>
                <w:bCs/>
                <w:color w:val="auto"/>
                <w:kern w:val="0"/>
                <w:sz w:val="18"/>
                <w:szCs w:val="18"/>
              </w:rPr>
              <w:t>检查内容</w:t>
            </w:r>
          </w:p>
        </w:tc>
        <w:tc>
          <w:tcPr>
            <w:tcW w:w="2673" w:type="dxa"/>
            <w:vAlign w:val="center"/>
          </w:tcPr>
          <w:p>
            <w:pPr>
              <w:jc w:val="center"/>
              <w:rPr>
                <w:rFonts w:ascii="Times New Roman" w:hAnsi="Times New Roman" w:eastAsia="宋体" w:cs="Times New Roman"/>
                <w:b/>
                <w:bCs/>
                <w:color w:val="auto"/>
                <w:kern w:val="0"/>
                <w:sz w:val="18"/>
                <w:szCs w:val="18"/>
              </w:rPr>
            </w:pPr>
            <w:r>
              <w:rPr>
                <w:rFonts w:hint="eastAsia" w:ascii="Times New Roman" w:hAnsi="Times New Roman" w:eastAsia="宋体" w:cs="宋体"/>
                <w:b/>
                <w:bCs/>
                <w:color w:val="auto"/>
                <w:kern w:val="0"/>
                <w:sz w:val="18"/>
                <w:szCs w:val="18"/>
              </w:rPr>
              <w:t>检查记录</w:t>
            </w:r>
          </w:p>
        </w:tc>
        <w:tc>
          <w:tcPr>
            <w:tcW w:w="806" w:type="dxa"/>
            <w:vAlign w:val="center"/>
          </w:tcPr>
          <w:p>
            <w:pPr>
              <w:jc w:val="center"/>
              <w:rPr>
                <w:rFonts w:ascii="Times New Roman" w:hAnsi="Times New Roman" w:eastAsia="宋体" w:cs="Times New Roman"/>
                <w:b/>
                <w:bCs/>
                <w:color w:val="auto"/>
                <w:kern w:val="0"/>
                <w:sz w:val="18"/>
                <w:szCs w:val="18"/>
              </w:rPr>
            </w:pPr>
            <w:r>
              <w:rPr>
                <w:rFonts w:hint="eastAsia" w:ascii="Times New Roman" w:hAnsi="Times New Roman" w:eastAsia="宋体" w:cs="宋体"/>
                <w:b/>
                <w:bCs/>
                <w:color w:val="auto"/>
                <w:kern w:val="0"/>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3" w:hRule="atLeast"/>
          <w:jc w:val="center"/>
        </w:trPr>
        <w:tc>
          <w:tcPr>
            <w:tcW w:w="693" w:type="dxa"/>
            <w:vAlign w:val="center"/>
          </w:tcPr>
          <w:p>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kern w:val="0"/>
                <w:sz w:val="18"/>
                <w:szCs w:val="18"/>
              </w:rPr>
              <w:t>1</w:t>
            </w:r>
            <w:r>
              <w:rPr>
                <w:rFonts w:hint="eastAsia" w:ascii="宋体" w:hAnsi="宋体" w:eastAsia="宋体" w:cs="宋体"/>
                <w:b/>
                <w:bCs/>
                <w:color w:val="auto"/>
                <w:kern w:val="0"/>
                <w:sz w:val="18"/>
                <w:szCs w:val="18"/>
              </w:rPr>
              <w:t>※</w:t>
            </w:r>
          </w:p>
        </w:tc>
        <w:tc>
          <w:tcPr>
            <w:tcW w:w="4908" w:type="dxa"/>
            <w:vAlign w:val="center"/>
          </w:tcPr>
          <w:p>
            <w:pPr>
              <w:autoSpaceDE w:val="0"/>
              <w:autoSpaceDN w:val="0"/>
              <w:rPr>
                <w:rFonts w:ascii="Times New Roman" w:hAnsi="Times New Roman" w:eastAsia="宋体" w:cs="Times New Roman"/>
                <w:b/>
                <w:bCs/>
                <w:color w:val="auto"/>
                <w:kern w:val="0"/>
                <w:sz w:val="18"/>
                <w:szCs w:val="18"/>
              </w:rPr>
            </w:pPr>
            <w:r>
              <w:rPr>
                <w:rFonts w:hint="eastAsia" w:ascii="Times New Roman" w:hAnsi="Times New Roman" w:eastAsia="宋体" w:cs="宋体"/>
                <w:b w:val="0"/>
                <w:bCs w:val="0"/>
                <w:color w:val="auto"/>
                <w:kern w:val="0"/>
                <w:sz w:val="18"/>
                <w:szCs w:val="18"/>
              </w:rPr>
              <w:t>加油站设计单位资质</w:t>
            </w:r>
          </w:p>
        </w:tc>
        <w:tc>
          <w:tcPr>
            <w:tcW w:w="2673"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有</w:t>
            </w:r>
          </w:p>
        </w:tc>
        <w:tc>
          <w:tcPr>
            <w:tcW w:w="806"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3" w:hRule="atLeast"/>
          <w:jc w:val="center"/>
        </w:trPr>
        <w:tc>
          <w:tcPr>
            <w:tcW w:w="693" w:type="dxa"/>
            <w:vAlign w:val="center"/>
          </w:tcPr>
          <w:p>
            <w:pPr>
              <w:jc w:val="center"/>
              <w:rPr>
                <w:rFonts w:ascii="Times New Roman" w:hAnsi="Times New Roman" w:eastAsia="宋体" w:cs="Times New Roman"/>
                <w:b/>
                <w:bCs/>
                <w:color w:val="auto"/>
                <w:kern w:val="0"/>
                <w:sz w:val="18"/>
                <w:szCs w:val="18"/>
              </w:rPr>
            </w:pPr>
            <w:r>
              <w:rPr>
                <w:rFonts w:ascii="Times New Roman" w:hAnsi="Times New Roman" w:eastAsia="宋体" w:cs="Times New Roman"/>
                <w:b/>
                <w:bCs/>
                <w:color w:val="auto"/>
                <w:kern w:val="0"/>
                <w:sz w:val="18"/>
                <w:szCs w:val="18"/>
              </w:rPr>
              <w:t>2</w:t>
            </w:r>
            <w:r>
              <w:rPr>
                <w:rFonts w:hint="eastAsia" w:ascii="宋体" w:hAnsi="宋体" w:eastAsia="宋体" w:cs="宋体"/>
                <w:b/>
                <w:bCs/>
                <w:color w:val="auto"/>
                <w:kern w:val="0"/>
                <w:sz w:val="18"/>
                <w:szCs w:val="18"/>
              </w:rPr>
              <w:t>※</w:t>
            </w:r>
          </w:p>
        </w:tc>
        <w:tc>
          <w:tcPr>
            <w:tcW w:w="4908" w:type="dxa"/>
            <w:vAlign w:val="center"/>
          </w:tcPr>
          <w:p>
            <w:pPr>
              <w:autoSpaceDE w:val="0"/>
              <w:autoSpaceDN w:val="0"/>
              <w:rPr>
                <w:rFonts w:ascii="Times New Roman" w:hAnsi="Times New Roman" w:eastAsia="宋体" w:cs="Times New Roman"/>
                <w:b w:val="0"/>
                <w:bCs w:val="0"/>
                <w:color w:val="auto"/>
                <w:kern w:val="0"/>
                <w:sz w:val="18"/>
                <w:szCs w:val="18"/>
              </w:rPr>
            </w:pPr>
            <w:r>
              <w:rPr>
                <w:rFonts w:hint="eastAsia" w:ascii="Times New Roman" w:hAnsi="Times New Roman" w:eastAsia="宋体" w:cs="宋体"/>
                <w:b w:val="0"/>
                <w:bCs w:val="0"/>
                <w:color w:val="auto"/>
                <w:kern w:val="0"/>
                <w:sz w:val="18"/>
                <w:szCs w:val="18"/>
              </w:rPr>
              <w:t>加油站施工单位资质</w:t>
            </w:r>
          </w:p>
        </w:tc>
        <w:tc>
          <w:tcPr>
            <w:tcW w:w="2673"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有</w:t>
            </w:r>
          </w:p>
        </w:tc>
        <w:tc>
          <w:tcPr>
            <w:tcW w:w="806"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3" w:hRule="atLeast"/>
          <w:jc w:val="center"/>
        </w:trPr>
        <w:tc>
          <w:tcPr>
            <w:tcW w:w="693" w:type="dxa"/>
            <w:vAlign w:val="center"/>
          </w:tcPr>
          <w:p>
            <w:pPr>
              <w:jc w:val="center"/>
              <w:rPr>
                <w:rFonts w:ascii="Times New Roman" w:hAnsi="Times New Roman" w:eastAsia="宋体" w:cs="Times New Roman"/>
                <w:b/>
                <w:bCs/>
                <w:color w:val="auto"/>
                <w:kern w:val="0"/>
                <w:sz w:val="18"/>
                <w:szCs w:val="18"/>
              </w:rPr>
            </w:pPr>
            <w:r>
              <w:rPr>
                <w:rFonts w:ascii="Times New Roman" w:hAnsi="Times New Roman" w:eastAsia="宋体" w:cs="Times New Roman"/>
                <w:b/>
                <w:bCs/>
                <w:color w:val="auto"/>
                <w:kern w:val="0"/>
                <w:sz w:val="18"/>
                <w:szCs w:val="18"/>
              </w:rPr>
              <w:t>3</w:t>
            </w:r>
            <w:r>
              <w:rPr>
                <w:rFonts w:hint="eastAsia" w:ascii="宋体" w:hAnsi="宋体" w:eastAsia="宋体" w:cs="宋体"/>
                <w:b/>
                <w:bCs/>
                <w:color w:val="auto"/>
                <w:kern w:val="0"/>
                <w:sz w:val="18"/>
                <w:szCs w:val="18"/>
              </w:rPr>
              <w:t>※</w:t>
            </w:r>
          </w:p>
        </w:tc>
        <w:tc>
          <w:tcPr>
            <w:tcW w:w="4908" w:type="dxa"/>
            <w:vAlign w:val="center"/>
          </w:tcPr>
          <w:p>
            <w:pPr>
              <w:autoSpaceDE w:val="0"/>
              <w:autoSpaceDN w:val="0"/>
              <w:rPr>
                <w:rFonts w:ascii="Times New Roman" w:hAnsi="Times New Roman" w:eastAsia="宋体" w:cs="宋体"/>
                <w:b w:val="0"/>
                <w:bCs w:val="0"/>
                <w:color w:val="auto"/>
                <w:kern w:val="0"/>
                <w:sz w:val="18"/>
                <w:szCs w:val="18"/>
              </w:rPr>
            </w:pPr>
            <w:r>
              <w:rPr>
                <w:rFonts w:hint="eastAsia" w:ascii="Times New Roman" w:hAnsi="Times New Roman" w:eastAsia="宋体" w:cs="宋体"/>
                <w:b w:val="0"/>
                <w:bCs w:val="0"/>
                <w:color w:val="auto"/>
                <w:kern w:val="0"/>
                <w:sz w:val="18"/>
                <w:szCs w:val="18"/>
              </w:rPr>
              <w:t>加油站监理单位资质</w:t>
            </w:r>
          </w:p>
        </w:tc>
        <w:tc>
          <w:tcPr>
            <w:tcW w:w="2673" w:type="dxa"/>
            <w:vAlign w:val="center"/>
          </w:tcPr>
          <w:p>
            <w:pPr>
              <w:jc w:val="center"/>
              <w:rPr>
                <w:rFonts w:ascii="Times New Roman" w:hAnsi="Times New Roman" w:eastAsia="宋体" w:cs="宋体"/>
                <w:color w:val="auto"/>
                <w:kern w:val="0"/>
                <w:sz w:val="18"/>
                <w:szCs w:val="18"/>
              </w:rPr>
            </w:pPr>
            <w:r>
              <w:rPr>
                <w:rFonts w:hint="eastAsia" w:ascii="Times New Roman" w:hAnsi="Times New Roman" w:eastAsia="宋体" w:cs="宋体"/>
                <w:color w:val="auto"/>
                <w:kern w:val="0"/>
                <w:sz w:val="18"/>
                <w:szCs w:val="18"/>
              </w:rPr>
              <w:t>有</w:t>
            </w:r>
          </w:p>
        </w:tc>
        <w:tc>
          <w:tcPr>
            <w:tcW w:w="806" w:type="dxa"/>
            <w:vAlign w:val="center"/>
          </w:tcPr>
          <w:p>
            <w:pPr>
              <w:jc w:val="center"/>
              <w:rPr>
                <w:rFonts w:ascii="Times New Roman" w:hAnsi="Times New Roman" w:eastAsia="宋体" w:cs="宋体"/>
                <w:color w:val="auto"/>
                <w:kern w:val="0"/>
                <w:sz w:val="18"/>
                <w:szCs w:val="18"/>
              </w:rPr>
            </w:pPr>
            <w:r>
              <w:rPr>
                <w:rFonts w:hint="eastAsia" w:ascii="Times New Roman" w:hAnsi="Times New Roman" w:eastAsia="宋体"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693" w:type="dxa"/>
            <w:vAlign w:val="center"/>
          </w:tcPr>
          <w:p>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kern w:val="0"/>
                <w:sz w:val="18"/>
                <w:szCs w:val="18"/>
              </w:rPr>
              <w:t>4</w:t>
            </w:r>
            <w:r>
              <w:rPr>
                <w:rFonts w:hint="eastAsia" w:ascii="宋体" w:hAnsi="宋体" w:eastAsia="宋体" w:cs="宋体"/>
                <w:b/>
                <w:bCs/>
                <w:color w:val="auto"/>
                <w:kern w:val="0"/>
                <w:sz w:val="18"/>
                <w:szCs w:val="18"/>
              </w:rPr>
              <w:t>※</w:t>
            </w:r>
          </w:p>
        </w:tc>
        <w:tc>
          <w:tcPr>
            <w:tcW w:w="4908" w:type="dxa"/>
            <w:vAlign w:val="center"/>
          </w:tcPr>
          <w:p>
            <w:pPr>
              <w:autoSpaceDE w:val="0"/>
              <w:autoSpaceDN w:val="0"/>
              <w:rPr>
                <w:rFonts w:ascii="Times New Roman" w:hAnsi="Times New Roman" w:eastAsia="宋体" w:cs="Times New Roman"/>
                <w:b w:val="0"/>
                <w:bCs w:val="0"/>
                <w:color w:val="auto"/>
                <w:kern w:val="0"/>
                <w:sz w:val="18"/>
                <w:szCs w:val="18"/>
              </w:rPr>
            </w:pPr>
            <w:r>
              <w:rPr>
                <w:rFonts w:hint="eastAsia" w:ascii="Times New Roman" w:hAnsi="Times New Roman" w:eastAsia="宋体" w:cs="宋体"/>
                <w:b w:val="0"/>
                <w:bCs w:val="0"/>
                <w:color w:val="auto"/>
                <w:kern w:val="0"/>
                <w:sz w:val="18"/>
                <w:szCs w:val="18"/>
              </w:rPr>
              <w:t>加油站营业执照</w:t>
            </w:r>
          </w:p>
        </w:tc>
        <w:tc>
          <w:tcPr>
            <w:tcW w:w="2673"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有</w:t>
            </w:r>
          </w:p>
        </w:tc>
        <w:tc>
          <w:tcPr>
            <w:tcW w:w="806" w:type="dxa"/>
            <w:vAlign w:val="center"/>
          </w:tcPr>
          <w:p>
            <w:pPr>
              <w:jc w:val="center"/>
              <w:rPr>
                <w:rFonts w:ascii="Times New Roman" w:hAnsi="Times New Roman" w:eastAsia="宋体" w:cs="Times New Roman"/>
                <w:b/>
                <w:bCs/>
                <w:color w:val="auto"/>
                <w:kern w:val="0"/>
                <w:sz w:val="18"/>
                <w:szCs w:val="18"/>
              </w:rPr>
            </w:pPr>
            <w:r>
              <w:rPr>
                <w:rFonts w:hint="eastAsia" w:ascii="Times New Roman" w:hAnsi="Times New Roman" w:eastAsia="宋体"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3" w:hRule="atLeast"/>
          <w:jc w:val="center"/>
        </w:trPr>
        <w:tc>
          <w:tcPr>
            <w:tcW w:w="693" w:type="dxa"/>
            <w:vAlign w:val="center"/>
          </w:tcPr>
          <w:p>
            <w:pPr>
              <w:jc w:val="center"/>
              <w:rPr>
                <w:rFonts w:ascii="Times New Roman" w:hAnsi="Times New Roman" w:eastAsia="宋体" w:cs="Times New Roman"/>
                <w:b/>
                <w:bCs/>
                <w:color w:val="auto"/>
                <w:kern w:val="0"/>
                <w:sz w:val="18"/>
                <w:szCs w:val="18"/>
              </w:rPr>
            </w:pPr>
            <w:r>
              <w:rPr>
                <w:rFonts w:ascii="Times New Roman" w:hAnsi="Times New Roman" w:eastAsia="宋体" w:cs="Times New Roman"/>
                <w:b/>
                <w:bCs/>
                <w:color w:val="auto"/>
                <w:kern w:val="0"/>
                <w:sz w:val="18"/>
                <w:szCs w:val="18"/>
              </w:rPr>
              <w:t>5</w:t>
            </w:r>
            <w:r>
              <w:rPr>
                <w:rFonts w:hint="eastAsia" w:ascii="宋体" w:hAnsi="宋体" w:eastAsia="宋体" w:cs="宋体"/>
                <w:b/>
                <w:bCs/>
                <w:color w:val="auto"/>
                <w:kern w:val="0"/>
                <w:sz w:val="18"/>
                <w:szCs w:val="18"/>
              </w:rPr>
              <w:t>※</w:t>
            </w:r>
          </w:p>
        </w:tc>
        <w:tc>
          <w:tcPr>
            <w:tcW w:w="4908" w:type="dxa"/>
            <w:vAlign w:val="center"/>
          </w:tcPr>
          <w:p>
            <w:pPr>
              <w:autoSpaceDE w:val="0"/>
              <w:autoSpaceDN w:val="0"/>
              <w:rPr>
                <w:rFonts w:ascii="Times New Roman" w:hAnsi="Times New Roman" w:eastAsia="宋体" w:cs="Times New Roman"/>
                <w:b w:val="0"/>
                <w:bCs w:val="0"/>
                <w:color w:val="auto"/>
                <w:kern w:val="0"/>
                <w:sz w:val="18"/>
                <w:szCs w:val="18"/>
              </w:rPr>
            </w:pPr>
            <w:r>
              <w:rPr>
                <w:rFonts w:hint="eastAsia" w:ascii="Times New Roman" w:hAnsi="Times New Roman" w:eastAsia="宋体" w:cs="宋体"/>
                <w:b w:val="0"/>
                <w:bCs w:val="0"/>
                <w:color w:val="auto"/>
                <w:kern w:val="0"/>
                <w:sz w:val="18"/>
                <w:szCs w:val="18"/>
              </w:rPr>
              <w:t>用地证明</w:t>
            </w:r>
          </w:p>
        </w:tc>
        <w:tc>
          <w:tcPr>
            <w:tcW w:w="2673"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有</w:t>
            </w:r>
          </w:p>
        </w:tc>
        <w:tc>
          <w:tcPr>
            <w:tcW w:w="806"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3" w:hRule="atLeast"/>
          <w:jc w:val="center"/>
        </w:trPr>
        <w:tc>
          <w:tcPr>
            <w:tcW w:w="693" w:type="dxa"/>
            <w:vAlign w:val="center"/>
          </w:tcPr>
          <w:p>
            <w:pPr>
              <w:jc w:val="center"/>
              <w:rPr>
                <w:rFonts w:ascii="Times New Roman" w:hAnsi="Times New Roman" w:eastAsia="宋体" w:cs="Times New Roman"/>
                <w:b/>
                <w:bCs/>
                <w:color w:val="auto"/>
                <w:kern w:val="0"/>
                <w:sz w:val="18"/>
                <w:szCs w:val="18"/>
              </w:rPr>
            </w:pPr>
            <w:r>
              <w:rPr>
                <w:rFonts w:ascii="Times New Roman" w:hAnsi="Times New Roman" w:eastAsia="宋体" w:cs="Times New Roman"/>
                <w:b/>
                <w:bCs/>
                <w:color w:val="auto"/>
                <w:kern w:val="0"/>
                <w:sz w:val="18"/>
                <w:szCs w:val="18"/>
              </w:rPr>
              <w:t>6</w:t>
            </w:r>
            <w:r>
              <w:rPr>
                <w:rFonts w:hint="eastAsia" w:ascii="宋体" w:hAnsi="宋体" w:eastAsia="宋体" w:cs="宋体"/>
                <w:b/>
                <w:bCs/>
                <w:color w:val="auto"/>
                <w:kern w:val="0"/>
                <w:sz w:val="18"/>
                <w:szCs w:val="18"/>
              </w:rPr>
              <w:t>※</w:t>
            </w:r>
          </w:p>
        </w:tc>
        <w:tc>
          <w:tcPr>
            <w:tcW w:w="4908" w:type="dxa"/>
            <w:vAlign w:val="center"/>
          </w:tcPr>
          <w:p>
            <w:pPr>
              <w:autoSpaceDE w:val="0"/>
              <w:autoSpaceDN w:val="0"/>
              <w:rPr>
                <w:rFonts w:ascii="Times New Roman" w:hAnsi="Times New Roman" w:eastAsia="宋体" w:cs="Times New Roman"/>
                <w:b w:val="0"/>
                <w:bCs w:val="0"/>
                <w:color w:val="auto"/>
                <w:kern w:val="0"/>
                <w:sz w:val="18"/>
                <w:szCs w:val="18"/>
              </w:rPr>
            </w:pPr>
            <w:r>
              <w:rPr>
                <w:rFonts w:hint="eastAsia" w:ascii="Times New Roman" w:hAnsi="Times New Roman" w:eastAsia="宋体" w:cs="宋体"/>
                <w:b w:val="0"/>
                <w:bCs w:val="0"/>
                <w:color w:val="auto"/>
                <w:kern w:val="0"/>
                <w:sz w:val="18"/>
                <w:szCs w:val="18"/>
              </w:rPr>
              <w:t>加油站防雷检测报告</w:t>
            </w:r>
          </w:p>
        </w:tc>
        <w:tc>
          <w:tcPr>
            <w:tcW w:w="2673"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有</w:t>
            </w:r>
          </w:p>
        </w:tc>
        <w:tc>
          <w:tcPr>
            <w:tcW w:w="806" w:type="dxa"/>
            <w:vAlign w:val="center"/>
          </w:tcPr>
          <w:p>
            <w:pPr>
              <w:jc w:val="center"/>
              <w:rPr>
                <w:rFonts w:ascii="Times New Roman" w:hAnsi="Times New Roman" w:eastAsia="宋体" w:cs="Times New Roman"/>
                <w:color w:val="auto"/>
                <w:kern w:val="0"/>
                <w:sz w:val="18"/>
                <w:szCs w:val="18"/>
              </w:rPr>
            </w:pPr>
            <w:r>
              <w:rPr>
                <w:rFonts w:hint="eastAsia" w:ascii="Times New Roman" w:hAnsi="Times New Roman" w:eastAsia="宋体" w:cs="宋体"/>
                <w:color w:val="auto"/>
                <w:kern w:val="0"/>
                <w:sz w:val="18"/>
                <w:szCs w:val="18"/>
              </w:rPr>
              <w:t>合格</w:t>
            </w:r>
          </w:p>
        </w:tc>
      </w:tr>
    </w:tbl>
    <w:p>
      <w:pPr>
        <w:keepNext/>
        <w:keepLines/>
        <w:spacing w:line="600" w:lineRule="exact"/>
        <w:outlineLvl w:val="1"/>
        <w:rPr>
          <w:rFonts w:ascii="Times New Roman" w:hAnsi="Times New Roman" w:cs="Times New Roman"/>
          <w:b/>
          <w:bCs/>
          <w:color w:val="auto"/>
          <w:sz w:val="28"/>
          <w:szCs w:val="28"/>
        </w:rPr>
      </w:pPr>
      <w:bookmarkStart w:id="160" w:name="_Toc27401"/>
      <w:r>
        <w:rPr>
          <w:rFonts w:ascii="Times New Roman" w:hAnsi="Times New Roman" w:cs="Times New Roman"/>
          <w:b/>
          <w:bCs/>
          <w:color w:val="auto"/>
          <w:sz w:val="28"/>
          <w:szCs w:val="28"/>
        </w:rPr>
        <w:t xml:space="preserve">6.8 </w:t>
      </w:r>
      <w:r>
        <w:rPr>
          <w:rFonts w:hint="eastAsia" w:ascii="Times New Roman" w:hAnsi="Times New Roman" w:cs="宋体"/>
          <w:b/>
          <w:bCs/>
          <w:color w:val="auto"/>
          <w:sz w:val="28"/>
          <w:szCs w:val="28"/>
        </w:rPr>
        <w:t>安全管理制度</w:t>
      </w:r>
      <w:bookmarkEnd w:id="159"/>
      <w:bookmarkEnd w:id="160"/>
    </w:p>
    <w:tbl>
      <w:tblPr>
        <w:tblStyle w:val="20"/>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3"/>
        <w:gridCol w:w="6527"/>
        <w:gridCol w:w="1076"/>
        <w:gridCol w:w="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1</w:t>
            </w:r>
            <w:r>
              <w:rPr>
                <w:rFonts w:hint="eastAsia" w:ascii="宋体" w:hAnsi="宋体" w:cs="宋体"/>
                <w:b/>
                <w:bCs/>
                <w:color w:val="auto"/>
                <w:kern w:val="0"/>
                <w:sz w:val="18"/>
                <w:szCs w:val="18"/>
              </w:rPr>
              <w:t>※</w:t>
            </w: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有各级各类人员的安全管理责任制，其中包括：</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1</w:t>
            </w:r>
            <w:r>
              <w:rPr>
                <w:rFonts w:hint="eastAsia" w:ascii="Times New Roman" w:hAnsi="Times New Roman" w:cs="宋体"/>
                <w:color w:val="auto"/>
                <w:kern w:val="0"/>
                <w:sz w:val="18"/>
                <w:szCs w:val="18"/>
              </w:rPr>
              <w:t>、加油站站长安全职责</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有</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r>
              <w:rPr>
                <w:rFonts w:hint="eastAsia" w:ascii="Times New Roman" w:hAnsi="Times New Roman" w:cs="宋体"/>
                <w:color w:val="auto"/>
                <w:kern w:val="0"/>
                <w:sz w:val="18"/>
                <w:szCs w:val="18"/>
              </w:rPr>
              <w:t>、加油员安全职责</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有</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3</w:t>
            </w:r>
            <w:r>
              <w:rPr>
                <w:rFonts w:hint="eastAsia" w:ascii="Times New Roman" w:hAnsi="Times New Roman" w:cs="宋体"/>
                <w:color w:val="auto"/>
                <w:kern w:val="0"/>
                <w:sz w:val="18"/>
                <w:szCs w:val="18"/>
              </w:rPr>
              <w:t>、计量、质量员安全职责</w:t>
            </w:r>
            <w:r>
              <w:rPr>
                <w:rFonts w:ascii="Times New Roman" w:hAnsi="Times New Roman" w:cs="Times New Roman"/>
                <w:color w:val="auto"/>
                <w:kern w:val="0"/>
                <w:sz w:val="18"/>
                <w:szCs w:val="18"/>
              </w:rPr>
              <w:t xml:space="preserve">    </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有</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4</w:t>
            </w:r>
            <w:r>
              <w:rPr>
                <w:rFonts w:hint="eastAsia" w:ascii="Times New Roman" w:hAnsi="Times New Roman" w:cs="宋体"/>
                <w:color w:val="auto"/>
                <w:kern w:val="0"/>
                <w:sz w:val="18"/>
                <w:szCs w:val="18"/>
              </w:rPr>
              <w:t>、安全员安全职责</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有</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5</w:t>
            </w:r>
            <w:r>
              <w:rPr>
                <w:rFonts w:hint="eastAsia" w:ascii="Times New Roman" w:hAnsi="Times New Roman" w:cs="宋体"/>
                <w:color w:val="auto"/>
                <w:kern w:val="0"/>
                <w:sz w:val="18"/>
                <w:szCs w:val="18"/>
              </w:rPr>
              <w:t>、事故应急救援预案（制定灭火预案并经常进行消防演练）</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atLeast"/>
          <w:jc w:val="center"/>
        </w:trPr>
        <w:tc>
          <w:tcPr>
            <w:tcW w:w="753"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r>
              <w:rPr>
                <w:rFonts w:hint="eastAsia" w:ascii="宋体" w:hAnsi="宋体" w:cs="宋体"/>
                <w:b/>
                <w:bCs/>
                <w:color w:val="auto"/>
                <w:kern w:val="0"/>
                <w:sz w:val="18"/>
                <w:szCs w:val="18"/>
              </w:rPr>
              <w:t>※</w:t>
            </w: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有健全的安全管理制度</w:t>
            </w:r>
            <w:r>
              <w:rPr>
                <w:rFonts w:hint="eastAsia" w:ascii="Times New Roman" w:hAnsi="Times New Roman" w:cs="宋体"/>
                <w:color w:val="auto"/>
                <w:sz w:val="18"/>
                <w:szCs w:val="18"/>
              </w:rPr>
              <w:t>（包括教育培训、防火、动火、用火、检修、废弃物处理）制度</w:t>
            </w:r>
            <w:r>
              <w:rPr>
                <w:rFonts w:hint="eastAsia" w:ascii="Times New Roman" w:hAnsi="Times New Roman" w:cs="宋体"/>
                <w:color w:val="auto"/>
                <w:kern w:val="0"/>
                <w:sz w:val="18"/>
                <w:szCs w:val="18"/>
              </w:rPr>
              <w:t>。</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ascii="Times New Roman" w:hAnsi="Times New Roman" w:cs="Times New Roman"/>
                <w:b/>
                <w:bCs/>
                <w:color w:val="auto"/>
                <w:kern w:val="0"/>
                <w:sz w:val="18"/>
                <w:szCs w:val="18"/>
              </w:rPr>
              <w:t>3</w:t>
            </w:r>
            <w:r>
              <w:rPr>
                <w:rFonts w:hint="eastAsia" w:ascii="宋体" w:hAnsi="宋体" w:cs="宋体"/>
                <w:b/>
                <w:bCs/>
                <w:color w:val="auto"/>
                <w:kern w:val="0"/>
                <w:sz w:val="18"/>
                <w:szCs w:val="18"/>
              </w:rPr>
              <w:t>※</w:t>
            </w: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有各岗位操作规程，其中包括：</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（一）卸油操作规程：</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 w:hRule="atLeast"/>
          <w:jc w:val="center"/>
        </w:trPr>
        <w:tc>
          <w:tcPr>
            <w:tcW w:w="753" w:type="dxa"/>
            <w:vMerge w:val="continue"/>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1</w:t>
            </w:r>
            <w:r>
              <w:rPr>
                <w:rFonts w:hint="eastAsia" w:ascii="Times New Roman" w:hAnsi="Times New Roman" w:cs="宋体"/>
                <w:color w:val="auto"/>
                <w:kern w:val="0"/>
                <w:sz w:val="18"/>
                <w:szCs w:val="18"/>
              </w:rPr>
              <w:t>、卸油前，卸油工应检查接地装置是否良好，消防器材是否到位，接好接地线（接地夹禁止装在油罐车装、卸油口附近），</w:t>
            </w:r>
            <w:r>
              <w:rPr>
                <w:rFonts w:ascii="Times New Roman" w:hAnsi="Times New Roman" w:cs="Times New Roman"/>
                <w:color w:val="auto"/>
                <w:kern w:val="0"/>
                <w:sz w:val="18"/>
                <w:szCs w:val="18"/>
              </w:rPr>
              <w:t>15</w:t>
            </w:r>
            <w:r>
              <w:rPr>
                <w:rFonts w:hint="eastAsia" w:ascii="Times New Roman" w:hAnsi="Times New Roman" w:cs="宋体"/>
                <w:color w:val="auto"/>
                <w:kern w:val="0"/>
                <w:sz w:val="18"/>
                <w:szCs w:val="18"/>
              </w:rPr>
              <w:t>分钟后计量。</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 w:hRule="atLeast"/>
          <w:jc w:val="center"/>
        </w:trPr>
        <w:tc>
          <w:tcPr>
            <w:tcW w:w="753" w:type="dxa"/>
            <w:vMerge w:val="continue"/>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r>
              <w:rPr>
                <w:rFonts w:hint="eastAsia" w:ascii="Times New Roman" w:hAnsi="Times New Roman" w:cs="宋体"/>
                <w:color w:val="auto"/>
                <w:kern w:val="0"/>
                <w:sz w:val="18"/>
                <w:szCs w:val="18"/>
              </w:rPr>
              <w:t>、核对卸油罐与运油罐车所装油品是否相符，确认卸油罐的空容量，防止跑、冒、混油发生。</w:t>
            </w:r>
            <w:r>
              <w:rPr>
                <w:rFonts w:ascii="Times New Roman" w:hAnsi="Times New Roman" w:cs="Times New Roman"/>
                <w:color w:val="auto"/>
                <w:kern w:val="0"/>
                <w:sz w:val="18"/>
                <w:szCs w:val="18"/>
              </w:rPr>
              <w:t xml:space="preserve">    </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 w:hRule="atLeast"/>
          <w:jc w:val="center"/>
        </w:trPr>
        <w:tc>
          <w:tcPr>
            <w:tcW w:w="753" w:type="dxa"/>
            <w:vMerge w:val="continue"/>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3</w:t>
            </w:r>
            <w:r>
              <w:rPr>
                <w:rFonts w:hint="eastAsia" w:ascii="Times New Roman" w:hAnsi="Times New Roman" w:cs="宋体"/>
                <w:color w:val="auto"/>
                <w:kern w:val="0"/>
                <w:sz w:val="18"/>
                <w:szCs w:val="18"/>
              </w:rPr>
              <w:t>、卸油中，卸油工应注意观察管线、闸阀等相关设备的运行情况，可机和卸油工均不得离开作业现场。</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 w:hRule="atLeas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4</w:t>
            </w:r>
            <w:r>
              <w:rPr>
                <w:rFonts w:hint="eastAsia" w:ascii="Times New Roman" w:hAnsi="Times New Roman" w:cs="宋体"/>
                <w:color w:val="auto"/>
                <w:kern w:val="0"/>
                <w:sz w:val="18"/>
                <w:szCs w:val="18"/>
              </w:rPr>
              <w:t>、卸油完毕，卸油工应登车确认油品是否卸净，关好闸阀，拆除管线，盖好口盖，收回静电接地线，将消防器材放回原处，清理现场。</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atLeast"/>
          <w:jc w:val="center"/>
        </w:trPr>
        <w:tc>
          <w:tcPr>
            <w:tcW w:w="753" w:type="dxa"/>
            <w:vMerge w:val="continue"/>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5</w:t>
            </w:r>
            <w:r>
              <w:rPr>
                <w:rFonts w:hint="eastAsia" w:ascii="Times New Roman" w:hAnsi="Times New Roman" w:cs="宋体"/>
                <w:color w:val="auto"/>
                <w:kern w:val="0"/>
                <w:sz w:val="18"/>
                <w:szCs w:val="18"/>
              </w:rPr>
              <w:t>、卸油后，油罐车不可立即起动，应待油罐车周围油气消散后（约</w:t>
            </w:r>
            <w:r>
              <w:rPr>
                <w:rFonts w:ascii="Times New Roman" w:hAnsi="Times New Roman" w:cs="Times New Roman"/>
                <w:color w:val="auto"/>
                <w:kern w:val="0"/>
                <w:sz w:val="18"/>
                <w:szCs w:val="18"/>
              </w:rPr>
              <w:t>5</w:t>
            </w:r>
            <w:r>
              <w:rPr>
                <w:rFonts w:hint="eastAsia" w:ascii="Times New Roman" w:hAnsi="Times New Roman" w:cs="宋体"/>
                <w:color w:val="auto"/>
                <w:kern w:val="0"/>
                <w:sz w:val="18"/>
                <w:szCs w:val="18"/>
              </w:rPr>
              <w:t>分钟）再起动。</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6</w:t>
            </w:r>
            <w:r>
              <w:rPr>
                <w:rFonts w:hint="eastAsia" w:ascii="Times New Roman" w:hAnsi="Times New Roman" w:cs="宋体"/>
                <w:color w:val="auto"/>
                <w:kern w:val="0"/>
                <w:sz w:val="18"/>
                <w:szCs w:val="18"/>
              </w:rPr>
              <w:t>、雷雨天气禁止卸油作业。</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（二）加油操作规程</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 w:hRule="atLeast"/>
          <w:jc w:val="center"/>
        </w:trPr>
        <w:tc>
          <w:tcPr>
            <w:tcW w:w="753" w:type="dxa"/>
            <w:vMerge w:val="continue"/>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1</w:t>
            </w:r>
            <w:r>
              <w:rPr>
                <w:rFonts w:hint="eastAsia" w:ascii="Times New Roman" w:hAnsi="Times New Roman" w:cs="宋体"/>
                <w:color w:val="auto"/>
                <w:kern w:val="0"/>
                <w:sz w:val="18"/>
                <w:szCs w:val="18"/>
              </w:rPr>
              <w:t>、加油工应着防静电工作服，禁止穿钉子鞋，并禁止在危险区域内脱、穿、拍打衣服。</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 w:hRule="atLeas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r>
              <w:rPr>
                <w:rFonts w:hint="eastAsia" w:ascii="Times New Roman" w:hAnsi="Times New Roman" w:cs="宋体"/>
                <w:color w:val="auto"/>
                <w:kern w:val="0"/>
                <w:sz w:val="18"/>
                <w:szCs w:val="18"/>
              </w:rPr>
              <w:t>、加油工应在车辆停稳、发动机熄火后，方可将油箱口盖打开、加油。</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3</w:t>
            </w:r>
            <w:r>
              <w:rPr>
                <w:rFonts w:hint="eastAsia" w:ascii="Times New Roman" w:hAnsi="Times New Roman" w:cs="宋体"/>
                <w:color w:val="auto"/>
                <w:kern w:val="0"/>
                <w:sz w:val="18"/>
                <w:szCs w:val="18"/>
              </w:rPr>
              <w:t>、严禁向汽车汽化器及塑料桶内加油。</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4</w:t>
            </w:r>
            <w:r>
              <w:rPr>
                <w:rFonts w:hint="eastAsia" w:ascii="Times New Roman" w:hAnsi="Times New Roman" w:cs="宋体"/>
                <w:color w:val="auto"/>
                <w:kern w:val="0"/>
                <w:sz w:val="18"/>
                <w:szCs w:val="18"/>
              </w:rPr>
              <w:t>、洒、冒油品擦拭干净后方可继续加油。</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5</w:t>
            </w:r>
            <w:r>
              <w:rPr>
                <w:rFonts w:hint="eastAsia" w:ascii="Times New Roman" w:hAnsi="Times New Roman" w:cs="宋体"/>
                <w:color w:val="auto"/>
                <w:kern w:val="0"/>
                <w:sz w:val="18"/>
                <w:szCs w:val="18"/>
              </w:rPr>
              <w:t>、电闪雷击时禁止加油作业。</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6</w:t>
            </w:r>
            <w:r>
              <w:rPr>
                <w:rFonts w:hint="eastAsia" w:ascii="Times New Roman" w:hAnsi="Times New Roman" w:cs="宋体"/>
                <w:color w:val="auto"/>
                <w:kern w:val="0"/>
                <w:sz w:val="18"/>
                <w:szCs w:val="18"/>
              </w:rPr>
              <w:t>、拖拉机、摩托车推出危险区域后方可发动。</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7</w:t>
            </w:r>
            <w:r>
              <w:rPr>
                <w:rFonts w:hint="eastAsia" w:ascii="Times New Roman" w:hAnsi="Times New Roman" w:cs="宋体"/>
                <w:color w:val="auto"/>
                <w:kern w:val="0"/>
                <w:sz w:val="18"/>
                <w:szCs w:val="18"/>
              </w:rPr>
              <w:t>、加油完毕，应尽快将油枪放回托架内。</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是</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4</w:t>
            </w: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建立安全检查（包括巡回检查、夜间和节假日值班）制度。</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3" w:hRule="exact"/>
          <w:jc w:val="center"/>
        </w:trPr>
        <w:tc>
          <w:tcPr>
            <w:tcW w:w="753"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5</w:t>
            </w: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有完善的事故应急救援预案，并要有演练记录。</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sz w:val="18"/>
                <w:szCs w:val="18"/>
              </w:rPr>
            </w:pPr>
            <w:r>
              <w:rPr>
                <w:rFonts w:hint="eastAsia" w:ascii="Times New Roman" w:hAnsi="Times New Roman" w:cs="宋体"/>
                <w:color w:val="auto"/>
                <w:kern w:val="0"/>
                <w:sz w:val="18"/>
                <w:szCs w:val="18"/>
              </w:rPr>
              <w:t>有</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52" w:hRule="exact"/>
          <w:jc w:val="center"/>
        </w:trPr>
        <w:tc>
          <w:tcPr>
            <w:tcW w:w="753"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bookmarkStart w:id="161" w:name="_Toc343692274"/>
            <w:bookmarkStart w:id="162" w:name="_Toc1172"/>
            <w:r>
              <w:rPr>
                <w:rFonts w:ascii="Times New Roman" w:hAnsi="Times New Roman" w:cs="Times New Roman"/>
                <w:color w:val="auto"/>
                <w:kern w:val="0"/>
                <w:sz w:val="18"/>
                <w:szCs w:val="18"/>
              </w:rPr>
              <w:t>6</w:t>
            </w: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站区内严禁吸烟，不得使用移动通信工具。易燃、易爆区域内，严禁使用手机、</w:t>
            </w:r>
            <w:r>
              <w:rPr>
                <w:rFonts w:ascii="Times New Roman" w:hAnsi="Times New Roman" w:cs="Times New Roman"/>
                <w:color w:val="auto"/>
                <w:kern w:val="0"/>
                <w:sz w:val="18"/>
                <w:szCs w:val="18"/>
              </w:rPr>
              <w:t>BP</w:t>
            </w:r>
            <w:r>
              <w:rPr>
                <w:rFonts w:hint="eastAsia" w:ascii="Times New Roman" w:hAnsi="Times New Roman" w:cs="宋体"/>
                <w:color w:val="auto"/>
                <w:kern w:val="0"/>
                <w:sz w:val="18"/>
                <w:szCs w:val="18"/>
              </w:rPr>
              <w:t>机，严禁摄相拍照。</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站区内设置严禁烟火的标识，易燃、易爆区域，严禁使用手机</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39" w:hRule="exact"/>
          <w:jc w:val="center"/>
        </w:trPr>
        <w:tc>
          <w:tcPr>
            <w:tcW w:w="753"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7</w:t>
            </w: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安全管理制度加油站应建立下列安全管理制度：</w:t>
            </w:r>
            <w:r>
              <w:rPr>
                <w:rFonts w:ascii="Times New Roman" w:hAnsi="Times New Roman" w:cs="Times New Roman"/>
                <w:color w:val="auto"/>
                <w:kern w:val="0"/>
                <w:sz w:val="18"/>
                <w:szCs w:val="18"/>
              </w:rPr>
              <w:t>a.</w:t>
            </w:r>
            <w:r>
              <w:rPr>
                <w:rFonts w:hint="eastAsia" w:ascii="Times New Roman" w:hAnsi="Times New Roman" w:cs="宋体"/>
                <w:color w:val="auto"/>
                <w:kern w:val="0"/>
                <w:sz w:val="18"/>
                <w:szCs w:val="18"/>
              </w:rPr>
              <w:t>全员安全生产责任制</w:t>
            </w:r>
            <w:r>
              <w:rPr>
                <w:rFonts w:ascii="Times New Roman" w:hAnsi="Times New Roman" w:cs="Times New Roman"/>
                <w:color w:val="auto"/>
                <w:kern w:val="0"/>
                <w:sz w:val="18"/>
                <w:szCs w:val="18"/>
              </w:rPr>
              <w:t>b.</w:t>
            </w:r>
            <w:r>
              <w:rPr>
                <w:rFonts w:hint="eastAsia" w:ascii="Times New Roman" w:hAnsi="Times New Roman" w:cs="宋体"/>
                <w:color w:val="auto"/>
                <w:kern w:val="0"/>
                <w:sz w:val="18"/>
                <w:szCs w:val="18"/>
              </w:rPr>
              <w:t>危险化学品购销管理制度</w:t>
            </w:r>
            <w:r>
              <w:rPr>
                <w:rFonts w:ascii="Times New Roman" w:hAnsi="Times New Roman" w:cs="Times New Roman"/>
                <w:color w:val="auto"/>
                <w:kern w:val="0"/>
                <w:sz w:val="18"/>
                <w:szCs w:val="18"/>
              </w:rPr>
              <w:t>c.</w:t>
            </w:r>
            <w:r>
              <w:rPr>
                <w:rFonts w:hint="eastAsia" w:ascii="Times New Roman" w:hAnsi="Times New Roman" w:cs="宋体"/>
                <w:color w:val="auto"/>
                <w:kern w:val="0"/>
                <w:sz w:val="18"/>
                <w:szCs w:val="18"/>
              </w:rPr>
              <w:t>危险化学品安全管理制度（包括防火、防爆、防中毒、防泄漏管理等内容）</w:t>
            </w:r>
            <w:r>
              <w:rPr>
                <w:rFonts w:ascii="Times New Roman" w:hAnsi="Times New Roman" w:cs="Times New Roman"/>
                <w:color w:val="auto"/>
                <w:kern w:val="0"/>
                <w:sz w:val="18"/>
                <w:szCs w:val="18"/>
              </w:rPr>
              <w:t>d.</w:t>
            </w:r>
            <w:r>
              <w:rPr>
                <w:rFonts w:hint="eastAsia" w:ascii="Times New Roman" w:hAnsi="Times New Roman" w:cs="宋体"/>
                <w:color w:val="auto"/>
                <w:kern w:val="0"/>
                <w:sz w:val="18"/>
                <w:szCs w:val="18"/>
              </w:rPr>
              <w:t>安全投入保障制度</w:t>
            </w:r>
            <w:r>
              <w:rPr>
                <w:rFonts w:ascii="Times New Roman" w:hAnsi="Times New Roman" w:cs="Times New Roman"/>
                <w:color w:val="auto"/>
                <w:kern w:val="0"/>
                <w:sz w:val="18"/>
                <w:szCs w:val="18"/>
              </w:rPr>
              <w:t>e.</w:t>
            </w:r>
            <w:r>
              <w:rPr>
                <w:rFonts w:hint="eastAsia" w:ascii="Times New Roman" w:hAnsi="Times New Roman" w:cs="宋体"/>
                <w:color w:val="auto"/>
                <w:kern w:val="0"/>
                <w:sz w:val="18"/>
                <w:szCs w:val="18"/>
              </w:rPr>
              <w:t>安全生产奖惩制度、安全生产教育培训制度</w:t>
            </w:r>
            <w:r>
              <w:rPr>
                <w:rFonts w:ascii="Times New Roman" w:hAnsi="Times New Roman" w:cs="Times New Roman"/>
                <w:color w:val="auto"/>
                <w:kern w:val="0"/>
                <w:sz w:val="18"/>
                <w:szCs w:val="18"/>
              </w:rPr>
              <w:t>f.</w:t>
            </w:r>
            <w:r>
              <w:rPr>
                <w:rFonts w:hint="eastAsia" w:ascii="Times New Roman" w:hAnsi="Times New Roman" w:cs="宋体"/>
                <w:color w:val="auto"/>
                <w:kern w:val="0"/>
                <w:sz w:val="18"/>
                <w:szCs w:val="18"/>
              </w:rPr>
              <w:t>隐患排查治理制度</w:t>
            </w:r>
            <w:r>
              <w:rPr>
                <w:rFonts w:ascii="Times New Roman" w:hAnsi="Times New Roman" w:cs="Times New Roman"/>
                <w:color w:val="auto"/>
                <w:kern w:val="0"/>
                <w:sz w:val="18"/>
                <w:szCs w:val="18"/>
              </w:rPr>
              <w:t>g.</w:t>
            </w:r>
            <w:r>
              <w:rPr>
                <w:rFonts w:hint="eastAsia" w:ascii="Times New Roman" w:hAnsi="Times New Roman" w:cs="宋体"/>
                <w:color w:val="auto"/>
                <w:kern w:val="0"/>
                <w:sz w:val="18"/>
                <w:szCs w:val="18"/>
              </w:rPr>
              <w:t>安全风险管理制度</w:t>
            </w:r>
            <w:r>
              <w:rPr>
                <w:rFonts w:ascii="Times New Roman" w:hAnsi="Times New Roman" w:cs="Times New Roman"/>
                <w:color w:val="auto"/>
                <w:kern w:val="0"/>
                <w:sz w:val="18"/>
                <w:szCs w:val="18"/>
              </w:rPr>
              <w:t>h.</w:t>
            </w:r>
            <w:r>
              <w:rPr>
                <w:rFonts w:hint="eastAsia" w:ascii="Times New Roman" w:hAnsi="Times New Roman" w:cs="宋体"/>
                <w:color w:val="auto"/>
                <w:kern w:val="0"/>
                <w:sz w:val="18"/>
                <w:szCs w:val="18"/>
              </w:rPr>
              <w:t>应急管理制度</w:t>
            </w:r>
            <w:r>
              <w:rPr>
                <w:rFonts w:ascii="Times New Roman" w:hAnsi="Times New Roman" w:cs="Times New Roman"/>
                <w:color w:val="auto"/>
                <w:kern w:val="0"/>
                <w:sz w:val="18"/>
                <w:szCs w:val="18"/>
              </w:rPr>
              <w:t>i.</w:t>
            </w:r>
            <w:r>
              <w:rPr>
                <w:rFonts w:hint="eastAsia" w:ascii="Times New Roman" w:hAnsi="Times New Roman" w:cs="宋体"/>
                <w:color w:val="auto"/>
                <w:kern w:val="0"/>
                <w:sz w:val="18"/>
                <w:szCs w:val="18"/>
              </w:rPr>
              <w:t>事故管理制度</w:t>
            </w:r>
            <w:r>
              <w:rPr>
                <w:rFonts w:ascii="Times New Roman" w:hAnsi="Times New Roman" w:cs="Times New Roman"/>
                <w:color w:val="auto"/>
                <w:kern w:val="0"/>
                <w:sz w:val="18"/>
                <w:szCs w:val="18"/>
              </w:rPr>
              <w:t>j.</w:t>
            </w:r>
            <w:r>
              <w:rPr>
                <w:rFonts w:hint="eastAsia" w:ascii="Times New Roman" w:hAnsi="Times New Roman" w:cs="宋体"/>
                <w:color w:val="auto"/>
                <w:kern w:val="0"/>
                <w:sz w:val="18"/>
                <w:szCs w:val="18"/>
              </w:rPr>
              <w:t>职业卫生管理制度</w:t>
            </w:r>
            <w:r>
              <w:rPr>
                <w:rFonts w:ascii="Times New Roman" w:hAnsi="Times New Roman" w:cs="Times New Roman"/>
                <w:color w:val="auto"/>
                <w:kern w:val="0"/>
                <w:sz w:val="18"/>
                <w:szCs w:val="18"/>
              </w:rPr>
              <w:t>k.</w:t>
            </w:r>
            <w:r>
              <w:rPr>
                <w:rFonts w:hint="eastAsia" w:ascii="Times New Roman" w:hAnsi="Times New Roman" w:cs="宋体"/>
                <w:color w:val="auto"/>
                <w:kern w:val="0"/>
                <w:sz w:val="18"/>
                <w:szCs w:val="18"/>
              </w:rPr>
              <w:t>其它必要的作业安全制度。</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已建立安全管理制度</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16" w:hRule="exact"/>
          <w:jc w:val="center"/>
        </w:trPr>
        <w:tc>
          <w:tcPr>
            <w:tcW w:w="753"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jc w:val="center"/>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8</w:t>
            </w:r>
          </w:p>
        </w:tc>
        <w:tc>
          <w:tcPr>
            <w:tcW w:w="6527" w:type="dxa"/>
            <w:vAlign w:val="center"/>
          </w:tcPr>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事故应急救援预案及演练加油站必须建立事故应急救援预案，预案应包括如下内容：</w:t>
            </w:r>
            <w:r>
              <w:rPr>
                <w:rFonts w:ascii="Times New Roman" w:hAnsi="Times New Roman" w:cs="Times New Roman"/>
                <w:color w:val="auto"/>
                <w:kern w:val="0"/>
                <w:sz w:val="18"/>
                <w:szCs w:val="18"/>
              </w:rPr>
              <w:t>a.</w:t>
            </w:r>
            <w:r>
              <w:rPr>
                <w:rFonts w:hint="eastAsia" w:ascii="Times New Roman" w:hAnsi="Times New Roman" w:cs="宋体"/>
                <w:color w:val="auto"/>
                <w:kern w:val="0"/>
                <w:sz w:val="18"/>
                <w:szCs w:val="18"/>
              </w:rPr>
              <w:t>基本情况</w:t>
            </w:r>
            <w:r>
              <w:rPr>
                <w:rFonts w:ascii="Times New Roman" w:hAnsi="Times New Roman" w:cs="Times New Roman"/>
                <w:color w:val="auto"/>
                <w:kern w:val="0"/>
                <w:sz w:val="18"/>
                <w:szCs w:val="18"/>
              </w:rPr>
              <w:t>b.</w:t>
            </w:r>
            <w:r>
              <w:rPr>
                <w:rFonts w:hint="eastAsia" w:ascii="Times New Roman" w:hAnsi="Times New Roman" w:cs="宋体"/>
                <w:color w:val="auto"/>
                <w:kern w:val="0"/>
                <w:sz w:val="18"/>
                <w:szCs w:val="18"/>
              </w:rPr>
              <w:t>危险目标及其危险特性、对周围的影响</w:t>
            </w:r>
            <w:r>
              <w:rPr>
                <w:rFonts w:ascii="Times New Roman" w:hAnsi="Times New Roman" w:cs="Times New Roman"/>
                <w:color w:val="auto"/>
                <w:kern w:val="0"/>
                <w:sz w:val="18"/>
                <w:szCs w:val="18"/>
              </w:rPr>
              <w:t>c.</w:t>
            </w:r>
            <w:r>
              <w:rPr>
                <w:rFonts w:hint="eastAsia" w:ascii="Times New Roman" w:hAnsi="Times New Roman" w:cs="宋体"/>
                <w:color w:val="auto"/>
                <w:kern w:val="0"/>
                <w:sz w:val="18"/>
                <w:szCs w:val="18"/>
              </w:rPr>
              <w:t>危险目标周围可利用的安全、消防、个体防护的设备、器材及其分布</w:t>
            </w:r>
            <w:r>
              <w:rPr>
                <w:rFonts w:ascii="Times New Roman" w:hAnsi="Times New Roman" w:cs="Times New Roman"/>
                <w:color w:val="auto"/>
                <w:kern w:val="0"/>
                <w:sz w:val="18"/>
                <w:szCs w:val="18"/>
              </w:rPr>
              <w:t>d.</w:t>
            </w:r>
            <w:r>
              <w:rPr>
                <w:rFonts w:hint="eastAsia" w:ascii="Times New Roman" w:hAnsi="Times New Roman" w:cs="宋体"/>
                <w:color w:val="auto"/>
                <w:kern w:val="0"/>
                <w:sz w:val="18"/>
                <w:szCs w:val="18"/>
              </w:rPr>
              <w:t>应急救援组织机构、组成人员和职责划分</w:t>
            </w:r>
            <w:r>
              <w:rPr>
                <w:rFonts w:ascii="Times New Roman" w:hAnsi="Times New Roman" w:cs="Times New Roman"/>
                <w:color w:val="auto"/>
                <w:kern w:val="0"/>
                <w:sz w:val="18"/>
                <w:szCs w:val="18"/>
              </w:rPr>
              <w:t>e.</w:t>
            </w:r>
            <w:r>
              <w:rPr>
                <w:rFonts w:hint="eastAsia" w:ascii="Times New Roman" w:hAnsi="Times New Roman" w:cs="宋体"/>
                <w:color w:val="auto"/>
                <w:kern w:val="0"/>
                <w:sz w:val="18"/>
                <w:szCs w:val="18"/>
              </w:rPr>
              <w:t>报警、通讯联络方式</w:t>
            </w:r>
            <w:r>
              <w:rPr>
                <w:rFonts w:ascii="Times New Roman" w:hAnsi="Times New Roman" w:cs="Times New Roman"/>
                <w:color w:val="auto"/>
                <w:kern w:val="0"/>
                <w:sz w:val="18"/>
                <w:szCs w:val="18"/>
              </w:rPr>
              <w:t>f.</w:t>
            </w:r>
            <w:r>
              <w:rPr>
                <w:rFonts w:hint="eastAsia" w:ascii="Times New Roman" w:hAnsi="Times New Roman" w:cs="宋体"/>
                <w:color w:val="auto"/>
                <w:kern w:val="0"/>
                <w:sz w:val="18"/>
                <w:szCs w:val="18"/>
              </w:rPr>
              <w:t>事故发生后应采取的处理措施</w:t>
            </w:r>
            <w:r>
              <w:rPr>
                <w:rFonts w:ascii="Times New Roman" w:hAnsi="Times New Roman" w:cs="Times New Roman"/>
                <w:color w:val="auto"/>
                <w:kern w:val="0"/>
                <w:sz w:val="18"/>
                <w:szCs w:val="18"/>
              </w:rPr>
              <w:t>g.</w:t>
            </w:r>
            <w:r>
              <w:rPr>
                <w:rFonts w:hint="eastAsia" w:ascii="Times New Roman" w:hAnsi="Times New Roman" w:cs="宋体"/>
                <w:color w:val="auto"/>
                <w:kern w:val="0"/>
                <w:sz w:val="18"/>
                <w:szCs w:val="18"/>
              </w:rPr>
              <w:t>人员紧急疏散、撤离</w:t>
            </w:r>
            <w:r>
              <w:rPr>
                <w:rFonts w:ascii="Times New Roman" w:hAnsi="Times New Roman" w:cs="Times New Roman"/>
                <w:color w:val="auto"/>
                <w:kern w:val="0"/>
                <w:sz w:val="18"/>
                <w:szCs w:val="18"/>
              </w:rPr>
              <w:t>h.</w:t>
            </w:r>
            <w:r>
              <w:rPr>
                <w:rFonts w:hint="eastAsia" w:ascii="Times New Roman" w:hAnsi="Times New Roman" w:cs="宋体"/>
                <w:color w:val="auto"/>
                <w:kern w:val="0"/>
                <w:sz w:val="18"/>
                <w:szCs w:val="18"/>
              </w:rPr>
              <w:t>危险区的隔离</w:t>
            </w:r>
            <w:r>
              <w:rPr>
                <w:rFonts w:ascii="Times New Roman" w:hAnsi="Times New Roman" w:cs="Times New Roman"/>
                <w:color w:val="auto"/>
                <w:kern w:val="0"/>
                <w:sz w:val="18"/>
                <w:szCs w:val="18"/>
              </w:rPr>
              <w:t>i.</w:t>
            </w:r>
            <w:r>
              <w:rPr>
                <w:rFonts w:hint="eastAsia" w:ascii="Times New Roman" w:hAnsi="Times New Roman" w:cs="宋体"/>
                <w:color w:val="auto"/>
                <w:kern w:val="0"/>
                <w:sz w:val="18"/>
                <w:szCs w:val="18"/>
              </w:rPr>
              <w:t>检测、抢险、救援及控制措施</w:t>
            </w:r>
            <w:r>
              <w:rPr>
                <w:rFonts w:ascii="Times New Roman" w:hAnsi="Times New Roman" w:cs="Times New Roman"/>
                <w:color w:val="auto"/>
                <w:kern w:val="0"/>
                <w:sz w:val="18"/>
                <w:szCs w:val="18"/>
              </w:rPr>
              <w:t>j.</w:t>
            </w:r>
            <w:r>
              <w:rPr>
                <w:rFonts w:hint="eastAsia" w:ascii="Times New Roman" w:hAnsi="Times New Roman" w:cs="宋体"/>
                <w:color w:val="auto"/>
                <w:kern w:val="0"/>
                <w:sz w:val="18"/>
                <w:szCs w:val="18"/>
              </w:rPr>
              <w:t>受伤人员现场救护、救治与医院救治</w:t>
            </w:r>
            <w:r>
              <w:rPr>
                <w:rFonts w:ascii="Times New Roman" w:hAnsi="Times New Roman" w:cs="Times New Roman"/>
                <w:color w:val="auto"/>
                <w:kern w:val="0"/>
                <w:sz w:val="18"/>
                <w:szCs w:val="18"/>
              </w:rPr>
              <w:t>k.</w:t>
            </w:r>
            <w:r>
              <w:rPr>
                <w:rFonts w:hint="eastAsia" w:ascii="Times New Roman" w:hAnsi="Times New Roman" w:cs="宋体"/>
                <w:color w:val="auto"/>
                <w:kern w:val="0"/>
                <w:sz w:val="18"/>
                <w:szCs w:val="18"/>
              </w:rPr>
              <w:t>现场保护与现场洗消</w:t>
            </w:r>
            <w:r>
              <w:rPr>
                <w:rFonts w:ascii="Times New Roman" w:hAnsi="Times New Roman" w:cs="Times New Roman"/>
                <w:color w:val="auto"/>
                <w:kern w:val="0"/>
                <w:sz w:val="18"/>
                <w:szCs w:val="18"/>
              </w:rPr>
              <w:t>l.</w:t>
            </w:r>
            <w:r>
              <w:rPr>
                <w:rFonts w:hint="eastAsia" w:ascii="Times New Roman" w:hAnsi="Times New Roman" w:cs="宋体"/>
                <w:color w:val="auto"/>
                <w:kern w:val="0"/>
                <w:sz w:val="18"/>
                <w:szCs w:val="18"/>
              </w:rPr>
              <w:t>应急救援保障</w:t>
            </w:r>
            <w:r>
              <w:rPr>
                <w:rFonts w:ascii="Times New Roman" w:hAnsi="Times New Roman" w:cs="Times New Roman"/>
                <w:color w:val="auto"/>
                <w:kern w:val="0"/>
                <w:sz w:val="18"/>
                <w:szCs w:val="18"/>
              </w:rPr>
              <w:t>m.</w:t>
            </w:r>
            <w:r>
              <w:rPr>
                <w:rFonts w:hint="eastAsia" w:ascii="Times New Roman" w:hAnsi="Times New Roman" w:cs="宋体"/>
                <w:color w:val="auto"/>
                <w:kern w:val="0"/>
                <w:sz w:val="18"/>
                <w:szCs w:val="18"/>
              </w:rPr>
              <w:t>预案分级响应条件</w:t>
            </w:r>
            <w:r>
              <w:rPr>
                <w:rFonts w:ascii="Times New Roman" w:hAnsi="Times New Roman" w:cs="Times New Roman"/>
                <w:color w:val="auto"/>
                <w:kern w:val="0"/>
                <w:sz w:val="18"/>
                <w:szCs w:val="18"/>
              </w:rPr>
              <w:t>n.</w:t>
            </w:r>
            <w:r>
              <w:rPr>
                <w:rFonts w:hint="eastAsia" w:ascii="Times New Roman" w:hAnsi="Times New Roman" w:cs="宋体"/>
                <w:color w:val="auto"/>
                <w:kern w:val="0"/>
                <w:sz w:val="18"/>
                <w:szCs w:val="18"/>
              </w:rPr>
              <w:t>事故应急救援终止程序</w:t>
            </w:r>
            <w:r>
              <w:rPr>
                <w:rFonts w:ascii="Times New Roman" w:hAnsi="Times New Roman" w:cs="Times New Roman"/>
                <w:color w:val="auto"/>
                <w:kern w:val="0"/>
                <w:sz w:val="18"/>
                <w:szCs w:val="18"/>
              </w:rPr>
              <w:t>o.</w:t>
            </w:r>
            <w:r>
              <w:rPr>
                <w:rFonts w:hint="eastAsia" w:ascii="Times New Roman" w:hAnsi="Times New Roman" w:cs="宋体"/>
                <w:color w:val="auto"/>
                <w:kern w:val="0"/>
                <w:sz w:val="18"/>
                <w:szCs w:val="18"/>
              </w:rPr>
              <w:t>应急培训计划</w:t>
            </w:r>
            <w:r>
              <w:rPr>
                <w:rFonts w:ascii="Times New Roman" w:hAnsi="Times New Roman" w:cs="Times New Roman"/>
                <w:color w:val="auto"/>
                <w:kern w:val="0"/>
                <w:sz w:val="18"/>
                <w:szCs w:val="18"/>
              </w:rPr>
              <w:t>p.</w:t>
            </w:r>
            <w:r>
              <w:rPr>
                <w:rFonts w:hint="eastAsia" w:ascii="Times New Roman" w:hAnsi="Times New Roman" w:cs="宋体"/>
                <w:color w:val="auto"/>
                <w:kern w:val="0"/>
                <w:sz w:val="18"/>
                <w:szCs w:val="18"/>
              </w:rPr>
              <w:t>演练计划</w:t>
            </w:r>
            <w:r>
              <w:rPr>
                <w:rFonts w:ascii="Times New Roman" w:hAnsi="Times New Roman" w:cs="Times New Roman"/>
                <w:color w:val="auto"/>
                <w:kern w:val="0"/>
                <w:sz w:val="18"/>
                <w:szCs w:val="18"/>
              </w:rPr>
              <w:t>q.</w:t>
            </w:r>
            <w:r>
              <w:rPr>
                <w:rFonts w:hint="eastAsia" w:ascii="Times New Roman" w:hAnsi="Times New Roman" w:cs="宋体"/>
                <w:color w:val="auto"/>
                <w:kern w:val="0"/>
                <w:sz w:val="18"/>
                <w:szCs w:val="18"/>
              </w:rPr>
              <w:t>附件</w:t>
            </w:r>
          </w:p>
        </w:tc>
        <w:tc>
          <w:tcPr>
            <w:tcW w:w="1076"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已制定应急救援预案</w:t>
            </w:r>
          </w:p>
        </w:tc>
        <w:tc>
          <w:tcPr>
            <w:tcW w:w="814" w:type="dxa"/>
            <w:vAlign w:val="center"/>
          </w:tcPr>
          <w:p>
            <w:pPr>
              <w:keepNext w:val="0"/>
              <w:keepLines w:val="0"/>
              <w:pageBreakBefore w:val="0"/>
              <w:widowControl w:val="0"/>
              <w:kinsoku/>
              <w:wordWrap/>
              <w:overflowPunct/>
              <w:topLinePunct w:val="0"/>
              <w:bidi w:val="0"/>
              <w:adjustRightInd/>
              <w:snapToGrid/>
              <w:spacing w:line="270" w:lineRule="exact"/>
              <w:jc w:val="center"/>
              <w:textAlignment w:val="auto"/>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bl>
    <w:p>
      <w:pPr>
        <w:keepNext/>
        <w:keepLines/>
        <w:spacing w:line="600" w:lineRule="exact"/>
        <w:outlineLvl w:val="1"/>
        <w:rPr>
          <w:rFonts w:ascii="Times New Roman" w:hAnsi="Times New Roman" w:cs="Times New Roman"/>
          <w:b/>
          <w:bCs/>
          <w:color w:val="auto"/>
          <w:sz w:val="28"/>
          <w:szCs w:val="28"/>
        </w:rPr>
      </w:pPr>
      <w:bookmarkStart w:id="163" w:name="_Toc14222"/>
      <w:r>
        <w:rPr>
          <w:rFonts w:ascii="Times New Roman" w:hAnsi="Times New Roman" w:cs="Times New Roman"/>
          <w:b/>
          <w:bCs/>
          <w:color w:val="auto"/>
          <w:sz w:val="28"/>
          <w:szCs w:val="28"/>
        </w:rPr>
        <w:t xml:space="preserve">6.9 </w:t>
      </w:r>
      <w:r>
        <w:rPr>
          <w:rFonts w:hint="eastAsia" w:ascii="Times New Roman" w:hAnsi="Times New Roman" w:cs="宋体"/>
          <w:b/>
          <w:bCs/>
          <w:color w:val="auto"/>
          <w:sz w:val="28"/>
          <w:szCs w:val="28"/>
        </w:rPr>
        <w:t>安全管理组织</w:t>
      </w:r>
      <w:bookmarkEnd w:id="161"/>
      <w:bookmarkEnd w:id="162"/>
      <w:bookmarkEnd w:id="163"/>
    </w:p>
    <w:tbl>
      <w:tblPr>
        <w:tblStyle w:val="20"/>
        <w:tblW w:w="9140" w:type="dxa"/>
        <w:jc w:val="center"/>
        <w:tblLayout w:type="fixed"/>
        <w:tblCellMar>
          <w:top w:w="0" w:type="dxa"/>
          <w:left w:w="0" w:type="dxa"/>
          <w:bottom w:w="0" w:type="dxa"/>
          <w:right w:w="0" w:type="dxa"/>
        </w:tblCellMar>
      </w:tblPr>
      <w:tblGrid>
        <w:gridCol w:w="675"/>
        <w:gridCol w:w="4963"/>
        <w:gridCol w:w="2690"/>
        <w:gridCol w:w="812"/>
      </w:tblGrid>
      <w:tr>
        <w:tblPrEx>
          <w:tblCellMar>
            <w:top w:w="0" w:type="dxa"/>
            <w:left w:w="0" w:type="dxa"/>
            <w:bottom w:w="0" w:type="dxa"/>
            <w:right w:w="0" w:type="dxa"/>
          </w:tblCellMar>
        </w:tblPrEx>
        <w:trPr>
          <w:cantSplit/>
          <w:trHeight w:val="396" w:hRule="exact"/>
          <w:jc w:val="center"/>
        </w:trPr>
        <w:tc>
          <w:tcPr>
            <w:tcW w:w="675"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4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4963" w:type="dxa"/>
            <w:tcBorders>
              <w:top w:val="single" w:color="auto" w:sz="8" w:space="0"/>
              <w:left w:val="single" w:color="auto" w:sz="8" w:space="0"/>
              <w:bottom w:val="single" w:color="auto" w:sz="8" w:space="0"/>
              <w:right w:val="single" w:color="auto" w:sz="4" w:space="0"/>
            </w:tcBorders>
            <w:vAlign w:val="center"/>
          </w:tcPr>
          <w:p>
            <w:pPr>
              <w:autoSpaceDE w:val="0"/>
              <w:autoSpaceDN w:val="0"/>
              <w:spacing w:line="24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2690" w:type="dxa"/>
            <w:tcBorders>
              <w:top w:val="single" w:color="auto" w:sz="2" w:space="0"/>
              <w:bottom w:val="single" w:color="auto" w:sz="2" w:space="0"/>
              <w:right w:val="single" w:color="auto" w:sz="4" w:space="0"/>
            </w:tcBorders>
            <w:vAlign w:val="center"/>
          </w:tcPr>
          <w:p>
            <w:pPr>
              <w:spacing w:line="24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812" w:type="dxa"/>
            <w:tcBorders>
              <w:top w:val="single" w:color="auto" w:sz="2" w:space="0"/>
              <w:left w:val="single" w:color="auto" w:sz="4" w:space="0"/>
              <w:bottom w:val="single" w:color="auto" w:sz="2" w:space="0"/>
              <w:right w:val="single" w:color="auto" w:sz="4" w:space="0"/>
            </w:tcBorders>
            <w:vAlign w:val="center"/>
          </w:tcPr>
          <w:p>
            <w:pPr>
              <w:spacing w:line="24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CellMar>
            <w:top w:w="0" w:type="dxa"/>
            <w:left w:w="0" w:type="dxa"/>
            <w:bottom w:w="0" w:type="dxa"/>
            <w:right w:w="0" w:type="dxa"/>
          </w:tblCellMar>
        </w:tblPrEx>
        <w:trPr>
          <w:cantSplit/>
          <w:trHeight w:val="471" w:hRule="exact"/>
          <w:jc w:val="center"/>
        </w:trPr>
        <w:tc>
          <w:tcPr>
            <w:tcW w:w="675"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w:t>
            </w:r>
          </w:p>
        </w:tc>
        <w:tc>
          <w:tcPr>
            <w:tcW w:w="4963" w:type="dxa"/>
            <w:tcBorders>
              <w:top w:val="single" w:color="auto" w:sz="8" w:space="0"/>
              <w:left w:val="single" w:color="auto" w:sz="8" w:space="0"/>
              <w:bottom w:val="single" w:color="auto" w:sz="8" w:space="0"/>
              <w:right w:val="single" w:color="auto" w:sz="4" w:space="0"/>
            </w:tcBorders>
            <w:vAlign w:val="center"/>
          </w:tcPr>
          <w:p>
            <w:pPr>
              <w:autoSpaceDE w:val="0"/>
              <w:autoSpaceDN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有安全管理领导小组，有专职安全人员。</w:t>
            </w:r>
          </w:p>
        </w:tc>
        <w:tc>
          <w:tcPr>
            <w:tcW w:w="2690" w:type="dxa"/>
            <w:tcBorders>
              <w:top w:val="single" w:color="auto" w:sz="2" w:space="0"/>
              <w:bottom w:val="single" w:color="auto" w:sz="2" w:space="0"/>
              <w:right w:val="single" w:color="auto" w:sz="4" w:space="0"/>
            </w:tcBorders>
            <w:vAlign w:val="center"/>
          </w:tcPr>
          <w:p>
            <w:pPr>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有</w:t>
            </w:r>
          </w:p>
        </w:tc>
        <w:tc>
          <w:tcPr>
            <w:tcW w:w="812" w:type="dxa"/>
            <w:tcBorders>
              <w:top w:val="single" w:color="auto" w:sz="2" w:space="0"/>
              <w:left w:val="single" w:color="auto" w:sz="4" w:space="0"/>
              <w:bottom w:val="single" w:color="auto" w:sz="2" w:space="0"/>
              <w:right w:val="single" w:color="auto" w:sz="4" w:space="0"/>
            </w:tcBorders>
            <w:vAlign w:val="center"/>
          </w:tcPr>
          <w:p>
            <w:pPr>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cantSplit/>
          <w:trHeight w:val="266" w:hRule="atLeast"/>
          <w:jc w:val="center"/>
        </w:trPr>
        <w:tc>
          <w:tcPr>
            <w:tcW w:w="9140" w:type="dxa"/>
            <w:gridSpan w:val="4"/>
            <w:tcBorders>
              <w:top w:val="single" w:color="auto" w:sz="8" w:space="0"/>
              <w:left w:val="single" w:color="auto" w:sz="4" w:space="0"/>
              <w:bottom w:val="single" w:color="auto" w:sz="8" w:space="0"/>
              <w:right w:val="single" w:color="auto" w:sz="4" w:space="0"/>
            </w:tcBorders>
            <w:vAlign w:val="center"/>
          </w:tcPr>
          <w:p>
            <w:pPr>
              <w:spacing w:line="240" w:lineRule="exac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2</w:t>
            </w:r>
            <w:r>
              <w:rPr>
                <w:rFonts w:hint="eastAsia" w:ascii="Times New Roman" w:hAnsi="Times New Roman" w:cs="宋体"/>
                <w:b/>
                <w:bCs/>
                <w:color w:val="auto"/>
                <w:kern w:val="0"/>
                <w:sz w:val="18"/>
                <w:szCs w:val="18"/>
              </w:rPr>
              <w:t>、从业人员状况</w:t>
            </w:r>
          </w:p>
        </w:tc>
      </w:tr>
      <w:tr>
        <w:tblPrEx>
          <w:tblCellMar>
            <w:top w:w="0" w:type="dxa"/>
            <w:left w:w="0" w:type="dxa"/>
            <w:bottom w:w="0" w:type="dxa"/>
            <w:right w:w="0" w:type="dxa"/>
          </w:tblCellMar>
        </w:tblPrEx>
        <w:trPr>
          <w:cantSplit/>
          <w:trHeight w:val="387" w:hRule="exact"/>
          <w:jc w:val="center"/>
        </w:trPr>
        <w:tc>
          <w:tcPr>
            <w:tcW w:w="675"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4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序号</w:t>
            </w:r>
          </w:p>
        </w:tc>
        <w:tc>
          <w:tcPr>
            <w:tcW w:w="4963" w:type="dxa"/>
            <w:tcBorders>
              <w:top w:val="single" w:color="auto" w:sz="8" w:space="0"/>
              <w:left w:val="single" w:color="auto" w:sz="8" w:space="0"/>
              <w:bottom w:val="single" w:color="auto" w:sz="8" w:space="0"/>
              <w:right w:val="single" w:color="auto" w:sz="4" w:space="0"/>
            </w:tcBorders>
            <w:vAlign w:val="center"/>
          </w:tcPr>
          <w:p>
            <w:pPr>
              <w:autoSpaceDE w:val="0"/>
              <w:autoSpaceDN w:val="0"/>
              <w:spacing w:line="24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检查内容</w:t>
            </w:r>
          </w:p>
        </w:tc>
        <w:tc>
          <w:tcPr>
            <w:tcW w:w="2690" w:type="dxa"/>
            <w:tcBorders>
              <w:top w:val="single" w:color="auto" w:sz="2" w:space="0"/>
              <w:bottom w:val="single" w:color="auto" w:sz="2" w:space="0"/>
              <w:right w:val="single" w:color="auto" w:sz="4" w:space="0"/>
            </w:tcBorders>
            <w:vAlign w:val="center"/>
          </w:tcPr>
          <w:p>
            <w:pPr>
              <w:spacing w:line="24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检查记录</w:t>
            </w:r>
          </w:p>
        </w:tc>
        <w:tc>
          <w:tcPr>
            <w:tcW w:w="812" w:type="dxa"/>
            <w:tcBorders>
              <w:top w:val="single" w:color="auto" w:sz="2" w:space="0"/>
              <w:left w:val="single" w:color="auto" w:sz="4" w:space="0"/>
              <w:bottom w:val="single" w:color="auto" w:sz="2" w:space="0"/>
              <w:right w:val="single" w:color="auto" w:sz="4" w:space="0"/>
            </w:tcBorders>
            <w:vAlign w:val="center"/>
          </w:tcPr>
          <w:p>
            <w:pPr>
              <w:spacing w:line="240" w:lineRule="exac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结论</w:t>
            </w:r>
          </w:p>
        </w:tc>
      </w:tr>
      <w:tr>
        <w:tblPrEx>
          <w:tblCellMar>
            <w:top w:w="0" w:type="dxa"/>
            <w:left w:w="0" w:type="dxa"/>
            <w:bottom w:w="0" w:type="dxa"/>
            <w:right w:w="0" w:type="dxa"/>
          </w:tblCellMar>
        </w:tblPrEx>
        <w:trPr>
          <w:cantSplit/>
          <w:trHeight w:val="266" w:hRule="atLeast"/>
          <w:jc w:val="center"/>
        </w:trPr>
        <w:tc>
          <w:tcPr>
            <w:tcW w:w="675" w:type="dxa"/>
            <w:tcBorders>
              <w:top w:val="single" w:color="auto" w:sz="8" w:space="0"/>
              <w:left w:val="single" w:color="auto" w:sz="4" w:space="0"/>
              <w:bottom w:val="single" w:color="auto" w:sz="8" w:space="0"/>
              <w:right w:val="single" w:color="auto" w:sz="8" w:space="0"/>
            </w:tcBorders>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w:t>
            </w:r>
          </w:p>
        </w:tc>
        <w:tc>
          <w:tcPr>
            <w:tcW w:w="4963" w:type="dxa"/>
            <w:tcBorders>
              <w:top w:val="single" w:color="auto" w:sz="8" w:space="0"/>
              <w:left w:val="single" w:color="auto" w:sz="8" w:space="0"/>
              <w:bottom w:val="single" w:color="auto" w:sz="8" w:space="0"/>
              <w:right w:val="single" w:color="auto" w:sz="4" w:space="0"/>
            </w:tcBorders>
            <w:vAlign w:val="center"/>
          </w:tcPr>
          <w:p>
            <w:pPr>
              <w:autoSpaceDE w:val="0"/>
              <w:autoSpaceDN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单位主要负责人经安全生产监督管理部门和消防部门培训合格，取得上岗资格。</w:t>
            </w:r>
          </w:p>
        </w:tc>
        <w:tc>
          <w:tcPr>
            <w:tcW w:w="2690" w:type="dxa"/>
            <w:tcBorders>
              <w:top w:val="single" w:color="auto" w:sz="2" w:space="0"/>
              <w:bottom w:val="single" w:color="auto" w:sz="2" w:space="0"/>
              <w:right w:val="single" w:color="auto" w:sz="4" w:space="0"/>
            </w:tcBorders>
            <w:vAlign w:val="center"/>
          </w:tcPr>
          <w:p>
            <w:pPr>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已参加培训，待取证，有证明文件</w:t>
            </w:r>
          </w:p>
        </w:tc>
        <w:tc>
          <w:tcPr>
            <w:tcW w:w="812" w:type="dxa"/>
            <w:tcBorders>
              <w:top w:val="single" w:color="auto" w:sz="2" w:space="0"/>
              <w:left w:val="single" w:color="auto" w:sz="4" w:space="0"/>
              <w:bottom w:val="single" w:color="auto" w:sz="2" w:space="0"/>
              <w:right w:val="single" w:color="auto" w:sz="4" w:space="0"/>
            </w:tcBorders>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kern w:val="0"/>
                <w:sz w:val="18"/>
                <w:szCs w:val="18"/>
              </w:rPr>
              <w:t>合格</w:t>
            </w:r>
          </w:p>
        </w:tc>
      </w:tr>
      <w:tr>
        <w:tblPrEx>
          <w:tblCellMar>
            <w:top w:w="0" w:type="dxa"/>
            <w:left w:w="0" w:type="dxa"/>
            <w:bottom w:w="0" w:type="dxa"/>
            <w:right w:w="0" w:type="dxa"/>
          </w:tblCellMar>
        </w:tblPrEx>
        <w:trPr>
          <w:cantSplit/>
          <w:trHeight w:val="266" w:hRule="atLeast"/>
          <w:jc w:val="center"/>
        </w:trPr>
        <w:tc>
          <w:tcPr>
            <w:tcW w:w="675" w:type="dxa"/>
            <w:tcBorders>
              <w:top w:val="single" w:color="auto" w:sz="8" w:space="0"/>
              <w:left w:val="single" w:color="auto" w:sz="4" w:space="0"/>
              <w:bottom w:val="single" w:color="auto" w:sz="4" w:space="0"/>
              <w:right w:val="single" w:color="auto" w:sz="8" w:space="0"/>
            </w:tcBorders>
            <w:vAlign w:val="center"/>
          </w:tcPr>
          <w:p>
            <w:pPr>
              <w:autoSpaceDE w:val="0"/>
              <w:autoSpaceDN w:val="0"/>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2</w:t>
            </w:r>
          </w:p>
        </w:tc>
        <w:tc>
          <w:tcPr>
            <w:tcW w:w="4963" w:type="dxa"/>
            <w:tcBorders>
              <w:top w:val="single" w:color="auto" w:sz="8" w:space="0"/>
              <w:left w:val="single" w:color="auto" w:sz="8" w:space="0"/>
              <w:bottom w:val="single" w:color="auto" w:sz="4" w:space="0"/>
              <w:right w:val="single" w:color="auto" w:sz="4" w:space="0"/>
            </w:tcBorders>
            <w:vAlign w:val="center"/>
          </w:tcPr>
          <w:p>
            <w:pPr>
              <w:autoSpaceDE w:val="0"/>
              <w:autoSpaceDN w:val="0"/>
              <w:spacing w:line="240" w:lineRule="exac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从业人员经本单位专业培训合格，掌握相应的专业技术知识，具备相应的安全生产知识和能力。有培训记录。</w:t>
            </w:r>
          </w:p>
        </w:tc>
        <w:tc>
          <w:tcPr>
            <w:tcW w:w="2690" w:type="dxa"/>
            <w:tcBorders>
              <w:top w:val="single" w:color="auto" w:sz="2" w:space="0"/>
              <w:bottom w:val="single" w:color="auto" w:sz="4" w:space="0"/>
              <w:right w:val="single" w:color="auto" w:sz="4" w:space="0"/>
            </w:tcBorders>
            <w:vAlign w:val="center"/>
          </w:tcPr>
          <w:p>
            <w:pPr>
              <w:spacing w:line="240" w:lineRule="exact"/>
              <w:jc w:val="center"/>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正式运营前对员工进行培训后合格</w:t>
            </w:r>
          </w:p>
        </w:tc>
        <w:tc>
          <w:tcPr>
            <w:tcW w:w="812" w:type="dxa"/>
            <w:tcBorders>
              <w:top w:val="single" w:color="auto" w:sz="2"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cs="Times New Roman"/>
                <w:color w:val="auto"/>
                <w:sz w:val="18"/>
                <w:szCs w:val="18"/>
              </w:rPr>
            </w:pPr>
            <w:r>
              <w:rPr>
                <w:rFonts w:hint="eastAsia" w:ascii="Times New Roman" w:hAnsi="Times New Roman" w:cs="宋体"/>
                <w:color w:val="auto"/>
                <w:sz w:val="18"/>
                <w:szCs w:val="18"/>
              </w:rPr>
              <w:t>合格</w:t>
            </w:r>
          </w:p>
        </w:tc>
      </w:tr>
    </w:tbl>
    <w:p>
      <w:pPr>
        <w:keepNext/>
        <w:keepLines/>
        <w:spacing w:line="600" w:lineRule="exact"/>
        <w:outlineLvl w:val="1"/>
        <w:rPr>
          <w:rFonts w:ascii="Times New Roman" w:hAnsi="Times New Roman" w:cs="Times New Roman"/>
          <w:b/>
          <w:bCs/>
          <w:color w:val="auto"/>
          <w:sz w:val="28"/>
          <w:szCs w:val="28"/>
        </w:rPr>
      </w:pPr>
      <w:bookmarkStart w:id="164" w:name="_Toc17126"/>
      <w:bookmarkStart w:id="165" w:name="_Toc15085"/>
      <w:r>
        <w:rPr>
          <w:rFonts w:ascii="Times New Roman" w:hAnsi="Times New Roman" w:cs="Times New Roman"/>
          <w:b/>
          <w:bCs/>
          <w:color w:val="auto"/>
          <w:sz w:val="28"/>
          <w:szCs w:val="28"/>
        </w:rPr>
        <w:t xml:space="preserve">6.10 </w:t>
      </w:r>
      <w:r>
        <w:rPr>
          <w:rFonts w:hint="eastAsia" w:ascii="宋体" w:hAnsi="宋体" w:cs="宋体"/>
          <w:b/>
          <w:bCs/>
          <w:color w:val="auto"/>
          <w:sz w:val="28"/>
          <w:szCs w:val="28"/>
        </w:rPr>
        <w:t>安全设施设计的采纳情况</w:t>
      </w:r>
      <w:bookmarkEnd w:id="164"/>
    </w:p>
    <w:p>
      <w:pPr>
        <w:widowControl/>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w:t>
      </w:r>
      <w:r>
        <w:rPr>
          <w:rFonts w:hint="eastAsia" w:ascii="Times New Roman" w:hAnsi="Times New Roman" w:cs="宋体"/>
          <w:color w:val="auto"/>
          <w:sz w:val="28"/>
          <w:szCs w:val="28"/>
          <w:lang w:eastAsia="zh-CN"/>
        </w:rPr>
        <w:t>江西景德镇石油分公司鱼丽加油站新建项目</w:t>
      </w:r>
      <w:r>
        <w:rPr>
          <w:rFonts w:hint="eastAsia" w:ascii="Times New Roman" w:hAnsi="Times New Roman" w:cs="宋体"/>
          <w:color w:val="auto"/>
          <w:sz w:val="28"/>
          <w:szCs w:val="28"/>
        </w:rPr>
        <w:t>安全设施设计》，项目安全设施设计采纳情况见下表。</w:t>
      </w:r>
    </w:p>
    <w:p>
      <w:pPr>
        <w:jc w:val="both"/>
        <w:rPr>
          <w:rFonts w:hint="eastAsia" w:ascii="宋体" w:hAnsi="宋体" w:cs="宋体"/>
          <w:b/>
          <w:bCs/>
          <w:color w:val="auto"/>
        </w:rPr>
      </w:pPr>
    </w:p>
    <w:p>
      <w:pPr>
        <w:jc w:val="center"/>
        <w:rPr>
          <w:rFonts w:ascii="Times New Roman" w:hAnsi="Times New Roman" w:cs="Times New Roman"/>
          <w:b/>
          <w:bCs/>
          <w:color w:val="auto"/>
        </w:rPr>
      </w:pPr>
      <w:r>
        <w:rPr>
          <w:rFonts w:hint="eastAsia" w:ascii="宋体" w:hAnsi="宋体" w:cs="宋体"/>
          <w:b/>
          <w:bCs/>
          <w:color w:val="auto"/>
        </w:rPr>
        <w:t>表</w:t>
      </w:r>
      <w:r>
        <w:rPr>
          <w:rFonts w:ascii="Times New Roman" w:hAnsi="Times New Roman" w:cs="Times New Roman"/>
          <w:b/>
          <w:bCs/>
          <w:color w:val="auto"/>
        </w:rPr>
        <w:t xml:space="preserve">6.10 </w:t>
      </w:r>
      <w:r>
        <w:rPr>
          <w:rFonts w:hint="eastAsia" w:ascii="宋体" w:hAnsi="宋体" w:cs="宋体"/>
          <w:b/>
          <w:bCs/>
          <w:color w:val="auto"/>
        </w:rPr>
        <w:t>安全设施设计主要安全设施采纳情况一览表</w:t>
      </w:r>
    </w:p>
    <w:tbl>
      <w:tblPr>
        <w:tblStyle w:val="20"/>
        <w:tblW w:w="54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6637"/>
        <w:gridCol w:w="1914"/>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b/>
                <w:bCs/>
                <w:color w:val="auto"/>
                <w:sz w:val="18"/>
                <w:szCs w:val="18"/>
              </w:rPr>
              <w:t>序号</w:t>
            </w:r>
          </w:p>
        </w:tc>
        <w:tc>
          <w:tcPr>
            <w:tcW w:w="663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b/>
                <w:bCs/>
                <w:color w:val="auto"/>
                <w:sz w:val="18"/>
                <w:szCs w:val="18"/>
              </w:rPr>
              <w:t>安全设施设计中提出的安全对策措施</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b/>
                <w:bCs/>
                <w:color w:val="auto"/>
                <w:sz w:val="18"/>
                <w:szCs w:val="18"/>
              </w:rPr>
              <w:t>现场情况</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cs="宋体"/>
                <w:b/>
                <w:bCs/>
                <w:color w:val="auto"/>
                <w:sz w:val="18"/>
                <w:szCs w:val="18"/>
              </w:rPr>
              <w:t>采纳情况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b/>
                <w:bCs/>
                <w:color w:val="auto"/>
                <w:sz w:val="18"/>
                <w:szCs w:val="18"/>
              </w:rPr>
              <w:t xml:space="preserve">4.1 </w:t>
            </w:r>
            <w:r>
              <w:rPr>
                <w:rFonts w:hint="eastAsia" w:ascii="宋体" w:hAnsi="宋体" w:cs="宋体"/>
                <w:b/>
                <w:bCs/>
                <w:color w:val="auto"/>
                <w:sz w:val="18"/>
                <w:szCs w:val="18"/>
              </w:rPr>
              <w:t>工艺系统的安全设施设计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 xml:space="preserve">4.1.1 </w:t>
            </w:r>
            <w:r>
              <w:rPr>
                <w:rFonts w:hint="eastAsia" w:ascii="宋体" w:hAnsi="宋体" w:cs="宋体"/>
                <w:b/>
                <w:bCs/>
                <w:color w:val="auto"/>
                <w:sz w:val="18"/>
                <w:szCs w:val="18"/>
              </w:rPr>
              <w:t>工艺过程采取的防泄漏、防火、防爆、防尘、防毒、防腐蚀等主要</w:t>
            </w:r>
            <w:r>
              <w:rPr>
                <w:rFonts w:ascii="宋体" w:hAnsi="宋体" w:cs="宋体"/>
                <w:b/>
                <w:bCs/>
                <w:color w:val="auto"/>
                <w:sz w:val="18"/>
                <w:szCs w:val="18"/>
              </w:rPr>
              <w:t xml:space="preserve"> </w:t>
            </w:r>
            <w:r>
              <w:rPr>
                <w:rFonts w:hint="eastAsia" w:ascii="宋体" w:hAnsi="宋体" w:cs="宋体"/>
                <w:b/>
                <w:bCs/>
                <w:color w:val="auto"/>
                <w:sz w:val="18"/>
                <w:szCs w:val="18"/>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1</w:t>
            </w:r>
            <w:r>
              <w:rPr>
                <w:rFonts w:hint="eastAsia" w:ascii="宋体" w:hAnsi="宋体" w:cs="宋体"/>
                <w:color w:val="auto"/>
                <w:sz w:val="18"/>
                <w:szCs w:val="18"/>
              </w:rPr>
              <w:t>）本站所选用的汽、柴油储罐等设备为符合国家标准最新版本的合格产品。新建承重罐区，储罐采用内钢外玻璃纤维增强塑料（SF）双层罐，并设置渗漏检测仪，能够发出声光报警，及时发现油品泄漏情况，有利于储罐的安全运行和环境保护，延长储罐使用寿命；埋地油罐设有防浮抱带,防止油罐上浮。</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hint="eastAsia" w:eastAsia="宋体" w:cs="Times New Roman"/>
                <w:color w:val="auto"/>
                <w:sz w:val="18"/>
                <w:szCs w:val="18"/>
                <w:lang w:eastAsia="zh-CN"/>
              </w:rPr>
            </w:pPr>
            <w:r>
              <w:rPr>
                <w:rFonts w:hint="eastAsia" w:cs="宋体"/>
                <w:color w:val="auto"/>
                <w:sz w:val="18"/>
                <w:szCs w:val="18"/>
              </w:rPr>
              <w:t>采用SF双层油罐</w:t>
            </w:r>
            <w:r>
              <w:rPr>
                <w:rFonts w:hint="eastAsia" w:cs="宋体"/>
                <w:color w:val="auto"/>
                <w:sz w:val="18"/>
                <w:szCs w:val="18"/>
                <w:lang w:eastAsia="zh-CN"/>
              </w:rPr>
              <w:t>，并设有测漏仪，埋地油罐设有防浮抱带</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2</w:t>
            </w:r>
            <w:r>
              <w:rPr>
                <w:rFonts w:hint="eastAsia" w:ascii="宋体" w:hAnsi="宋体" w:cs="宋体"/>
                <w:color w:val="auto"/>
                <w:sz w:val="18"/>
                <w:szCs w:val="18"/>
              </w:rPr>
              <w:t>）双层管道系统的最低点设置检漏点。双层管道坡向检漏点的坡度，不小于5‰，并保证内层管和外层管任何部位出现渗漏均能在检漏点处发现。渗漏检测采用在线监测系统。</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双层管道系统的最低点设置检漏点。渗漏检测采用在线监测系统。</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3</w:t>
            </w:r>
            <w:r>
              <w:rPr>
                <w:rFonts w:hint="eastAsia" w:ascii="宋体" w:hAnsi="宋体" w:cs="宋体"/>
                <w:color w:val="auto"/>
                <w:sz w:val="18"/>
                <w:szCs w:val="18"/>
              </w:rPr>
              <w:t>）本项目加油软管设有拉断阀，可预防车辆加完油后，忘记将加油枪从油箱口移开就开车，而导致加油软管被拉断或加油机被拉倒，出现泄漏事故。依据现行国家标准《燃油加油站防爆安全技术 第2部分：加油机用安全拉断阀结构和性能的安全要求》GB 22380.2—2010的规定，安全拉断阀的分离拉力应为800N～1500N。</w:t>
            </w:r>
            <w:r>
              <w:rPr>
                <w:rFonts w:ascii="宋体" w:hAnsi="宋体" w:cs="宋体"/>
                <w:color w:val="auto"/>
                <w:sz w:val="18"/>
                <w:szCs w:val="18"/>
              </w:rPr>
              <w:t xml:space="preserve"> </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加油软管设有拉断阀</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4</w:t>
            </w:r>
            <w:r>
              <w:rPr>
                <w:rFonts w:hint="eastAsia" w:ascii="宋体" w:hAnsi="宋体" w:cs="宋体"/>
                <w:color w:val="auto"/>
                <w:sz w:val="18"/>
                <w:szCs w:val="18"/>
              </w:rPr>
              <w:t>）本项目在加油机底部供油立管设有剪切阀，此阀作用有二：一是加油机被意外撞击时，剪切阀的剪切环处会首先发生断裂，阀芯自动关闭，防止液体连续泄漏而导致发生火灾事故或污染环境；二是加油机一旦遇到着火事故时，剪切阀附近达到一定温度时，阀芯也会自动关闭，切断油路，避免引起严重的火灾事故。剪切阀采用《燃油加油站防爆安全技术第3部分：剪切阀结构和性能的安全要求》GB 22380.3-2019中结构类型2型，其他按规范要求。</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在加油机底部供油立管设有剪切阀</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hint="eastAsia" w:ascii="宋体" w:hAnsi="宋体" w:cs="宋体"/>
                <w:color w:val="auto"/>
                <w:sz w:val="18"/>
                <w:szCs w:val="18"/>
              </w:rPr>
            </w:pPr>
            <w:r>
              <w:rPr>
                <w:rFonts w:hint="eastAsia" w:cs="宋体"/>
                <w:color w:val="auto"/>
                <w:sz w:val="18"/>
                <w:szCs w:val="18"/>
              </w:rPr>
              <w:t>（</w:t>
            </w:r>
            <w:r>
              <w:rPr>
                <w:color w:val="auto"/>
                <w:sz w:val="18"/>
                <w:szCs w:val="18"/>
              </w:rPr>
              <w:t>5</w:t>
            </w:r>
            <w:r>
              <w:rPr>
                <w:rFonts w:hint="eastAsia" w:ascii="宋体" w:hAnsi="宋体" w:cs="宋体"/>
                <w:color w:val="auto"/>
                <w:sz w:val="18"/>
                <w:szCs w:val="18"/>
              </w:rPr>
              <w:t>）油罐采取卸油时的防满溢措施。油料达到油罐容量90%时，触动高液位报警装置，油料达到油罐容量9</w:t>
            </w:r>
            <w:r>
              <w:rPr>
                <w:rFonts w:hint="eastAsia" w:ascii="宋体" w:hAnsi="宋体" w:cs="宋体"/>
                <w:color w:val="auto"/>
                <w:sz w:val="18"/>
                <w:szCs w:val="18"/>
                <w:lang w:val="en-US" w:eastAsia="zh-CN"/>
              </w:rPr>
              <w:t>5</w:t>
            </w:r>
            <w:r>
              <w:rPr>
                <w:rFonts w:hint="eastAsia" w:ascii="宋体" w:hAnsi="宋体" w:cs="宋体"/>
                <w:color w:val="auto"/>
                <w:sz w:val="18"/>
                <w:szCs w:val="18"/>
              </w:rPr>
              <w:t>%时，卸油防溢阀会使油料自动停止进罐。</w:t>
            </w:r>
          </w:p>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高液位报警在卸油场地附近设置声光报警器，用于提醒卸油人员。</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油罐设有液位报警。</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6</w:t>
            </w:r>
            <w:r>
              <w:rPr>
                <w:rFonts w:hint="eastAsia" w:cs="宋体"/>
                <w:color w:val="auto"/>
                <w:sz w:val="18"/>
                <w:szCs w:val="18"/>
              </w:rPr>
              <w:t>）建设方制定准确全面的操作规程，要求职工严格按操作规程进行操作。</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企业制定安全管理制度和岗位操作规程</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1</w:t>
            </w:r>
            <w:r>
              <w:rPr>
                <w:rFonts w:hint="eastAsia" w:ascii="宋体" w:hAnsi="宋体" w:cs="宋体"/>
                <w:color w:val="auto"/>
                <w:sz w:val="18"/>
                <w:szCs w:val="18"/>
              </w:rPr>
              <w:t>）在易发生火灾区域悬挂防火标志牌，并在附近配备相应的消防器材。</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在易发生火灾区域悬挂防火标志牌，并在附近配备相应的消防器材。</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2</w:t>
            </w:r>
            <w:r>
              <w:rPr>
                <w:rFonts w:hint="eastAsia" w:ascii="宋体" w:hAnsi="宋体" w:cs="宋体"/>
                <w:color w:val="auto"/>
                <w:sz w:val="18"/>
                <w:szCs w:val="18"/>
              </w:rPr>
              <w:t>）加油站内除通气管等必须露出地面的管道外，管道、油罐均埋地敷设，且埋地管沟用中性沙子或细土填满、填实，防止油气聚集。项目通气管管口管径为</w:t>
            </w:r>
            <w:r>
              <w:rPr>
                <w:rFonts w:ascii="宋体" w:hAnsi="宋体" w:cs="宋体"/>
                <w:color w:val="auto"/>
                <w:sz w:val="18"/>
                <w:szCs w:val="18"/>
              </w:rPr>
              <w:t>DN50</w:t>
            </w:r>
            <w:r>
              <w:rPr>
                <w:rFonts w:hint="eastAsia" w:ascii="宋体" w:hAnsi="宋体" w:cs="宋体"/>
                <w:color w:val="auto"/>
                <w:sz w:val="18"/>
                <w:szCs w:val="18"/>
              </w:rPr>
              <w:t>，材质为碳钢，通气管管口高出所在地面</w:t>
            </w:r>
            <w:r>
              <w:rPr>
                <w:rFonts w:ascii="宋体" w:hAnsi="宋体" w:cs="宋体"/>
                <w:color w:val="auto"/>
                <w:sz w:val="18"/>
                <w:szCs w:val="18"/>
              </w:rPr>
              <w:t>4.4</w:t>
            </w:r>
            <w:r>
              <w:rPr>
                <w:rFonts w:hint="eastAsia" w:ascii="宋体" w:hAnsi="宋体" w:cs="宋体"/>
                <w:color w:val="auto"/>
                <w:sz w:val="18"/>
                <w:szCs w:val="18"/>
              </w:rPr>
              <w:t>米，且柴油油罐通气管管口装设了防爆阻火通气罩，汽油油罐通气管管口装设了防爆阻火通气罩及压力真空阻火呼吸阀，通气管之间采用扁钢连接在一起，地下部分采用混凝土固定。</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pacing w:val="-6"/>
                <w:sz w:val="18"/>
                <w:szCs w:val="18"/>
              </w:rPr>
              <w:t>通气管高处地面</w:t>
            </w:r>
            <w:r>
              <w:rPr>
                <w:color w:val="auto"/>
                <w:spacing w:val="-6"/>
                <w:sz w:val="18"/>
                <w:szCs w:val="18"/>
              </w:rPr>
              <w:t>4m</w:t>
            </w:r>
            <w:r>
              <w:rPr>
                <w:rFonts w:hint="eastAsia" w:cs="宋体"/>
                <w:color w:val="auto"/>
                <w:spacing w:val="-6"/>
                <w:sz w:val="18"/>
                <w:szCs w:val="18"/>
              </w:rPr>
              <w:t>，且装有呼吸阀和阻火</w:t>
            </w:r>
            <w:r>
              <w:rPr>
                <w:rFonts w:hint="eastAsia" w:cs="宋体"/>
                <w:color w:val="auto"/>
                <w:sz w:val="18"/>
                <w:szCs w:val="18"/>
              </w:rPr>
              <w:t>器</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3</w:t>
            </w:r>
            <w:r>
              <w:rPr>
                <w:rFonts w:hint="eastAsia" w:ascii="宋体" w:hAnsi="宋体" w:cs="宋体"/>
                <w:color w:val="auto"/>
                <w:sz w:val="18"/>
                <w:szCs w:val="18"/>
              </w:rPr>
              <w:t>）根据《化工工艺设计施工图内容和深度统一规定》（</w:t>
            </w:r>
            <w:r>
              <w:rPr>
                <w:rFonts w:ascii="宋体" w:hAnsi="宋体" w:cs="宋体"/>
                <w:color w:val="auto"/>
                <w:sz w:val="18"/>
                <w:szCs w:val="18"/>
              </w:rPr>
              <w:t>HG/T20519-2009</w:t>
            </w:r>
            <w:r>
              <w:rPr>
                <w:rFonts w:hint="eastAsia" w:ascii="宋体" w:hAnsi="宋体" w:cs="宋体"/>
                <w:color w:val="auto"/>
                <w:sz w:val="18"/>
                <w:szCs w:val="18"/>
              </w:rPr>
              <w:t>）的要求，工艺管道输送易燃液体时，根据易燃液体输送时的最大流量，选用适合管径，使其在安全流速范围内。</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s="宋体"/>
                <w:color w:val="auto"/>
                <w:sz w:val="18"/>
                <w:szCs w:val="18"/>
              </w:rPr>
              <w:t>输油管道流量范围</w:t>
            </w:r>
            <w:r>
              <w:rPr>
                <w:color w:val="auto"/>
                <w:sz w:val="18"/>
                <w:szCs w:val="18"/>
              </w:rPr>
              <w:t>5~50L/min</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4</w:t>
            </w:r>
            <w:r>
              <w:rPr>
                <w:rFonts w:hint="eastAsia" w:ascii="宋体" w:hAnsi="宋体" w:cs="宋体"/>
                <w:color w:val="auto"/>
                <w:sz w:val="18"/>
                <w:szCs w:val="18"/>
              </w:rPr>
              <w:t>）根据《汽车加油加气站设计与施工规范》</w:t>
            </w:r>
            <w:r>
              <w:rPr>
                <w:rFonts w:ascii="宋体" w:hAnsi="宋体" w:cs="宋体"/>
                <w:color w:val="auto"/>
                <w:sz w:val="18"/>
                <w:szCs w:val="18"/>
              </w:rPr>
              <w:t>GB50156-2012</w:t>
            </w:r>
            <w:r>
              <w:rPr>
                <w:rFonts w:hint="eastAsia" w:ascii="宋体" w:hAnsi="宋体" w:cs="宋体"/>
                <w:color w:val="auto"/>
                <w:sz w:val="18"/>
                <w:szCs w:val="18"/>
              </w:rPr>
              <w:t>（</w:t>
            </w:r>
            <w:r>
              <w:rPr>
                <w:rFonts w:ascii="宋体" w:hAnsi="宋体" w:cs="宋体"/>
                <w:color w:val="auto"/>
                <w:sz w:val="18"/>
                <w:szCs w:val="18"/>
              </w:rPr>
              <w:t>2014</w:t>
            </w:r>
            <w:r>
              <w:rPr>
                <w:rFonts w:hint="eastAsia" w:ascii="宋体" w:hAnsi="宋体" w:cs="宋体"/>
                <w:color w:val="auto"/>
                <w:sz w:val="18"/>
                <w:szCs w:val="18"/>
              </w:rPr>
              <w:t>年版），本项目设置卸油油气回收系统（主管径</w:t>
            </w:r>
            <w:r>
              <w:rPr>
                <w:rFonts w:ascii="宋体" w:hAnsi="宋体" w:cs="宋体"/>
                <w:color w:val="auto"/>
                <w:sz w:val="18"/>
                <w:szCs w:val="18"/>
              </w:rPr>
              <w:t>DN100</w:t>
            </w:r>
            <w:r>
              <w:rPr>
                <w:rFonts w:hint="eastAsia" w:ascii="宋体" w:hAnsi="宋体" w:cs="宋体"/>
                <w:color w:val="auto"/>
                <w:sz w:val="18"/>
                <w:szCs w:val="18"/>
              </w:rPr>
              <w:t>）和加油油气回收系统（主管径</w:t>
            </w:r>
            <w:r>
              <w:rPr>
                <w:rFonts w:ascii="宋体" w:hAnsi="宋体" w:cs="宋体"/>
                <w:color w:val="auto"/>
                <w:sz w:val="18"/>
                <w:szCs w:val="18"/>
              </w:rPr>
              <w:t>DN80</w:t>
            </w:r>
            <w:r>
              <w:rPr>
                <w:rFonts w:hint="eastAsia" w:ascii="宋体" w:hAnsi="宋体" w:cs="宋体"/>
                <w:color w:val="auto"/>
                <w:sz w:val="18"/>
                <w:szCs w:val="18"/>
              </w:rPr>
              <w:t>），可有效减少卸油和加油时产生的油气，降低火灾爆炸的可能性和危险性。</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设有加油和卸油油气回收系统</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5</w:t>
            </w:r>
            <w:r>
              <w:rPr>
                <w:rFonts w:hint="eastAsia" w:ascii="宋体" w:hAnsi="宋体" w:cs="宋体"/>
                <w:color w:val="auto"/>
                <w:sz w:val="18"/>
                <w:szCs w:val="18"/>
              </w:rPr>
              <w:t>）加油机前后两侧设置</w:t>
            </w:r>
            <w:r>
              <w:rPr>
                <w:rFonts w:ascii="宋体" w:hAnsi="宋体" w:cs="宋体"/>
                <w:color w:val="auto"/>
                <w:sz w:val="18"/>
                <w:szCs w:val="18"/>
              </w:rPr>
              <w:t>DN100</w:t>
            </w:r>
            <w:r>
              <w:rPr>
                <w:rFonts w:hint="eastAsia" w:ascii="宋体" w:hAnsi="宋体" w:cs="宋体"/>
                <w:color w:val="auto"/>
                <w:sz w:val="18"/>
                <w:szCs w:val="18"/>
              </w:rPr>
              <w:t>，高</w:t>
            </w:r>
            <w:r>
              <w:rPr>
                <w:rFonts w:ascii="宋体" w:hAnsi="宋体" w:cs="宋体"/>
                <w:color w:val="auto"/>
                <w:sz w:val="18"/>
                <w:szCs w:val="18"/>
              </w:rPr>
              <w:t>0.5m</w:t>
            </w:r>
            <w:r>
              <w:rPr>
                <w:rFonts w:hint="eastAsia" w:ascii="宋体" w:hAnsi="宋体" w:cs="宋体"/>
                <w:color w:val="auto"/>
                <w:sz w:val="18"/>
                <w:szCs w:val="18"/>
              </w:rPr>
              <w:t>防撞弯管，防止意外撞击发生火灾爆炸。</w:t>
            </w:r>
            <w:r>
              <w:rPr>
                <w:rFonts w:ascii="宋体" w:hAnsi="宋体" w:cs="宋体"/>
                <w:color w:val="auto"/>
                <w:sz w:val="18"/>
                <w:szCs w:val="18"/>
              </w:rPr>
              <w:t xml:space="preserve"> </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加油机前后均设防撞弯管</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6</w:t>
            </w:r>
            <w:r>
              <w:rPr>
                <w:rFonts w:hint="eastAsia" w:ascii="宋体" w:hAnsi="宋体" w:cs="宋体"/>
                <w:color w:val="auto"/>
                <w:sz w:val="18"/>
                <w:szCs w:val="18"/>
              </w:rPr>
              <w:t>）加油机加油软管上设置安全拉断阀，预防事故时及时切断加油。</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加油机软管设有安全拉断阀</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7</w:t>
            </w:r>
            <w:r>
              <w:rPr>
                <w:rFonts w:hint="eastAsia" w:cs="宋体"/>
                <w:color w:val="auto"/>
                <w:sz w:val="18"/>
                <w:szCs w:val="18"/>
              </w:rPr>
              <w:t>）加油机底部连接的输油管道上设置防撞事故自动切断阀，当加油机被撞或起火时，阀门自动关闭，防止火灾蔓延扩散。</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加油机设有防撞事故自动切断阀</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8</w:t>
            </w:r>
            <w:r>
              <w:rPr>
                <w:rFonts w:hint="eastAsia" w:cs="宋体"/>
                <w:color w:val="auto"/>
                <w:sz w:val="18"/>
                <w:szCs w:val="18"/>
              </w:rPr>
              <w:t>）为了防止静电引起火灾爆炸事故，油罐的接洽管采用金属材质；油罐进油管伸至罐内距罐底</w:t>
            </w:r>
            <w:r>
              <w:rPr>
                <w:color w:val="auto"/>
                <w:sz w:val="18"/>
                <w:szCs w:val="18"/>
              </w:rPr>
              <w:t>100mm</w:t>
            </w:r>
            <w:r>
              <w:rPr>
                <w:rFonts w:hint="eastAsia" w:cs="宋体"/>
                <w:color w:val="auto"/>
                <w:sz w:val="18"/>
                <w:szCs w:val="18"/>
              </w:rPr>
              <w:t>处，进油立管的底端采用</w:t>
            </w:r>
            <w:r>
              <w:rPr>
                <w:color w:val="auto"/>
                <w:sz w:val="18"/>
                <w:szCs w:val="18"/>
              </w:rPr>
              <w:t>45</w:t>
            </w:r>
            <w:r>
              <w:rPr>
                <w:rFonts w:hint="eastAsia" w:cs="宋体"/>
                <w:color w:val="auto"/>
                <w:sz w:val="18"/>
                <w:szCs w:val="18"/>
              </w:rPr>
              <w:t>°斜管口；量油口下部的接合管向下伸至罐内距罐底</w:t>
            </w:r>
            <w:r>
              <w:rPr>
                <w:color w:val="auto"/>
                <w:sz w:val="18"/>
                <w:szCs w:val="18"/>
              </w:rPr>
              <w:t>200mm</w:t>
            </w:r>
            <w:r>
              <w:rPr>
                <w:rFonts w:hint="eastAsia" w:cs="宋体"/>
                <w:color w:val="auto"/>
                <w:sz w:val="18"/>
                <w:szCs w:val="18"/>
              </w:rPr>
              <w:t>处。</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s="宋体"/>
                <w:color w:val="auto"/>
                <w:sz w:val="18"/>
                <w:szCs w:val="18"/>
              </w:rPr>
              <w:t>油罐的接洽管采用钢制管道，入油口距罐底</w:t>
            </w:r>
            <w:r>
              <w:rPr>
                <w:color w:val="auto"/>
                <w:sz w:val="18"/>
                <w:szCs w:val="18"/>
              </w:rPr>
              <w:t>200mm</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widowControl/>
              <w:kinsoku/>
              <w:wordWrap/>
              <w:overflowPunct/>
              <w:topLinePunct w:val="0"/>
              <w:autoSpaceDE/>
              <w:autoSpaceDN/>
              <w:bidi w:val="0"/>
              <w:spacing w:line="240" w:lineRule="exact"/>
              <w:jc w:val="left"/>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hint="eastAsia" w:ascii="Calibri" w:hAnsi="Calibri" w:eastAsia="宋体" w:cs="Times New Roman"/>
                <w:color w:val="auto"/>
                <w:kern w:val="2"/>
                <w:sz w:val="18"/>
                <w:szCs w:val="18"/>
                <w:lang w:val="en-US" w:eastAsia="zh-CN" w:bidi="ar-SA"/>
              </w:rPr>
            </w:pPr>
            <w:r>
              <w:rPr>
                <w:rFonts w:hint="eastAsia" w:cs="宋体"/>
                <w:color w:val="auto"/>
                <w:sz w:val="18"/>
                <w:szCs w:val="18"/>
              </w:rPr>
              <w:t>（</w:t>
            </w:r>
            <w:r>
              <w:rPr>
                <w:color w:val="auto"/>
                <w:sz w:val="18"/>
                <w:szCs w:val="18"/>
              </w:rPr>
              <w:t>9</w:t>
            </w:r>
            <w:r>
              <w:rPr>
                <w:rFonts w:hint="eastAsia" w:cs="宋体"/>
                <w:color w:val="auto"/>
                <w:sz w:val="18"/>
                <w:szCs w:val="18"/>
              </w:rPr>
              <w:t>）站内洗车机至专门作为洗车服务，不涉及保养。</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hint="eastAsia" w:ascii="Calibri" w:hAnsi="Calibri" w:eastAsia="宋体" w:cs="Times New Roman"/>
                <w:color w:val="auto"/>
                <w:kern w:val="2"/>
                <w:sz w:val="18"/>
                <w:szCs w:val="18"/>
                <w:lang w:val="en-US" w:eastAsia="zh-CN" w:bidi="ar-SA"/>
              </w:rPr>
            </w:pPr>
            <w:r>
              <w:rPr>
                <w:rFonts w:hint="eastAsia" w:cs="宋体"/>
                <w:color w:val="auto"/>
                <w:sz w:val="18"/>
                <w:szCs w:val="18"/>
              </w:rPr>
              <w:t>站内洗车机至专门作为洗车服务，不涉及保养</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hint="eastAsia" w:ascii="Calibri" w:hAnsi="Calibri" w:eastAsia="宋体" w:cs="Times New Roman"/>
                <w:color w:val="auto"/>
                <w:kern w:val="2"/>
                <w:sz w:val="18"/>
                <w:szCs w:val="18"/>
                <w:lang w:val="en-US" w:eastAsia="zh-CN" w:bidi="ar-SA"/>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3</w:t>
            </w:r>
            <w:r>
              <w:rPr>
                <w:rFonts w:hint="eastAsia" w:ascii="宋体" w:hAnsi="宋体" w:cs="宋体"/>
                <w:color w:val="auto"/>
                <w:sz w:val="18"/>
                <w:szCs w:val="18"/>
              </w:rPr>
              <w:t>）防毒措施</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hint="eastAsia" w:eastAsia="宋体" w:cs="Times New Roman"/>
                <w:color w:val="auto"/>
                <w:sz w:val="18"/>
                <w:szCs w:val="18"/>
                <w:lang w:val="en-US" w:eastAsia="zh-CN"/>
              </w:rPr>
            </w:pPr>
            <w:r>
              <w:rPr>
                <w:rFonts w:hint="eastAsia" w:cs="宋体"/>
                <w:color w:val="auto"/>
                <w:sz w:val="18"/>
                <w:szCs w:val="18"/>
              </w:rPr>
              <w:t>（</w:t>
            </w:r>
            <w:r>
              <w:rPr>
                <w:color w:val="auto"/>
                <w:sz w:val="18"/>
                <w:szCs w:val="18"/>
              </w:rPr>
              <w:t>1</w:t>
            </w:r>
            <w:r>
              <w:rPr>
                <w:rFonts w:hint="eastAsia" w:cs="宋体"/>
                <w:color w:val="auto"/>
                <w:sz w:val="18"/>
                <w:szCs w:val="18"/>
              </w:rPr>
              <w:t>）根据《劳动防护用品监督管理规定》第十九条，站内从业人员在作业过程中，正确佩戴和使用劳动防护用品。</w:t>
            </w:r>
            <w:r>
              <w:rPr>
                <w:rFonts w:hint="eastAsia" w:cs="宋体"/>
                <w:color w:val="auto"/>
                <w:sz w:val="18"/>
                <w:szCs w:val="18"/>
                <w:lang w:val="en-US" w:eastAsia="zh-CN"/>
              </w:rPr>
              <w:t xml:space="preserve"> </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站内从业人员</w:t>
            </w:r>
            <w:r>
              <w:rPr>
                <w:rFonts w:hint="eastAsia" w:cs="宋体"/>
                <w:color w:val="auto"/>
                <w:sz w:val="18"/>
                <w:szCs w:val="18"/>
                <w:lang w:val="en-US" w:eastAsia="zh-CN"/>
              </w:rPr>
              <w:t>按要求</w:t>
            </w:r>
            <w:r>
              <w:rPr>
                <w:rFonts w:hint="eastAsia" w:cs="宋体"/>
                <w:color w:val="auto"/>
                <w:sz w:val="18"/>
                <w:szCs w:val="18"/>
              </w:rPr>
              <w:t>佩戴和使用劳动防护用品。</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4</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本项目管线、防撞弯管、设备立柱设计采用除锈后，刷环氧富锌防腐底漆（两遍）、环氧防腐面漆（两遍）进行防腐施工；埋地设置的钢制管线要求进行加强级防腐处理：除锈后先刷防锈红丹漆两遍，再用环氧沥青漆加缠玻璃布，要求总厚度达</w:t>
            </w:r>
            <w:r>
              <w:rPr>
                <w:color w:val="auto"/>
                <w:sz w:val="18"/>
                <w:szCs w:val="18"/>
              </w:rPr>
              <w:t xml:space="preserve"> 3mm</w:t>
            </w:r>
            <w:r>
              <w:rPr>
                <w:rFonts w:hint="eastAsia" w:cs="宋体"/>
                <w:color w:val="auto"/>
                <w:sz w:val="18"/>
                <w:szCs w:val="18"/>
              </w:rPr>
              <w:t>。加油机出厂时均做了防腐蚀处理。</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管线、防撞弯管、设备立柱、埋地钢制管线、加油机均有防腐措施</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5</w:t>
            </w:r>
            <w:r>
              <w:rPr>
                <w:rFonts w:hint="eastAsia" w:cs="宋体"/>
                <w:color w:val="auto"/>
                <w:sz w:val="18"/>
                <w:szCs w:val="18"/>
              </w:rPr>
              <w:t>）卸油作业、加油作业措施</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w:t>
            </w:r>
            <w:r>
              <w:rPr>
                <w:rFonts w:hint="eastAsia" w:cs="宋体"/>
                <w:color w:val="auto"/>
                <w:sz w:val="18"/>
                <w:szCs w:val="18"/>
              </w:rPr>
              <w:t>）油罐车卸油采用密闭卸油方式、卸油接口与卸油油气回收接口设置了快速接头和密封盖，防止油气与外部空间接触，引起火灾爆炸事故。</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卸油口设有快速接头和密封盖</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2</w:t>
            </w:r>
            <w:r>
              <w:rPr>
                <w:rFonts w:hint="eastAsia" w:cs="宋体"/>
                <w:color w:val="auto"/>
                <w:sz w:val="18"/>
                <w:szCs w:val="18"/>
              </w:rPr>
              <w:t>）每个油罐各自设置卸油管道和卸油接口。各卸油接口及油气回收接口，有明显的标识。</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各油罐分别有卸油管道和卸油口，均标有标识</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3</w:t>
            </w:r>
            <w:r>
              <w:rPr>
                <w:rFonts w:hint="eastAsia" w:cs="宋体"/>
                <w:color w:val="auto"/>
                <w:sz w:val="18"/>
                <w:szCs w:val="18"/>
              </w:rPr>
              <w:t>）卸油接口装设快速接头及密封盖</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卸油口设有快速接头和密封盖</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tcPr>
          <w:p>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cs="Times New Roman"/>
                <w:color w:val="auto"/>
                <w:sz w:val="18"/>
                <w:szCs w:val="18"/>
              </w:rPr>
            </w:pPr>
            <w:r>
              <w:rPr>
                <w:rFonts w:hint="eastAsia" w:cs="宋体"/>
                <w:color w:val="auto"/>
                <w:sz w:val="18"/>
                <w:szCs w:val="18"/>
              </w:rPr>
              <w:t>（</w:t>
            </w:r>
            <w:r>
              <w:rPr>
                <w:color w:val="auto"/>
                <w:sz w:val="18"/>
                <w:szCs w:val="18"/>
              </w:rPr>
              <w:t>4</w:t>
            </w:r>
            <w:r>
              <w:rPr>
                <w:rFonts w:hint="eastAsia" w:cs="宋体"/>
                <w:color w:val="auto"/>
                <w:sz w:val="18"/>
                <w:szCs w:val="18"/>
              </w:rPr>
              <w:t>）汽油罐车向站内油罐卸油采用平衡式密闭油气回收系统，各汽油罐可共用一根卸油油气回收主管，回收主管的公称直径</w:t>
            </w:r>
            <w:r>
              <w:rPr>
                <w:color w:val="auto"/>
                <w:sz w:val="18"/>
                <w:szCs w:val="18"/>
              </w:rPr>
              <w:t xml:space="preserve"> DN100</w:t>
            </w:r>
            <w:r>
              <w:rPr>
                <w:rFonts w:hint="eastAsia" w:cs="宋体"/>
                <w:color w:val="auto"/>
                <w:sz w:val="18"/>
                <w:szCs w:val="18"/>
              </w:rPr>
              <w:t>，卸油油气回收管道的接口采用自闭式快速接头。</w:t>
            </w:r>
          </w:p>
        </w:tc>
        <w:tc>
          <w:tcPr>
            <w:tcW w:w="1914" w:type="dxa"/>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s="宋体"/>
                <w:color w:val="auto"/>
                <w:sz w:val="18"/>
                <w:szCs w:val="18"/>
              </w:rPr>
              <w:t>卸油、加油均设有油气回收系统，卸油油气回收主管直径</w:t>
            </w:r>
            <w:r>
              <w:rPr>
                <w:color w:val="auto"/>
                <w:sz w:val="18"/>
                <w:szCs w:val="18"/>
              </w:rPr>
              <w:t xml:space="preserve"> DN100</w:t>
            </w:r>
          </w:p>
        </w:tc>
        <w:tc>
          <w:tcPr>
            <w:tcW w:w="818" w:type="dxa"/>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color w:val="auto"/>
                <w:sz w:val="18"/>
                <w:szCs w:val="18"/>
              </w:rPr>
            </w:pPr>
            <w:r>
              <w:rPr>
                <w:rFonts w:hint="eastAsia" w:cs="宋体"/>
                <w:color w:val="auto"/>
                <w:sz w:val="18"/>
                <w:szCs w:val="18"/>
              </w:rPr>
              <w:t>（</w:t>
            </w:r>
            <w:r>
              <w:rPr>
                <w:color w:val="auto"/>
                <w:sz w:val="18"/>
                <w:szCs w:val="18"/>
              </w:rPr>
              <w:t>5</w:t>
            </w:r>
            <w:r>
              <w:rPr>
                <w:rFonts w:hint="eastAsia" w:cs="宋体"/>
                <w:color w:val="auto"/>
                <w:sz w:val="18"/>
                <w:szCs w:val="18"/>
              </w:rPr>
              <w:t>）加油采用真空辅助式油气回收系统，汽油加油机与油罐之间设油气回收管道，多台汽油加油机可共用</w:t>
            </w:r>
            <w:r>
              <w:rPr>
                <w:color w:val="auto"/>
                <w:sz w:val="18"/>
                <w:szCs w:val="18"/>
              </w:rPr>
              <w:t>1</w:t>
            </w:r>
            <w:r>
              <w:rPr>
                <w:rFonts w:hint="eastAsia" w:cs="宋体"/>
                <w:color w:val="auto"/>
                <w:sz w:val="18"/>
                <w:szCs w:val="18"/>
              </w:rPr>
              <w:t>根油气回收主管，油气回收主管的公称直径</w:t>
            </w:r>
            <w:r>
              <w:rPr>
                <w:color w:val="auto"/>
                <w:sz w:val="18"/>
                <w:szCs w:val="18"/>
              </w:rPr>
              <w:t>DN50</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s="宋体"/>
                <w:color w:val="auto"/>
                <w:sz w:val="18"/>
                <w:szCs w:val="18"/>
              </w:rPr>
              <w:t>卸油、加油均设有油气回收系统，加油油气回收主管直径</w:t>
            </w:r>
            <w:r>
              <w:rPr>
                <w:color w:val="auto"/>
                <w:sz w:val="18"/>
                <w:szCs w:val="18"/>
              </w:rPr>
              <w:t>DN80</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6</w:t>
            </w:r>
            <w:r>
              <w:rPr>
                <w:rFonts w:hint="eastAsia" w:cs="宋体"/>
                <w:color w:val="auto"/>
                <w:sz w:val="18"/>
                <w:szCs w:val="18"/>
              </w:rPr>
              <w:t>）油罐车卸油时用的卸油连通软管、油气回收连通软管采用导静电耐油软管，其体电阻率应小于</w:t>
            </w:r>
            <w:r>
              <w:rPr>
                <w:color w:val="auto"/>
                <w:sz w:val="18"/>
                <w:szCs w:val="18"/>
              </w:rPr>
              <w:t xml:space="preserve"> 10 </w:t>
            </w:r>
            <w:r>
              <w:rPr>
                <w:color w:val="auto"/>
                <w:sz w:val="18"/>
                <w:szCs w:val="18"/>
                <w:vertAlign w:val="superscript"/>
              </w:rPr>
              <w:t>8</w:t>
            </w:r>
            <w:r>
              <w:rPr>
                <w:rFonts w:hint="eastAsia" w:cs="宋体"/>
                <w:color w:val="auto"/>
                <w:sz w:val="18"/>
                <w:szCs w:val="18"/>
              </w:rPr>
              <w:t>Ω·</w:t>
            </w:r>
            <w:r>
              <w:rPr>
                <w:color w:val="auto"/>
                <w:sz w:val="18"/>
                <w:szCs w:val="18"/>
              </w:rPr>
              <w:t>m</w:t>
            </w:r>
            <w:r>
              <w:rPr>
                <w:rFonts w:hint="eastAsia" w:cs="宋体"/>
                <w:color w:val="auto"/>
                <w:sz w:val="18"/>
                <w:szCs w:val="18"/>
              </w:rPr>
              <w:t>，表面电阻率应小于</w:t>
            </w:r>
            <w:r>
              <w:rPr>
                <w:color w:val="auto"/>
                <w:sz w:val="18"/>
                <w:szCs w:val="18"/>
              </w:rPr>
              <w:t xml:space="preserve"> 10 </w:t>
            </w:r>
            <w:r>
              <w:rPr>
                <w:color w:val="auto"/>
                <w:sz w:val="18"/>
                <w:szCs w:val="18"/>
                <w:vertAlign w:val="superscript"/>
              </w:rPr>
              <w:t>10</w:t>
            </w:r>
            <w:r>
              <w:rPr>
                <w:rFonts w:hint="eastAsia" w:cs="宋体"/>
                <w:color w:val="auto"/>
                <w:sz w:val="18"/>
                <w:szCs w:val="18"/>
              </w:rPr>
              <w:t>Ω。</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油气回收连通软管采用导静电耐油软管</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7</w:t>
            </w:r>
            <w:r>
              <w:rPr>
                <w:rFonts w:hint="eastAsia" w:cs="宋体"/>
                <w:color w:val="auto"/>
                <w:sz w:val="18"/>
                <w:szCs w:val="18"/>
              </w:rPr>
              <w:t>）接卸人员计量人员上岗时应穿防静电工作服、鞋。</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站内每人配备有</w:t>
            </w:r>
            <w:r>
              <w:rPr>
                <w:color w:val="auto"/>
                <w:sz w:val="18"/>
                <w:szCs w:val="18"/>
              </w:rPr>
              <w:t>2</w:t>
            </w:r>
            <w:r>
              <w:rPr>
                <w:rFonts w:hint="eastAsia" w:cs="宋体"/>
                <w:color w:val="auto"/>
                <w:sz w:val="18"/>
                <w:szCs w:val="18"/>
              </w:rPr>
              <w:t>套防静电工作服、鞋</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8</w:t>
            </w:r>
            <w:r>
              <w:rPr>
                <w:rFonts w:hint="eastAsia" w:cs="宋体"/>
                <w:color w:val="auto"/>
                <w:sz w:val="18"/>
                <w:szCs w:val="18"/>
              </w:rPr>
              <w:t>）油罐车进站后，作业人员应检查油罐车的安全设施是否齐全有效，检查合格后，引导油罐车进入卸油场地，接好静电接地，备好消防器材。</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加油站制定了卸油安全操作规程</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9</w:t>
            </w:r>
            <w:r>
              <w:rPr>
                <w:rFonts w:hint="eastAsia" w:cs="宋体"/>
                <w:color w:val="auto"/>
                <w:sz w:val="18"/>
                <w:szCs w:val="18"/>
              </w:rPr>
              <w:t>）油罐车熄火并静止</w:t>
            </w:r>
            <w:r>
              <w:rPr>
                <w:color w:val="auto"/>
                <w:sz w:val="18"/>
                <w:szCs w:val="18"/>
              </w:rPr>
              <w:t>15</w:t>
            </w:r>
            <w:r>
              <w:rPr>
                <w:rFonts w:hint="eastAsia" w:cs="宋体"/>
                <w:color w:val="auto"/>
                <w:sz w:val="18"/>
                <w:szCs w:val="18"/>
              </w:rPr>
              <w:t>分钟后，用移动式防护栏围护油罐区作为警戒线，作业人员方可计量验收作业。</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加油站制定了卸油安全操作规程</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10</w:t>
            </w:r>
            <w:r>
              <w:rPr>
                <w:rFonts w:hint="eastAsia" w:cs="宋体"/>
                <w:color w:val="auto"/>
                <w:sz w:val="18"/>
                <w:szCs w:val="18"/>
              </w:rPr>
              <w:t>）核对接卸油品的品种、牌号与油罐储存的油品品种、牌号一致后，连接卸油胶管，卸油快速接头应连接紧固，胶管保持自然弯曲。</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加油站制定了卸油安全操作规程</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11</w:t>
            </w:r>
            <w:r>
              <w:rPr>
                <w:rFonts w:hint="eastAsia" w:cs="宋体"/>
                <w:color w:val="auto"/>
                <w:sz w:val="18"/>
                <w:szCs w:val="18"/>
              </w:rPr>
              <w:t>）再一次核对卸油胶管连接正确后，停止与收油罐连接的加油机加油作业，缓慢开启卸油阀门卸油。</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加油站制定了卸油安全操作规程</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12</w:t>
            </w:r>
            <w:r>
              <w:rPr>
                <w:rFonts w:hint="eastAsia" w:cs="宋体"/>
                <w:color w:val="auto"/>
                <w:sz w:val="18"/>
                <w:szCs w:val="18"/>
              </w:rPr>
              <w:t>）卸油过程中，加油站接卸人员与司机必须同时在现场进行监护。</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加油站制定了卸油安全操作规程</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13</w:t>
            </w:r>
            <w:r>
              <w:rPr>
                <w:rFonts w:hint="eastAsia" w:cs="宋体"/>
                <w:color w:val="auto"/>
                <w:sz w:val="18"/>
                <w:szCs w:val="18"/>
              </w:rPr>
              <w:t>）卸油完毕，关闭卸油阀，拆卸卸油胶管，盖严卸油帽，整理好静电接地线，清理卸油现场，将消防器材等设备、工具归位。</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加油站制定了卸油安全操作规程</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14</w:t>
            </w:r>
            <w:r>
              <w:rPr>
                <w:rFonts w:hint="eastAsia" w:cs="宋体"/>
                <w:color w:val="auto"/>
                <w:sz w:val="18"/>
                <w:szCs w:val="18"/>
              </w:rPr>
              <w:t>）雷雨天不得进行卸油作业。</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加油站制定了卸油安全操作规程</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15</w:t>
            </w:r>
            <w:r>
              <w:rPr>
                <w:rFonts w:hint="eastAsia" w:cs="宋体"/>
                <w:color w:val="auto"/>
                <w:sz w:val="18"/>
                <w:szCs w:val="18"/>
              </w:rPr>
              <w:t>）在加油机底部与油气回收立管的连接处，安装一个用于检测液阻和系统密闭性的丝接三通，其旁通短管上应设公称直径为</w:t>
            </w:r>
            <w:r>
              <w:rPr>
                <w:color w:val="auto"/>
                <w:sz w:val="18"/>
                <w:szCs w:val="18"/>
              </w:rPr>
              <w:t>25mm</w:t>
            </w:r>
            <w:r>
              <w:rPr>
                <w:rFonts w:hint="eastAsia" w:cs="宋体"/>
                <w:color w:val="auto"/>
                <w:sz w:val="18"/>
                <w:szCs w:val="18"/>
              </w:rPr>
              <w:t>的球阀及丝堵。</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设有用于检测液阻和系统密闭性的丝接三通</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 xml:space="preserve">4.1.2 </w:t>
            </w:r>
            <w:r>
              <w:rPr>
                <w:rFonts w:hint="eastAsia" w:ascii="宋体" w:hAnsi="宋体" w:cs="宋体"/>
                <w:b/>
                <w:bCs/>
                <w:color w:val="auto"/>
                <w:sz w:val="18"/>
                <w:szCs w:val="18"/>
              </w:rPr>
              <w:t>正常工况与非正常工况下危险物料的安全控制措施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1</w:t>
            </w:r>
            <w:r>
              <w:rPr>
                <w:rFonts w:hint="eastAsia" w:cs="宋体"/>
                <w:color w:val="auto"/>
                <w:sz w:val="18"/>
                <w:szCs w:val="18"/>
              </w:rPr>
              <w:t>）运营过程中的安全措施</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1</w:t>
            </w:r>
            <w:r>
              <w:rPr>
                <w:rFonts w:hint="eastAsia" w:ascii="宋体" w:hAnsi="宋体" w:cs="宋体"/>
                <w:color w:val="auto"/>
                <w:sz w:val="18"/>
                <w:szCs w:val="18"/>
              </w:rPr>
              <w:t>）本项目工艺装置按照规范要求设计有液位等监控和报警装置。</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设有油罐液位报警器</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2</w:t>
            </w:r>
            <w:r>
              <w:rPr>
                <w:rFonts w:hint="eastAsia" w:ascii="宋体" w:hAnsi="宋体" w:cs="宋体"/>
                <w:color w:val="auto"/>
                <w:sz w:val="18"/>
                <w:szCs w:val="18"/>
              </w:rPr>
              <w:t>）汽油罐的通气管管口装设阻火器和呼吸阀，呼吸阀的工作正压为</w:t>
            </w:r>
            <w:r>
              <w:rPr>
                <w:rFonts w:ascii="宋体" w:hAnsi="宋体" w:cs="宋体"/>
                <w:color w:val="auto"/>
                <w:sz w:val="18"/>
                <w:szCs w:val="18"/>
              </w:rPr>
              <w:t>2kPa~3kPa</w:t>
            </w:r>
            <w:r>
              <w:rPr>
                <w:rFonts w:hint="eastAsia" w:ascii="宋体" w:hAnsi="宋体" w:cs="宋体"/>
                <w:color w:val="auto"/>
                <w:sz w:val="18"/>
                <w:szCs w:val="18"/>
              </w:rPr>
              <w:t>，工作负压为</w:t>
            </w:r>
            <w:r>
              <w:rPr>
                <w:rFonts w:ascii="宋体" w:hAnsi="宋体" w:cs="宋体"/>
                <w:color w:val="auto"/>
                <w:sz w:val="18"/>
                <w:szCs w:val="18"/>
              </w:rPr>
              <w:t xml:space="preserve"> 1.5kPa~2kPa</w:t>
            </w:r>
            <w:r>
              <w:rPr>
                <w:rFonts w:hint="eastAsia" w:ascii="宋体" w:hAnsi="宋体"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通气管口设有阻火器和呼吸阀</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3</w:t>
            </w:r>
            <w:r>
              <w:rPr>
                <w:rFonts w:hint="eastAsia" w:ascii="宋体" w:hAnsi="宋体" w:cs="宋体"/>
                <w:color w:val="auto"/>
                <w:sz w:val="18"/>
                <w:szCs w:val="18"/>
              </w:rPr>
              <w:t>）卸油管道、卸油油气回收管道和油罐通气管横管，均坡向埋地油罐。卸油管道的坡度设计为</w:t>
            </w:r>
            <w:r>
              <w:rPr>
                <w:rFonts w:ascii="宋体" w:hAnsi="宋体" w:cs="宋体"/>
                <w:color w:val="auto"/>
                <w:sz w:val="18"/>
                <w:szCs w:val="18"/>
              </w:rPr>
              <w:t>2</w:t>
            </w:r>
            <w:r>
              <w:rPr>
                <w:rFonts w:hint="eastAsia" w:ascii="宋体" w:hAnsi="宋体" w:cs="宋体"/>
                <w:color w:val="auto"/>
                <w:sz w:val="18"/>
                <w:szCs w:val="18"/>
              </w:rPr>
              <w:t>‰，卸油油气回收管道、加油油气回收管道和油罐通气管横管的坡度，设计为</w:t>
            </w:r>
            <w:r>
              <w:rPr>
                <w:rFonts w:ascii="宋体" w:hAnsi="宋体" w:cs="宋体"/>
                <w:color w:val="auto"/>
                <w:sz w:val="18"/>
                <w:szCs w:val="18"/>
              </w:rPr>
              <w:t>1%</w:t>
            </w:r>
            <w:r>
              <w:rPr>
                <w:rFonts w:hint="eastAsia" w:ascii="宋体" w:hAnsi="宋体" w:cs="宋体"/>
                <w:color w:val="auto"/>
                <w:sz w:val="18"/>
                <w:szCs w:val="18"/>
              </w:rPr>
              <w:t>。项目设置集液槽，管道集中坡向集液槽。</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ascii="宋体" w:hAnsi="宋体" w:cs="宋体"/>
                <w:color w:val="auto"/>
                <w:sz w:val="18"/>
                <w:szCs w:val="18"/>
              </w:rPr>
              <w:t>卸油管道、油气回收管道和油罐通气管横管，均坡向埋地油罐，坡度</w:t>
            </w:r>
            <w:r>
              <w:rPr>
                <w:rFonts w:ascii="宋体" w:hAnsi="宋体" w:cs="宋体"/>
                <w:color w:val="auto"/>
                <w:sz w:val="18"/>
                <w:szCs w:val="18"/>
              </w:rPr>
              <w:t>2%</w:t>
            </w:r>
            <w:r>
              <w:rPr>
                <w:rFonts w:hint="eastAsia" w:ascii="宋体" w:hAnsi="宋体" w:cs="宋体"/>
                <w:color w:val="auto"/>
                <w:sz w:val="18"/>
                <w:szCs w:val="18"/>
              </w:rPr>
              <w:t>。站内设有隔油池</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4</w:t>
            </w:r>
            <w:r>
              <w:rPr>
                <w:rFonts w:hint="eastAsia" w:ascii="宋体" w:hAnsi="宋体" w:cs="宋体"/>
                <w:color w:val="auto"/>
                <w:sz w:val="18"/>
                <w:szCs w:val="18"/>
              </w:rPr>
              <w:t>）埋地输油管道的埋设深度设置为</w:t>
            </w:r>
            <w:r>
              <w:rPr>
                <w:rFonts w:ascii="宋体" w:hAnsi="宋体" w:cs="宋体"/>
                <w:color w:val="auto"/>
                <w:sz w:val="18"/>
                <w:szCs w:val="18"/>
              </w:rPr>
              <w:t>0.55m</w:t>
            </w:r>
            <w:r>
              <w:rPr>
                <w:rFonts w:hint="eastAsia" w:ascii="宋体" w:hAnsi="宋体" w:cs="宋体"/>
                <w:color w:val="auto"/>
                <w:sz w:val="18"/>
                <w:szCs w:val="18"/>
              </w:rPr>
              <w:t>，敷设在道路下面的管道，管顶低于混凝土层下表面</w:t>
            </w:r>
            <w:r>
              <w:rPr>
                <w:rFonts w:ascii="宋体" w:hAnsi="宋体" w:cs="宋体"/>
                <w:color w:val="auto"/>
                <w:sz w:val="18"/>
                <w:szCs w:val="18"/>
              </w:rPr>
              <w:t>0.2m</w:t>
            </w:r>
            <w:r>
              <w:rPr>
                <w:rFonts w:hint="eastAsia" w:ascii="宋体" w:hAnsi="宋体"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ascii="宋体" w:hAnsi="宋体" w:cs="宋体"/>
                <w:color w:val="auto"/>
                <w:sz w:val="18"/>
                <w:szCs w:val="18"/>
              </w:rPr>
              <w:t>埋地输油管道的埋设深度</w:t>
            </w:r>
            <w:r>
              <w:rPr>
                <w:rFonts w:ascii="宋体" w:hAnsi="宋体" w:cs="宋体"/>
                <w:color w:val="auto"/>
                <w:sz w:val="18"/>
                <w:szCs w:val="18"/>
              </w:rPr>
              <w:t>0.55m</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5</w:t>
            </w:r>
            <w:r>
              <w:rPr>
                <w:rFonts w:hint="eastAsia" w:ascii="宋体" w:hAnsi="宋体" w:cs="宋体"/>
                <w:color w:val="auto"/>
                <w:sz w:val="18"/>
                <w:szCs w:val="18"/>
              </w:rPr>
              <w:t>）每个油罐各自设置卸油管道和卸油接口。为了防止卸油卸错罐，发生混油事故，各卸油接口及油气回收接口设置了明显的标识。</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各油罐分别设有</w:t>
            </w:r>
            <w:r>
              <w:rPr>
                <w:rFonts w:hint="eastAsia" w:ascii="宋体" w:hAnsi="宋体" w:cs="宋体"/>
                <w:color w:val="auto"/>
                <w:sz w:val="18"/>
                <w:szCs w:val="18"/>
              </w:rPr>
              <w:t>卸油管道和卸油口，并标有标识</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6</w:t>
            </w:r>
            <w:r>
              <w:rPr>
                <w:rFonts w:hint="eastAsia" w:ascii="宋体" w:hAnsi="宋体" w:cs="宋体"/>
                <w:color w:val="auto"/>
                <w:sz w:val="18"/>
                <w:szCs w:val="18"/>
              </w:rPr>
              <w:t>）加油机设置在室外。</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加油机在站房外</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7</w:t>
            </w:r>
            <w:r>
              <w:rPr>
                <w:rFonts w:hint="eastAsia" w:ascii="宋体" w:hAnsi="宋体" w:cs="宋体"/>
                <w:color w:val="auto"/>
                <w:sz w:val="18"/>
                <w:szCs w:val="18"/>
              </w:rPr>
              <w:t>）油罐采用埋地油罐，并设置抗浮底板，防止油罐起浮引起管线破裂而引起泄漏、火灾爆炸的发生。</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油罐均埋地，并设有</w:t>
            </w:r>
            <w:r>
              <w:rPr>
                <w:rFonts w:hint="eastAsia" w:ascii="宋体" w:hAnsi="宋体" w:cs="宋体"/>
                <w:color w:val="auto"/>
                <w:sz w:val="18"/>
                <w:szCs w:val="18"/>
              </w:rPr>
              <w:t>抗浮底板</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2</w:t>
            </w:r>
            <w:r>
              <w:rPr>
                <w:rFonts w:hint="eastAsia" w:cs="宋体"/>
                <w:color w:val="auto"/>
                <w:sz w:val="18"/>
                <w:szCs w:val="18"/>
              </w:rPr>
              <w:t>）重点监管的危险化学品的安全措施</w:t>
            </w:r>
          </w:p>
        </w:tc>
        <w:tc>
          <w:tcPr>
            <w:tcW w:w="6638" w:type="dxa"/>
          </w:tcPr>
          <w:p>
            <w:pPr>
              <w:keepNext w:val="0"/>
              <w:keepLines w:val="0"/>
              <w:pageBreakBefore w:val="0"/>
              <w:kinsoku/>
              <w:wordWrap/>
              <w:overflowPunct/>
              <w:topLinePunct w:val="0"/>
              <w:autoSpaceDE/>
              <w:autoSpaceDN/>
              <w:bidi w:val="0"/>
              <w:adjustRightInd w:val="0"/>
              <w:snapToGrid w:val="0"/>
              <w:spacing w:line="240" w:lineRule="exact"/>
              <w:jc w:val="lef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1</w:t>
            </w:r>
            <w:r>
              <w:rPr>
                <w:rFonts w:hint="eastAsia" w:ascii="宋体" w:hAnsi="宋体" w:cs="宋体"/>
                <w:color w:val="auto"/>
                <w:sz w:val="18"/>
                <w:szCs w:val="18"/>
              </w:rPr>
              <w:t>）储罐等容器和设备应设置液位计，人孔量油口，并应装有带液位、温度远传记录和报警功能的安全装置。</w:t>
            </w:r>
          </w:p>
        </w:tc>
        <w:tc>
          <w:tcPr>
            <w:tcW w:w="1914" w:type="dxa"/>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油罐设有液位计和液位报警，信号接入站房</w:t>
            </w:r>
          </w:p>
        </w:tc>
        <w:tc>
          <w:tcPr>
            <w:tcW w:w="818" w:type="dxa"/>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jc w:val="lef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2</w:t>
            </w:r>
            <w:r>
              <w:rPr>
                <w:rFonts w:hint="eastAsia" w:ascii="宋体" w:hAnsi="宋体" w:cs="宋体"/>
                <w:color w:val="auto"/>
                <w:sz w:val="18"/>
                <w:szCs w:val="18"/>
              </w:rPr>
              <w:t>）避免与氧化剂接触。</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无氧化剂</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3</w:t>
            </w:r>
            <w:r>
              <w:rPr>
                <w:rFonts w:hint="eastAsia" w:ascii="宋体" w:hAnsi="宋体" w:cs="宋体"/>
                <w:color w:val="auto"/>
                <w:sz w:val="18"/>
                <w:szCs w:val="18"/>
              </w:rPr>
              <w:t>）生产、储存区域应设置安全警示标志。灌装时应控制流速，且有接地装置，防止静电积聚。搬运时要轻装轻卸，防止包装及容器损坏。配备相应品种和数量的消防器材及泄漏应急处理设备。</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设有安全警示标志</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4</w:t>
            </w:r>
            <w:r>
              <w:rPr>
                <w:rFonts w:hint="eastAsia" w:ascii="宋体" w:hAnsi="宋体" w:cs="宋体"/>
                <w:color w:val="auto"/>
                <w:sz w:val="18"/>
                <w:szCs w:val="18"/>
              </w:rPr>
              <w:t>）油罐及贮存桶装汽油附近要严禁烟火。禁止将汽油与其他易燃物放在一起。</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ascii="宋体" w:hAnsi="宋体" w:cs="宋体"/>
                <w:color w:val="auto"/>
                <w:sz w:val="18"/>
                <w:szCs w:val="18"/>
              </w:rPr>
              <w:t>汽油、柴油均单独储存</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5</w:t>
            </w:r>
            <w:r>
              <w:rPr>
                <w:rFonts w:hint="eastAsia" w:ascii="宋体" w:hAnsi="宋体" w:cs="宋体"/>
                <w:color w:val="auto"/>
                <w:sz w:val="18"/>
                <w:szCs w:val="18"/>
              </w:rPr>
              <w:t>）往油罐或油罐汽车装油时，输油管要插入油面以下或接近罐的底部，以减少油料的冲击和与空气的摩擦。沾油料的布、油棉纱头、油手套等不要放在油库、车库内，以免自燃。</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ascii="宋体" w:hAnsi="宋体" w:cs="宋体"/>
                <w:color w:val="auto"/>
                <w:sz w:val="18"/>
                <w:szCs w:val="18"/>
              </w:rPr>
              <w:t>未放置于油库、车库内</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6</w:t>
            </w:r>
            <w:r>
              <w:rPr>
                <w:rFonts w:hint="eastAsia" w:ascii="宋体" w:hAnsi="宋体" w:cs="宋体"/>
                <w:color w:val="auto"/>
                <w:sz w:val="18"/>
                <w:szCs w:val="18"/>
              </w:rPr>
              <w:t>）汽油油罐和贮存汽油区的上空，不应有电线通过。油罐、库房与电线的距离要为电杆长度的</w:t>
            </w:r>
            <w:r>
              <w:rPr>
                <w:rFonts w:ascii="宋体" w:hAnsi="宋体" w:cs="宋体"/>
                <w:color w:val="auto"/>
                <w:sz w:val="18"/>
                <w:szCs w:val="18"/>
              </w:rPr>
              <w:t xml:space="preserve">1.5 </w:t>
            </w:r>
            <w:r>
              <w:rPr>
                <w:rFonts w:hint="eastAsia" w:ascii="宋体" w:hAnsi="宋体" w:cs="宋体"/>
                <w:color w:val="auto"/>
                <w:sz w:val="18"/>
                <w:szCs w:val="18"/>
              </w:rPr>
              <w:t>倍以上。</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站内上空无</w:t>
            </w:r>
            <w:r>
              <w:rPr>
                <w:rFonts w:hint="eastAsia" w:ascii="宋体" w:hAnsi="宋体" w:cs="宋体"/>
                <w:color w:val="auto"/>
                <w:sz w:val="18"/>
                <w:szCs w:val="18"/>
              </w:rPr>
              <w:t>电线通过</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7</w:t>
            </w:r>
            <w:r>
              <w:rPr>
                <w:rFonts w:hint="eastAsia" w:ascii="宋体" w:hAnsi="宋体" w:cs="宋体"/>
                <w:color w:val="auto"/>
                <w:sz w:val="18"/>
                <w:szCs w:val="18"/>
              </w:rPr>
              <w:t>）注意仓库及操作场所的通风，使油蒸气容易逸散。</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油罐区为露天布置，加油区敞开布置</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8</w:t>
            </w:r>
            <w:r>
              <w:rPr>
                <w:rFonts w:hint="eastAsia" w:ascii="宋体" w:hAnsi="宋体" w:cs="宋体"/>
                <w:color w:val="auto"/>
                <w:sz w:val="18"/>
                <w:szCs w:val="18"/>
              </w:rPr>
              <w:t>）储存于阴凉、通风的库房。远离火种、热源。库房温度不宜超过</w:t>
            </w:r>
            <w:r>
              <w:rPr>
                <w:rFonts w:ascii="宋体" w:hAnsi="宋体" w:cs="宋体"/>
                <w:color w:val="auto"/>
                <w:sz w:val="18"/>
                <w:szCs w:val="18"/>
              </w:rPr>
              <w:t>30</w:t>
            </w:r>
            <w:r>
              <w:rPr>
                <w:rFonts w:hint="eastAsia" w:ascii="宋体" w:hAnsi="宋体" w:cs="宋体"/>
                <w:color w:val="auto"/>
                <w:sz w:val="18"/>
                <w:szCs w:val="18"/>
              </w:rPr>
              <w:t>℃。炎热季节应采取喷淋、通风等降温措施。</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油罐区为露天布置，油罐埋地设置</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hAnsi="宋体" w:cs="宋体"/>
                <w:color w:val="auto"/>
                <w:sz w:val="18"/>
                <w:szCs w:val="18"/>
              </w:rPr>
              <w:t>（</w:t>
            </w:r>
            <w:r>
              <w:rPr>
                <w:rFonts w:ascii="宋体" w:hAnsi="宋体" w:cs="宋体"/>
                <w:color w:val="auto"/>
                <w:sz w:val="18"/>
                <w:szCs w:val="18"/>
              </w:rPr>
              <w:t>9</w:t>
            </w:r>
            <w:r>
              <w:rPr>
                <w:rFonts w:hint="eastAsia" w:ascii="宋体" w:hAnsi="宋体" w:cs="宋体"/>
                <w:color w:val="auto"/>
                <w:sz w:val="18"/>
                <w:szCs w:val="18"/>
              </w:rPr>
              <w:t>）应与氧化剂分开存放，切忌混储。用储罐、铁桶等容器盛装，不要用塑料桶来存放汽油。盛装时，切不可充满，要留出必要的安全空间。</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无氧化剂</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 xml:space="preserve">4.1.3 </w:t>
            </w:r>
            <w:r>
              <w:rPr>
                <w:rFonts w:hint="eastAsia" w:cs="宋体"/>
                <w:b/>
                <w:bCs/>
                <w:color w:val="auto"/>
                <w:sz w:val="18"/>
                <w:szCs w:val="18"/>
              </w:rPr>
              <w:t>采取的其他工艺安全措施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color w:val="auto"/>
                <w:sz w:val="18"/>
                <w:szCs w:val="18"/>
              </w:rPr>
              <w:t>1</w:t>
            </w:r>
            <w:r>
              <w:rPr>
                <w:rFonts w:hint="eastAsia" w:ascii="宋体" w:hAnsi="宋体" w:cs="宋体"/>
                <w:color w:val="auto"/>
                <w:sz w:val="18"/>
                <w:szCs w:val="18"/>
              </w:rPr>
              <w:t>）在项目进出口分别设置入口指示牌、出口指示牌，设置车辆行驶标识，且设置了减速带。</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进出口未设置指示牌和减速带</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color w:val="auto"/>
                <w:sz w:val="18"/>
                <w:szCs w:val="18"/>
              </w:rPr>
              <w:t>2</w:t>
            </w:r>
            <w:r>
              <w:rPr>
                <w:rFonts w:hint="eastAsia" w:ascii="宋体" w:hAnsi="宋体" w:cs="宋体"/>
                <w:color w:val="auto"/>
                <w:sz w:val="18"/>
                <w:szCs w:val="18"/>
              </w:rPr>
              <w:t>）在加油区、油罐区等爆炸危险区域的醒目位置张贴严禁烟火、严禁拨打手机等安全标识。</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油罐区设有安全标识</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3</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color w:val="auto"/>
                <w:sz w:val="18"/>
                <w:szCs w:val="18"/>
              </w:rPr>
              <w:t>3</w:t>
            </w:r>
            <w:r>
              <w:rPr>
                <w:rFonts w:hint="eastAsia" w:ascii="宋体" w:hAnsi="宋体" w:cs="宋体"/>
                <w:color w:val="auto"/>
                <w:sz w:val="18"/>
                <w:szCs w:val="18"/>
              </w:rPr>
              <w:t>）各加油机上标识所加油品的种类，采用一机多油品的加油机时，加油机上的放枪位应有各油品的文字标识，加油枪应有颜色标识。</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设有标识</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4</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4</w:t>
            </w:r>
            <w:r>
              <w:rPr>
                <w:rFonts w:hint="eastAsia" w:cs="宋体"/>
                <w:color w:val="auto"/>
                <w:sz w:val="18"/>
                <w:szCs w:val="18"/>
              </w:rPr>
              <w:t>）输油管道不穿过站房等建、构筑物。</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输油管道从站房西敷设，未穿过站房</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5</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5</w:t>
            </w:r>
            <w:r>
              <w:rPr>
                <w:rFonts w:hint="eastAsia" w:cs="宋体"/>
                <w:color w:val="auto"/>
                <w:sz w:val="18"/>
                <w:szCs w:val="18"/>
              </w:rPr>
              <w:t>）加油站对加油设备泄漏检查和维修应由专业人员负责，不能私自处理。</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加油站制定有安全操作规程和安全管理制度，检维修作业由专人负责</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6</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6</w:t>
            </w:r>
            <w:r>
              <w:rPr>
                <w:rFonts w:hint="eastAsia" w:cs="宋体"/>
                <w:color w:val="auto"/>
                <w:sz w:val="18"/>
                <w:szCs w:val="18"/>
              </w:rPr>
              <w:t>）隔油池顶部设置盖板，防止油气的扩散。加油过程中产生油污由沟收集到隔油池，根据油和水不互溶且油密度小于水，利用隔板将油和水进行分离的。水相通过隔板下层河口经水封并排入站外市政污水管网，油相通过勺子舀入油桶并送到有资质的单位进行处理。隔油池需每月定期处理。</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隔油池顶部设有盖板</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b/>
                <w:bCs/>
                <w:color w:val="auto"/>
                <w:sz w:val="18"/>
                <w:szCs w:val="18"/>
              </w:rPr>
              <w:t xml:space="preserve">4.2 </w:t>
            </w:r>
            <w:r>
              <w:rPr>
                <w:rFonts w:hint="eastAsia" w:cs="宋体"/>
                <w:b/>
                <w:bCs/>
                <w:color w:val="auto"/>
                <w:sz w:val="18"/>
                <w:szCs w:val="18"/>
              </w:rPr>
              <w:t>项目选址及总图布置的安全设施设计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站区与周边建构筑物之间的距离能够满足《汽车加油加气站设计与施工规范》</w:t>
            </w:r>
            <w:r>
              <w:rPr>
                <w:color w:val="auto"/>
                <w:sz w:val="18"/>
                <w:szCs w:val="18"/>
              </w:rPr>
              <w:t>GB50156-2012</w:t>
            </w:r>
            <w:r>
              <w:rPr>
                <w:rFonts w:hint="eastAsia" w:cs="宋体"/>
                <w:color w:val="auto"/>
                <w:sz w:val="18"/>
                <w:szCs w:val="18"/>
              </w:rPr>
              <w:t>（</w:t>
            </w:r>
            <w:r>
              <w:rPr>
                <w:color w:val="auto"/>
                <w:sz w:val="18"/>
                <w:szCs w:val="18"/>
              </w:rPr>
              <w:t xml:space="preserve">2014 </w:t>
            </w:r>
            <w:r>
              <w:rPr>
                <w:rFonts w:hint="eastAsia" w:cs="宋体"/>
                <w:color w:val="auto"/>
                <w:sz w:val="18"/>
                <w:szCs w:val="18"/>
              </w:rPr>
              <w:t>版）和《建筑设计防火规范》</w:t>
            </w:r>
            <w:r>
              <w:rPr>
                <w:color w:val="auto"/>
                <w:sz w:val="18"/>
                <w:szCs w:val="18"/>
              </w:rPr>
              <w:t>GB50016-2014</w:t>
            </w:r>
            <w:r>
              <w:rPr>
                <w:rFonts w:hint="eastAsia" w:cs="宋体"/>
                <w:color w:val="auto"/>
                <w:sz w:val="18"/>
                <w:szCs w:val="18"/>
              </w:rPr>
              <w:t>（</w:t>
            </w:r>
            <w:r>
              <w:rPr>
                <w:color w:val="auto"/>
                <w:sz w:val="18"/>
                <w:szCs w:val="18"/>
              </w:rPr>
              <w:t>2018</w:t>
            </w:r>
            <w:r>
              <w:rPr>
                <w:rFonts w:hint="eastAsia" w:cs="宋体"/>
                <w:color w:val="auto"/>
                <w:sz w:val="18"/>
                <w:szCs w:val="18"/>
              </w:rPr>
              <w:t>年版）以及相关国家规范要求。</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站区与周边建构筑物之间的距离满足要求</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4.2.2</w:t>
            </w:r>
            <w:r>
              <w:rPr>
                <w:rFonts w:hint="eastAsia" w:cs="宋体"/>
                <w:b/>
                <w:bCs/>
                <w:color w:val="auto"/>
                <w:sz w:val="18"/>
                <w:szCs w:val="18"/>
              </w:rPr>
              <w:t>全厂及装置（设施）平面及竖向布置的主要安全考虑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1</w:t>
            </w:r>
            <w:r>
              <w:rPr>
                <w:rFonts w:hint="eastAsia" w:cs="宋体"/>
                <w:color w:val="auto"/>
                <w:sz w:val="18"/>
                <w:szCs w:val="18"/>
              </w:rPr>
              <w:t>）总平面布局所依据原则</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w:t>
            </w:r>
            <w:r>
              <w:rPr>
                <w:rFonts w:hint="eastAsia" w:cs="宋体"/>
                <w:color w:val="auto"/>
                <w:sz w:val="18"/>
                <w:szCs w:val="18"/>
              </w:rPr>
              <w:t>）功能区块分区明确，布置合理，便于经营、管理。</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分区明确，布置合理</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2</w:t>
            </w:r>
            <w:r>
              <w:rPr>
                <w:rFonts w:hint="eastAsia" w:cs="宋体"/>
                <w:color w:val="auto"/>
                <w:sz w:val="18"/>
                <w:szCs w:val="18"/>
              </w:rPr>
              <w:t>）依据《汽车加油加气站设计与施工规范》</w:t>
            </w:r>
            <w:r>
              <w:rPr>
                <w:color w:val="auto"/>
                <w:sz w:val="18"/>
                <w:szCs w:val="18"/>
              </w:rPr>
              <w:t>GB50156-2012</w:t>
            </w:r>
            <w:r>
              <w:rPr>
                <w:rFonts w:hint="eastAsia" w:cs="宋体"/>
                <w:color w:val="auto"/>
                <w:sz w:val="18"/>
                <w:szCs w:val="18"/>
              </w:rPr>
              <w:t>（</w:t>
            </w:r>
            <w:r>
              <w:rPr>
                <w:color w:val="auto"/>
                <w:sz w:val="18"/>
                <w:szCs w:val="18"/>
              </w:rPr>
              <w:t xml:space="preserve">2014 </w:t>
            </w:r>
            <w:r>
              <w:rPr>
                <w:rFonts w:hint="eastAsia" w:cs="宋体"/>
                <w:color w:val="auto"/>
                <w:sz w:val="18"/>
                <w:szCs w:val="18"/>
              </w:rPr>
              <w:t>版）第</w:t>
            </w:r>
            <w:r>
              <w:rPr>
                <w:color w:val="auto"/>
                <w:sz w:val="18"/>
                <w:szCs w:val="18"/>
              </w:rPr>
              <w:t>5</w:t>
            </w:r>
            <w:r>
              <w:rPr>
                <w:rFonts w:hint="eastAsia" w:cs="宋体"/>
                <w:color w:val="auto"/>
                <w:sz w:val="18"/>
                <w:szCs w:val="18"/>
              </w:rPr>
              <w:t>章进行布置。各建构筑物之间的安全间距满足规范要求。</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站内各建构筑物之间的安全间距满足规范要求</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3</w:t>
            </w:r>
            <w:r>
              <w:rPr>
                <w:rFonts w:hint="eastAsia" w:cs="宋体"/>
                <w:color w:val="auto"/>
                <w:sz w:val="18"/>
                <w:szCs w:val="18"/>
              </w:rPr>
              <w:t>）道路设计利用站区安全和消防。</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道路满足安全和消防要求，站区出入口均有标识</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2</w:t>
            </w:r>
            <w:r>
              <w:rPr>
                <w:rFonts w:hint="eastAsia" w:cs="宋体"/>
                <w:color w:val="auto"/>
                <w:sz w:val="18"/>
                <w:szCs w:val="18"/>
              </w:rPr>
              <w:t>）总平面布局</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w:t>
            </w:r>
            <w:r>
              <w:rPr>
                <w:rFonts w:hint="eastAsia" w:cs="宋体"/>
                <w:color w:val="auto"/>
                <w:sz w:val="18"/>
                <w:szCs w:val="18"/>
              </w:rPr>
              <w:t>）项目主要面向站区公路来往车辆进行加油服务，站区采用高</w:t>
            </w:r>
            <w:r>
              <w:rPr>
                <w:color w:val="auto"/>
                <w:sz w:val="18"/>
                <w:szCs w:val="18"/>
              </w:rPr>
              <w:t>2.2m</w:t>
            </w:r>
            <w:r>
              <w:rPr>
                <w:rFonts w:hint="eastAsia" w:cs="宋体"/>
                <w:color w:val="auto"/>
                <w:sz w:val="18"/>
                <w:szCs w:val="18"/>
              </w:rPr>
              <w:t>的实体围墙与周边设施安全隔离。</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站区设有</w:t>
            </w:r>
            <w:r>
              <w:rPr>
                <w:color w:val="auto"/>
                <w:sz w:val="18"/>
                <w:szCs w:val="18"/>
              </w:rPr>
              <w:t>2.2m</w:t>
            </w:r>
            <w:r>
              <w:rPr>
                <w:rFonts w:hint="eastAsia" w:cs="宋体"/>
                <w:color w:val="auto"/>
                <w:sz w:val="18"/>
                <w:szCs w:val="18"/>
              </w:rPr>
              <w:t>的实体围墙</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2</w:t>
            </w:r>
            <w:r>
              <w:rPr>
                <w:rFonts w:hint="eastAsia" w:cs="宋体"/>
                <w:color w:val="auto"/>
                <w:sz w:val="18"/>
                <w:szCs w:val="18"/>
              </w:rPr>
              <w:t>）根据项目现有地块的特点，加油区和站房设置在站区的中部，油罐区设置在站区西部。</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加油区和站房设置在站区的中部，油罐区设置在站区西部。</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hint="eastAsia" w:cs="宋体"/>
                <w:color w:val="auto"/>
                <w:sz w:val="18"/>
                <w:szCs w:val="18"/>
                <w:lang w:eastAsia="zh-CN"/>
              </w:rPr>
            </w:pPr>
            <w:r>
              <w:rPr>
                <w:rFonts w:hint="eastAsia" w:cs="宋体"/>
                <w:color w:val="auto"/>
                <w:sz w:val="18"/>
                <w:szCs w:val="18"/>
                <w:lang w:eastAsia="zh-CN"/>
              </w:rPr>
              <w:t>（</w:t>
            </w:r>
            <w:r>
              <w:rPr>
                <w:rFonts w:hint="eastAsia" w:cs="宋体"/>
                <w:color w:val="auto"/>
                <w:sz w:val="18"/>
                <w:szCs w:val="18"/>
                <w:lang w:val="en-US" w:eastAsia="zh-CN"/>
              </w:rPr>
              <w:t>3</w:t>
            </w:r>
            <w:r>
              <w:rPr>
                <w:rFonts w:hint="eastAsia" w:cs="宋体"/>
                <w:color w:val="auto"/>
                <w:sz w:val="18"/>
                <w:szCs w:val="18"/>
                <w:lang w:eastAsia="zh-CN"/>
              </w:rPr>
              <w:t>）加油站内设置汽车充电装置时，不应设置在爆炸危险区域内。</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hint="eastAsia" w:cs="宋体"/>
                <w:color w:val="auto"/>
                <w:sz w:val="18"/>
                <w:szCs w:val="18"/>
                <w:lang w:eastAsia="zh-CN"/>
              </w:rPr>
            </w:pPr>
            <w:r>
              <w:rPr>
                <w:rFonts w:hint="eastAsia" w:cs="宋体"/>
                <w:color w:val="auto"/>
                <w:sz w:val="18"/>
                <w:szCs w:val="18"/>
                <w:lang w:eastAsia="zh-CN"/>
              </w:rPr>
              <w:t>未设置汽车充电装置</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hint="eastAsia" w:cs="宋体"/>
                <w:color w:val="auto"/>
                <w:sz w:val="18"/>
                <w:szCs w:val="18"/>
                <w:lang w:eastAsia="zh-CN"/>
              </w:rPr>
            </w:pPr>
            <w:r>
              <w:rPr>
                <w:rFonts w:hint="eastAsia" w:cs="宋体"/>
                <w:color w:val="auto"/>
                <w:sz w:val="18"/>
                <w:szCs w:val="18"/>
                <w:lang w:eastAsia="zh-CN"/>
              </w:rPr>
              <w:t>未采纳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hint="eastAsia" w:eastAsia="宋体" w:cs="宋体"/>
                <w:color w:val="auto"/>
                <w:sz w:val="18"/>
                <w:szCs w:val="18"/>
                <w:lang w:eastAsia="zh-CN"/>
              </w:rPr>
            </w:pPr>
            <w:r>
              <w:rPr>
                <w:rFonts w:hint="eastAsia" w:cs="宋体"/>
                <w:color w:val="auto"/>
                <w:sz w:val="18"/>
                <w:szCs w:val="18"/>
                <w:lang w:eastAsia="zh-CN"/>
              </w:rPr>
              <w:t>（</w:t>
            </w:r>
            <w:r>
              <w:rPr>
                <w:rFonts w:hint="eastAsia" w:cs="宋体"/>
                <w:color w:val="auto"/>
                <w:sz w:val="18"/>
                <w:szCs w:val="18"/>
                <w:lang w:val="en-US" w:eastAsia="zh-CN"/>
              </w:rPr>
              <w:t>4</w:t>
            </w:r>
            <w:r>
              <w:rPr>
                <w:rFonts w:hint="eastAsia" w:cs="宋体"/>
                <w:color w:val="auto"/>
                <w:sz w:val="18"/>
                <w:szCs w:val="18"/>
                <w:lang w:eastAsia="zh-CN"/>
              </w:rPr>
              <w:t>）站房顶部设置光伏</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hint="eastAsia" w:eastAsia="宋体" w:cs="宋体"/>
                <w:color w:val="auto"/>
                <w:sz w:val="18"/>
                <w:szCs w:val="18"/>
                <w:lang w:eastAsia="zh-CN"/>
              </w:rPr>
            </w:pPr>
            <w:r>
              <w:rPr>
                <w:rFonts w:hint="eastAsia" w:cs="宋体"/>
                <w:color w:val="auto"/>
                <w:sz w:val="18"/>
                <w:szCs w:val="18"/>
                <w:lang w:eastAsia="zh-CN"/>
              </w:rPr>
              <w:t>未设置光伏板</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hint="eastAsia" w:eastAsia="宋体" w:cs="宋体"/>
                <w:color w:val="auto"/>
                <w:sz w:val="18"/>
                <w:szCs w:val="18"/>
                <w:lang w:eastAsia="zh-CN"/>
              </w:rPr>
            </w:pPr>
            <w:r>
              <w:rPr>
                <w:rFonts w:hint="eastAsia" w:cs="宋体"/>
                <w:color w:val="auto"/>
                <w:sz w:val="18"/>
                <w:szCs w:val="18"/>
                <w:lang w:eastAsia="zh-CN"/>
              </w:rPr>
              <w:t>未采纳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3</w:t>
            </w:r>
            <w:r>
              <w:rPr>
                <w:rFonts w:hint="eastAsia" w:cs="宋体"/>
                <w:color w:val="auto"/>
                <w:sz w:val="18"/>
                <w:szCs w:val="18"/>
              </w:rPr>
              <w:t>）竖向设计</w:t>
            </w:r>
          </w:p>
        </w:tc>
        <w:tc>
          <w:tcPr>
            <w:tcW w:w="6638" w:type="dxa"/>
          </w:tcPr>
          <w:p>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cs="Times New Roman"/>
                <w:color w:val="auto"/>
                <w:sz w:val="18"/>
                <w:szCs w:val="18"/>
              </w:rPr>
            </w:pPr>
            <w:r>
              <w:rPr>
                <w:rFonts w:hint="eastAsia" w:cs="宋体"/>
                <w:color w:val="auto"/>
                <w:sz w:val="18"/>
                <w:szCs w:val="18"/>
              </w:rPr>
              <w:t>（</w:t>
            </w:r>
            <w:r>
              <w:rPr>
                <w:color w:val="auto"/>
                <w:sz w:val="18"/>
                <w:szCs w:val="18"/>
              </w:rPr>
              <w:t>1</w:t>
            </w:r>
            <w:r>
              <w:rPr>
                <w:rFonts w:hint="eastAsia" w:cs="宋体"/>
                <w:color w:val="auto"/>
                <w:sz w:val="18"/>
                <w:szCs w:val="18"/>
              </w:rPr>
              <w:t>）本项目竖向设计采用平坡式连惯单坡设计，站内地坪</w:t>
            </w:r>
            <w:r>
              <w:rPr>
                <w:color w:val="auto"/>
                <w:sz w:val="18"/>
                <w:szCs w:val="18"/>
              </w:rPr>
              <w:t>0.5%</w:t>
            </w:r>
            <w:r>
              <w:rPr>
                <w:rFonts w:hint="eastAsia" w:cs="宋体"/>
                <w:color w:val="auto"/>
                <w:sz w:val="18"/>
                <w:szCs w:val="18"/>
              </w:rPr>
              <w:t>坡向道路进出口。生活污水经站区内化粪池处理后排入污水管网，雨水由雨水管网排出站外。</w:t>
            </w:r>
          </w:p>
        </w:tc>
        <w:tc>
          <w:tcPr>
            <w:tcW w:w="1914" w:type="dxa"/>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站内地坪</w:t>
            </w:r>
            <w:r>
              <w:rPr>
                <w:color w:val="auto"/>
                <w:sz w:val="18"/>
                <w:szCs w:val="18"/>
              </w:rPr>
              <w:t>0.5%</w:t>
            </w:r>
            <w:r>
              <w:rPr>
                <w:rFonts w:hint="eastAsia" w:cs="宋体"/>
                <w:color w:val="auto"/>
                <w:sz w:val="18"/>
                <w:szCs w:val="18"/>
              </w:rPr>
              <w:t>坡向道路进出口，洗车污水排入污水管道。生活污水经化粪池处理后排入站外污水管道</w:t>
            </w:r>
          </w:p>
        </w:tc>
        <w:tc>
          <w:tcPr>
            <w:tcW w:w="818" w:type="dxa"/>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2</w:t>
            </w:r>
            <w:r>
              <w:rPr>
                <w:rFonts w:hint="eastAsia" w:cs="宋体"/>
                <w:color w:val="auto"/>
                <w:sz w:val="18"/>
                <w:szCs w:val="18"/>
              </w:rPr>
              <w:t>）本项目站区道路路面设计为砼路面，铺砌场设计荷载为汽</w:t>
            </w:r>
            <w:r>
              <w:rPr>
                <w:color w:val="auto"/>
                <w:sz w:val="18"/>
                <w:szCs w:val="18"/>
              </w:rPr>
              <w:t>-10</w:t>
            </w:r>
            <w:r>
              <w:rPr>
                <w:rFonts w:hint="eastAsia" w:cs="宋体"/>
                <w:color w:val="auto"/>
                <w:sz w:val="18"/>
                <w:szCs w:val="18"/>
              </w:rPr>
              <w:t>级，砼结构层厚为</w:t>
            </w:r>
            <w:r>
              <w:rPr>
                <w:color w:val="auto"/>
                <w:sz w:val="18"/>
                <w:szCs w:val="18"/>
              </w:rPr>
              <w:t>24cm</w:t>
            </w:r>
            <w:r>
              <w:rPr>
                <w:rFonts w:hint="eastAsia"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站区道路路面已做硬化，为砼路面</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4.2.4</w:t>
            </w:r>
            <w:r>
              <w:rPr>
                <w:rFonts w:hint="eastAsia" w:cs="宋体"/>
                <w:b/>
                <w:bCs/>
                <w:color w:val="auto"/>
                <w:sz w:val="18"/>
                <w:szCs w:val="18"/>
              </w:rPr>
              <w:t>站区消防通道、安全疏散通道及出口的设置情况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numPr>
                <w:ilvl w:val="0"/>
                <w:numId w:val="4"/>
              </w:numPr>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站区设置两排加油岛，加油岛与站房之间宽度为</w:t>
            </w:r>
            <w:r>
              <w:rPr>
                <w:color w:val="auto"/>
                <w:sz w:val="18"/>
                <w:szCs w:val="18"/>
              </w:rPr>
              <w:t>10m</w:t>
            </w:r>
            <w:r>
              <w:rPr>
                <w:rFonts w:hint="eastAsia" w:cs="宋体"/>
                <w:color w:val="auto"/>
                <w:sz w:val="18"/>
                <w:szCs w:val="18"/>
              </w:rPr>
              <w:t>，满足双车道要求；加油岛与站房之间宽度</w:t>
            </w:r>
            <w:r>
              <w:rPr>
                <w:color w:val="auto"/>
                <w:sz w:val="18"/>
                <w:szCs w:val="18"/>
              </w:rPr>
              <w:t>7m</w:t>
            </w:r>
            <w:r>
              <w:rPr>
                <w:rFonts w:hint="eastAsia" w:cs="宋体"/>
                <w:color w:val="auto"/>
                <w:sz w:val="18"/>
                <w:szCs w:val="18"/>
              </w:rPr>
              <w:t>，满足单车道通行要求。</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加油岛与站房之间宽度为</w:t>
            </w:r>
            <w:r>
              <w:rPr>
                <w:color w:val="auto"/>
                <w:sz w:val="18"/>
                <w:szCs w:val="18"/>
              </w:rPr>
              <w:t>10m</w:t>
            </w:r>
            <w:r>
              <w:rPr>
                <w:rFonts w:hint="eastAsia" w:cs="宋体"/>
                <w:color w:val="auto"/>
                <w:sz w:val="18"/>
                <w:szCs w:val="18"/>
              </w:rPr>
              <w:t>，加油岛与站房之间宽度</w:t>
            </w:r>
            <w:r>
              <w:rPr>
                <w:color w:val="auto"/>
                <w:sz w:val="18"/>
                <w:szCs w:val="18"/>
              </w:rPr>
              <w:t>7m</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2</w:t>
            </w:r>
            <w:r>
              <w:rPr>
                <w:rFonts w:hint="eastAsia" w:cs="宋体"/>
                <w:color w:val="auto"/>
                <w:sz w:val="18"/>
                <w:szCs w:val="18"/>
              </w:rPr>
              <w:t>）站内道路转弯半径设置为</w:t>
            </w:r>
            <w:r>
              <w:rPr>
                <w:color w:val="auto"/>
                <w:sz w:val="18"/>
                <w:szCs w:val="18"/>
              </w:rPr>
              <w:t>12m</w:t>
            </w:r>
            <w:r>
              <w:rPr>
                <w:rFonts w:hint="eastAsia" w:cs="宋体"/>
                <w:color w:val="auto"/>
                <w:sz w:val="18"/>
                <w:szCs w:val="18"/>
              </w:rPr>
              <w:t>，能满足消防车辆的通行要求。</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s="宋体"/>
                <w:color w:val="auto"/>
                <w:sz w:val="18"/>
                <w:szCs w:val="18"/>
              </w:rPr>
              <w:t>站内道路转弯半径为</w:t>
            </w:r>
            <w:r>
              <w:rPr>
                <w:color w:val="auto"/>
                <w:sz w:val="18"/>
                <w:szCs w:val="18"/>
              </w:rPr>
              <w:t>12m</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3</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3</w:t>
            </w:r>
            <w:r>
              <w:rPr>
                <w:rFonts w:hint="eastAsia" w:cs="宋体"/>
                <w:color w:val="auto"/>
                <w:sz w:val="18"/>
                <w:szCs w:val="18"/>
              </w:rPr>
              <w:t>）站区内路面采用不发火地面。</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站内路面为不发火地面</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4.2.5</w:t>
            </w:r>
            <w:r>
              <w:rPr>
                <w:rFonts w:hint="eastAsia" w:cs="宋体"/>
                <w:b/>
                <w:bCs/>
                <w:color w:val="auto"/>
                <w:sz w:val="18"/>
                <w:szCs w:val="18"/>
              </w:rPr>
              <w:t>采取的其他安全措施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1</w:t>
            </w:r>
            <w:r>
              <w:rPr>
                <w:rFonts w:hint="eastAsia" w:cs="宋体"/>
                <w:color w:val="auto"/>
                <w:sz w:val="18"/>
                <w:szCs w:val="18"/>
              </w:rPr>
              <w:t>）站区出入口、站内转变路段设置限速标牌和警示标牌。机动车在进入加油站加油时需熄火，加完之后再缓慢开出站区，限速</w:t>
            </w:r>
            <w:r>
              <w:rPr>
                <w:color w:val="auto"/>
                <w:sz w:val="18"/>
                <w:szCs w:val="18"/>
              </w:rPr>
              <w:t xml:space="preserve"> 5km/h</w:t>
            </w:r>
            <w:r>
              <w:rPr>
                <w:rFonts w:hint="eastAsia"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站内出入口设有限速标牌和警示标牌</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2</w:t>
            </w:r>
            <w:r>
              <w:rPr>
                <w:rFonts w:hint="eastAsia" w:cs="宋体"/>
                <w:color w:val="auto"/>
                <w:sz w:val="18"/>
                <w:szCs w:val="18"/>
              </w:rPr>
              <w:t>）罩棚边缘与加油机的平面距离为</w:t>
            </w:r>
            <w:r>
              <w:rPr>
                <w:color w:val="auto"/>
                <w:sz w:val="18"/>
                <w:szCs w:val="18"/>
              </w:rPr>
              <w:t>4.5m</w:t>
            </w:r>
            <w:r>
              <w:rPr>
                <w:rFonts w:hint="eastAsia"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s="宋体"/>
                <w:color w:val="auto"/>
                <w:sz w:val="18"/>
                <w:szCs w:val="18"/>
              </w:rPr>
              <w:t>罩棚边缘距加油机的平面距离为</w:t>
            </w:r>
            <w:r>
              <w:rPr>
                <w:color w:val="auto"/>
                <w:sz w:val="18"/>
                <w:szCs w:val="18"/>
              </w:rPr>
              <w:t>4.5m</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3</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3</w:t>
            </w:r>
            <w:r>
              <w:rPr>
                <w:rFonts w:hint="eastAsia" w:cs="宋体"/>
                <w:color w:val="auto"/>
                <w:sz w:val="18"/>
                <w:szCs w:val="18"/>
              </w:rPr>
              <w:t>）加油岛高出站内地坪</w:t>
            </w:r>
            <w:r>
              <w:rPr>
                <w:color w:val="auto"/>
                <w:sz w:val="18"/>
                <w:szCs w:val="18"/>
              </w:rPr>
              <w:t>0.20m</w:t>
            </w:r>
            <w:r>
              <w:rPr>
                <w:rFonts w:hint="eastAsia" w:cs="宋体"/>
                <w:color w:val="auto"/>
                <w:sz w:val="18"/>
                <w:szCs w:val="18"/>
              </w:rPr>
              <w:t>，宽度为</w:t>
            </w:r>
            <w:r>
              <w:rPr>
                <w:color w:val="auto"/>
                <w:sz w:val="18"/>
                <w:szCs w:val="18"/>
              </w:rPr>
              <w:t>1.30m</w:t>
            </w:r>
            <w:r>
              <w:rPr>
                <w:rFonts w:hint="eastAsia"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rFonts w:hint="eastAsia" w:cs="宋体"/>
                <w:color w:val="auto"/>
                <w:sz w:val="18"/>
                <w:szCs w:val="18"/>
              </w:rPr>
              <w:t>加油岛高出地坪</w:t>
            </w:r>
            <w:r>
              <w:rPr>
                <w:color w:val="auto"/>
                <w:sz w:val="18"/>
                <w:szCs w:val="18"/>
              </w:rPr>
              <w:t>0.20m</w:t>
            </w:r>
            <w:r>
              <w:rPr>
                <w:rFonts w:hint="eastAsia" w:cs="宋体"/>
                <w:color w:val="auto"/>
                <w:sz w:val="18"/>
                <w:szCs w:val="18"/>
              </w:rPr>
              <w:t>，宽度为</w:t>
            </w:r>
            <w:r>
              <w:rPr>
                <w:color w:val="auto"/>
                <w:sz w:val="18"/>
                <w:szCs w:val="18"/>
              </w:rPr>
              <w:t>1.30m</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4</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4</w:t>
            </w:r>
            <w:r>
              <w:rPr>
                <w:rFonts w:hint="eastAsia" w:cs="宋体"/>
                <w:color w:val="auto"/>
                <w:sz w:val="18"/>
                <w:szCs w:val="18"/>
              </w:rPr>
              <w:t>）加油机前后两侧设置</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加油机前后两侧设有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5</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5</w:t>
            </w:r>
            <w:r>
              <w:rPr>
                <w:rFonts w:hint="eastAsia" w:cs="宋体"/>
                <w:color w:val="auto"/>
                <w:sz w:val="18"/>
                <w:szCs w:val="18"/>
              </w:rPr>
              <w:t>）加油站内无地下室，加油作业区内未种植油性植物。</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站内无地下室，加油作业区内无油性植物</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6</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6</w:t>
            </w:r>
            <w:r>
              <w:rPr>
                <w:rFonts w:hint="eastAsia" w:cs="宋体"/>
                <w:color w:val="auto"/>
                <w:sz w:val="18"/>
                <w:szCs w:val="18"/>
              </w:rPr>
              <w:t>）油罐区与站内车道之间采用高度</w:t>
            </w:r>
            <w:r>
              <w:rPr>
                <w:color w:val="auto"/>
                <w:sz w:val="18"/>
                <w:szCs w:val="18"/>
              </w:rPr>
              <w:t>0.6m</w:t>
            </w:r>
            <w:r>
              <w:rPr>
                <w:rFonts w:hint="eastAsia" w:cs="宋体"/>
                <w:color w:val="auto"/>
                <w:sz w:val="18"/>
                <w:szCs w:val="18"/>
              </w:rPr>
              <w:t>防护性围堰围护。</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油罐区设有高</w:t>
            </w:r>
            <w:r>
              <w:rPr>
                <w:color w:val="auto"/>
                <w:sz w:val="18"/>
                <w:szCs w:val="18"/>
              </w:rPr>
              <w:t>0.6m</w:t>
            </w:r>
            <w:r>
              <w:rPr>
                <w:rFonts w:hint="eastAsia" w:cs="宋体"/>
                <w:color w:val="auto"/>
                <w:sz w:val="18"/>
                <w:szCs w:val="18"/>
              </w:rPr>
              <w:t>围堰</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b/>
                <w:bCs/>
                <w:color w:val="auto"/>
                <w:sz w:val="18"/>
                <w:szCs w:val="18"/>
              </w:rPr>
              <w:t xml:space="preserve">4.3 </w:t>
            </w:r>
            <w:r>
              <w:rPr>
                <w:rFonts w:hint="eastAsia" w:ascii="宋体" w:hAnsi="宋体" w:cs="宋体"/>
                <w:b/>
                <w:bCs/>
                <w:color w:val="auto"/>
                <w:sz w:val="18"/>
                <w:szCs w:val="18"/>
              </w:rPr>
              <w:t>设备及管道的安全措施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4.3.1</w:t>
            </w:r>
            <w:r>
              <w:rPr>
                <w:rFonts w:hint="eastAsia" w:cs="宋体"/>
                <w:b/>
                <w:bCs/>
                <w:color w:val="auto"/>
                <w:sz w:val="18"/>
                <w:szCs w:val="18"/>
              </w:rPr>
              <w:t>压力容器、设备及管道设计与国家法规及标准的符合性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w:t>
            </w:r>
            <w:r>
              <w:rPr>
                <w:color w:val="auto"/>
                <w:sz w:val="18"/>
                <w:szCs w:val="18"/>
              </w:rPr>
              <w:t>1</w:t>
            </w:r>
            <w:r>
              <w:rPr>
                <w:rFonts w:hint="eastAsia" w:cs="宋体"/>
                <w:color w:val="auto"/>
                <w:sz w:val="18"/>
                <w:szCs w:val="18"/>
              </w:rPr>
              <w:t>）无缝钢管执行《输送流体用无缝钢管》</w:t>
            </w:r>
            <w:r>
              <w:rPr>
                <w:color w:val="auto"/>
                <w:sz w:val="18"/>
                <w:szCs w:val="18"/>
              </w:rPr>
              <w:t>GB/T8163-2018</w:t>
            </w:r>
            <w:r>
              <w:rPr>
                <w:rFonts w:hint="eastAsia" w:cs="宋体"/>
                <w:color w:val="auto"/>
                <w:sz w:val="18"/>
                <w:szCs w:val="18"/>
              </w:rPr>
              <w:t>，油罐本身为双层罐，外层为增强玻璃钢材质，内层为</w:t>
            </w:r>
            <w:r>
              <w:rPr>
                <w:color w:val="auto"/>
                <w:sz w:val="18"/>
                <w:szCs w:val="18"/>
              </w:rPr>
              <w:t>Q235B</w:t>
            </w:r>
            <w:r>
              <w:rPr>
                <w:rFonts w:hint="eastAsia" w:cs="宋体"/>
                <w:color w:val="auto"/>
                <w:sz w:val="18"/>
                <w:szCs w:val="18"/>
              </w:rPr>
              <w:t>材质，本身具备防腐功能，因此油罐本身不需要另作防腐。防腐设备和管道的绝热、防腐等设计执行《工业设备及管道绝热工程施工规范》（</w:t>
            </w:r>
            <w:r>
              <w:rPr>
                <w:color w:val="auto"/>
                <w:sz w:val="18"/>
                <w:szCs w:val="18"/>
              </w:rPr>
              <w:t>GB50126-2008</w:t>
            </w:r>
            <w:r>
              <w:rPr>
                <w:rFonts w:hint="eastAsia" w:cs="宋体"/>
                <w:color w:val="auto"/>
                <w:sz w:val="18"/>
                <w:szCs w:val="18"/>
              </w:rPr>
              <w:t>）、《化工装置管道材料设计规定》</w:t>
            </w:r>
            <w:r>
              <w:rPr>
                <w:color w:val="auto"/>
                <w:sz w:val="18"/>
                <w:szCs w:val="18"/>
              </w:rPr>
              <w:t xml:space="preserve"> </w:t>
            </w:r>
            <w:r>
              <w:rPr>
                <w:rFonts w:hint="eastAsia" w:cs="宋体"/>
                <w:color w:val="auto"/>
                <w:sz w:val="18"/>
                <w:szCs w:val="18"/>
              </w:rPr>
              <w:t>（</w:t>
            </w:r>
            <w:r>
              <w:rPr>
                <w:color w:val="auto"/>
                <w:sz w:val="18"/>
                <w:szCs w:val="18"/>
              </w:rPr>
              <w:t>HG/T20646-1999</w:t>
            </w:r>
            <w:r>
              <w:rPr>
                <w:rFonts w:hint="eastAsia" w:cs="宋体"/>
                <w:color w:val="auto"/>
                <w:sz w:val="18"/>
                <w:szCs w:val="18"/>
              </w:rPr>
              <w:t>）、</w:t>
            </w:r>
            <w:r>
              <w:rPr>
                <w:color w:val="auto"/>
                <w:sz w:val="18"/>
                <w:szCs w:val="18"/>
              </w:rPr>
              <w:t xml:space="preserve"> </w:t>
            </w:r>
            <w:r>
              <w:rPr>
                <w:rFonts w:hint="eastAsia" w:cs="宋体"/>
                <w:color w:val="auto"/>
                <w:sz w:val="18"/>
                <w:szCs w:val="18"/>
              </w:rPr>
              <w:t>《工业金属管道设计规范》</w:t>
            </w:r>
            <w:r>
              <w:rPr>
                <w:color w:val="auto"/>
                <w:sz w:val="18"/>
                <w:szCs w:val="18"/>
              </w:rPr>
              <w:t>[GB 50316-2000</w:t>
            </w:r>
            <w:r>
              <w:rPr>
                <w:rFonts w:hint="eastAsia" w:cs="宋体"/>
                <w:color w:val="auto"/>
                <w:sz w:val="18"/>
                <w:szCs w:val="18"/>
              </w:rPr>
              <w:t>（</w:t>
            </w:r>
            <w:r>
              <w:rPr>
                <w:color w:val="auto"/>
                <w:sz w:val="18"/>
                <w:szCs w:val="18"/>
              </w:rPr>
              <w:t>2008</w:t>
            </w:r>
            <w:r>
              <w:rPr>
                <w:rFonts w:hint="eastAsia" w:cs="宋体"/>
                <w:color w:val="auto"/>
                <w:sz w:val="18"/>
                <w:szCs w:val="18"/>
              </w:rPr>
              <w:t>版）</w:t>
            </w:r>
            <w:r>
              <w:rPr>
                <w:color w:val="auto"/>
                <w:sz w:val="18"/>
                <w:szCs w:val="18"/>
              </w:rPr>
              <w:t>]</w:t>
            </w:r>
            <w:r>
              <w:rPr>
                <w:rFonts w:hint="eastAsia" w:cs="宋体"/>
                <w:color w:val="auto"/>
                <w:sz w:val="18"/>
                <w:szCs w:val="18"/>
              </w:rPr>
              <w:t>、《化工设备、管道外防腐设计规定》（</w:t>
            </w:r>
            <w:r>
              <w:rPr>
                <w:color w:val="auto"/>
                <w:sz w:val="18"/>
                <w:szCs w:val="18"/>
              </w:rPr>
              <w:t>HG/T20679-2014</w:t>
            </w:r>
            <w:r>
              <w:rPr>
                <w:rFonts w:hint="eastAsia"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无缝钢管、油罐的均有防腐措施</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cs="宋体"/>
                <w:color w:val="auto"/>
                <w:sz w:val="18"/>
                <w:szCs w:val="18"/>
              </w:rPr>
              <w:t>（</w:t>
            </w:r>
            <w:r>
              <w:rPr>
                <w:color w:val="auto"/>
                <w:sz w:val="18"/>
                <w:szCs w:val="18"/>
              </w:rPr>
              <w:t>3</w:t>
            </w:r>
            <w:r>
              <w:rPr>
                <w:rFonts w:hint="eastAsia" w:ascii="宋体" w:hAnsi="宋体" w:cs="宋体"/>
                <w:color w:val="auto"/>
                <w:sz w:val="18"/>
                <w:szCs w:val="18"/>
              </w:rPr>
              <w:t>）工艺金属管道的施工应遵循国家有关规范《工业金属管道工程施工规范》（</w:t>
            </w:r>
            <w:r>
              <w:rPr>
                <w:rFonts w:ascii="宋体" w:hAnsi="宋体" w:cs="宋体"/>
                <w:color w:val="auto"/>
                <w:sz w:val="18"/>
                <w:szCs w:val="18"/>
              </w:rPr>
              <w:t>GB50235-2010</w:t>
            </w:r>
            <w:r>
              <w:rPr>
                <w:rFonts w:hint="eastAsia" w:ascii="宋体" w:hAnsi="宋体" w:cs="宋体"/>
                <w:color w:val="auto"/>
                <w:sz w:val="18"/>
                <w:szCs w:val="18"/>
              </w:rPr>
              <w:t>）和《工业金属管道工程施工质量验收规范》（</w:t>
            </w:r>
            <w:r>
              <w:rPr>
                <w:rFonts w:ascii="宋体" w:hAnsi="宋体" w:cs="宋体"/>
                <w:color w:val="auto"/>
                <w:sz w:val="18"/>
                <w:szCs w:val="18"/>
              </w:rPr>
              <w:t>GB50184-2011</w:t>
            </w:r>
            <w:r>
              <w:rPr>
                <w:rFonts w:hint="eastAsia" w:ascii="宋体" w:hAnsi="宋体" w:cs="宋体"/>
                <w:color w:val="auto"/>
                <w:sz w:val="18"/>
                <w:szCs w:val="18"/>
              </w:rPr>
              <w:t>），对管道安装材料进行外观内部检查，验收合格后方可使用。</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ascii="宋体" w:hAnsi="宋体" w:cs="宋体"/>
                <w:color w:val="auto"/>
                <w:sz w:val="18"/>
                <w:szCs w:val="18"/>
              </w:rPr>
              <w:t>复合管道按要求施工</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4.3.2</w:t>
            </w:r>
            <w:r>
              <w:rPr>
                <w:rFonts w:hint="eastAsia" w:cs="宋体"/>
                <w:b/>
                <w:bCs/>
                <w:color w:val="auto"/>
                <w:sz w:val="18"/>
                <w:szCs w:val="18"/>
              </w:rPr>
              <w:t>主要设备、管道材料的选择和防护措施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1</w:t>
            </w:r>
            <w:r>
              <w:rPr>
                <w:rFonts w:hint="eastAsia" w:cs="宋体"/>
                <w:color w:val="auto"/>
                <w:sz w:val="18"/>
                <w:szCs w:val="18"/>
              </w:rPr>
              <w:t>）埋地油罐依据《汽车加油加气站设计与施工规范》</w:t>
            </w:r>
            <w:r>
              <w:rPr>
                <w:color w:val="auto"/>
                <w:sz w:val="18"/>
                <w:szCs w:val="18"/>
              </w:rPr>
              <w:t xml:space="preserve">GB50156-2012 </w:t>
            </w:r>
            <w:r>
              <w:rPr>
                <w:rFonts w:hint="eastAsia" w:cs="宋体"/>
                <w:color w:val="auto"/>
                <w:sz w:val="18"/>
                <w:szCs w:val="18"/>
              </w:rPr>
              <w:t>（</w:t>
            </w:r>
            <w:r>
              <w:rPr>
                <w:color w:val="auto"/>
                <w:sz w:val="18"/>
                <w:szCs w:val="18"/>
              </w:rPr>
              <w:t>2014</w:t>
            </w:r>
            <w:r>
              <w:rPr>
                <w:rFonts w:hint="eastAsia" w:cs="宋体"/>
                <w:color w:val="auto"/>
                <w:sz w:val="18"/>
                <w:szCs w:val="18"/>
              </w:rPr>
              <w:t>版、《钢制常压储罐</w:t>
            </w:r>
            <w:r>
              <w:rPr>
                <w:color w:val="auto"/>
                <w:sz w:val="18"/>
                <w:szCs w:val="18"/>
              </w:rPr>
              <w:t xml:space="preserve"> </w:t>
            </w:r>
            <w:r>
              <w:rPr>
                <w:rFonts w:hint="eastAsia" w:cs="宋体"/>
                <w:color w:val="auto"/>
                <w:sz w:val="18"/>
                <w:szCs w:val="18"/>
              </w:rPr>
              <w:t>第一部分：储存对水有污染的易燃和不易燃液体的埋地卧式圆筒形单层和双层储罐》</w:t>
            </w:r>
            <w:r>
              <w:rPr>
                <w:color w:val="auto"/>
                <w:sz w:val="18"/>
                <w:szCs w:val="18"/>
              </w:rPr>
              <w:t xml:space="preserve">AQ3020-2008 </w:t>
            </w:r>
            <w:r>
              <w:rPr>
                <w:rFonts w:hint="eastAsia" w:cs="宋体"/>
                <w:color w:val="auto"/>
                <w:sz w:val="18"/>
                <w:szCs w:val="18"/>
              </w:rPr>
              <w:t>的有关规定执行。</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埋地油罐符合标准规范要求</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2</w:t>
            </w:r>
            <w:r>
              <w:rPr>
                <w:rFonts w:hint="eastAsia" w:cs="宋体"/>
                <w:color w:val="auto"/>
                <w:sz w:val="18"/>
                <w:szCs w:val="18"/>
              </w:rPr>
              <w:t>）无缝钢管的采用、设计依据《输送流体用无缝钢管》</w:t>
            </w:r>
            <w:r>
              <w:rPr>
                <w:color w:val="auto"/>
                <w:sz w:val="18"/>
                <w:szCs w:val="18"/>
              </w:rPr>
              <w:t>GB/T8163-2018</w:t>
            </w:r>
            <w:r>
              <w:rPr>
                <w:rFonts w:hint="eastAsia"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无缝钢管符合标准规范要求</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3</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3</w:t>
            </w:r>
            <w:r>
              <w:rPr>
                <w:rFonts w:hint="eastAsia" w:cs="宋体"/>
                <w:color w:val="auto"/>
                <w:sz w:val="18"/>
                <w:szCs w:val="18"/>
              </w:rPr>
              <w:t>）汽油贮罐贮罐、加油机等选择相应的防腐材质和防腐涂料，油罐采用喷砂除锈，除锈等级达到</w:t>
            </w:r>
            <w:r>
              <w:rPr>
                <w:color w:val="auto"/>
                <w:sz w:val="18"/>
                <w:szCs w:val="18"/>
              </w:rPr>
              <w:t>Sa2.5</w:t>
            </w:r>
            <w:r>
              <w:rPr>
                <w:rFonts w:hint="eastAsia" w:cs="宋体"/>
                <w:color w:val="auto"/>
                <w:sz w:val="18"/>
                <w:szCs w:val="18"/>
              </w:rPr>
              <w:t>，使用加强级环氧煤沥青漆防腐。涂层结构为：底漆</w:t>
            </w:r>
            <w:r>
              <w:rPr>
                <w:color w:val="auto"/>
                <w:sz w:val="18"/>
                <w:szCs w:val="18"/>
              </w:rPr>
              <w:t>-</w:t>
            </w:r>
            <w:r>
              <w:rPr>
                <w:rFonts w:hint="eastAsia" w:cs="宋体"/>
                <w:color w:val="auto"/>
                <w:sz w:val="18"/>
                <w:szCs w:val="18"/>
              </w:rPr>
              <w:t>面漆</w:t>
            </w:r>
            <w:r>
              <w:rPr>
                <w:color w:val="auto"/>
                <w:sz w:val="18"/>
                <w:szCs w:val="18"/>
              </w:rPr>
              <w:t>-</w:t>
            </w:r>
            <w:r>
              <w:rPr>
                <w:rFonts w:hint="eastAsia" w:cs="宋体"/>
                <w:color w:val="auto"/>
                <w:sz w:val="18"/>
                <w:szCs w:val="18"/>
              </w:rPr>
              <w:t>玻璃布</w:t>
            </w:r>
            <w:r>
              <w:rPr>
                <w:color w:val="auto"/>
                <w:sz w:val="18"/>
                <w:szCs w:val="18"/>
              </w:rPr>
              <w:t>-</w:t>
            </w:r>
            <w:r>
              <w:rPr>
                <w:rFonts w:hint="eastAsia" w:cs="宋体"/>
                <w:color w:val="auto"/>
                <w:sz w:val="18"/>
                <w:szCs w:val="18"/>
              </w:rPr>
              <w:t>面漆</w:t>
            </w:r>
            <w:r>
              <w:rPr>
                <w:color w:val="auto"/>
                <w:sz w:val="18"/>
                <w:szCs w:val="18"/>
              </w:rPr>
              <w:t>-</w:t>
            </w:r>
            <w:r>
              <w:rPr>
                <w:rFonts w:hint="eastAsia" w:cs="宋体"/>
                <w:color w:val="auto"/>
                <w:sz w:val="18"/>
                <w:szCs w:val="18"/>
              </w:rPr>
              <w:t>玻璃布</w:t>
            </w:r>
            <w:r>
              <w:rPr>
                <w:color w:val="auto"/>
                <w:sz w:val="18"/>
                <w:szCs w:val="18"/>
              </w:rPr>
              <w:t>-</w:t>
            </w:r>
            <w:r>
              <w:rPr>
                <w:rFonts w:hint="eastAsia" w:cs="宋体"/>
                <w:color w:val="auto"/>
                <w:sz w:val="18"/>
                <w:szCs w:val="18"/>
              </w:rPr>
              <w:t>两层面漆，涂层总厚度不小于</w:t>
            </w:r>
            <w:r>
              <w:rPr>
                <w:color w:val="auto"/>
                <w:sz w:val="18"/>
                <w:szCs w:val="18"/>
              </w:rPr>
              <w:t>0.6mm</w:t>
            </w:r>
            <w:r>
              <w:rPr>
                <w:rFonts w:hint="eastAsia" w:cs="宋体"/>
                <w:color w:val="auto"/>
                <w:sz w:val="18"/>
                <w:szCs w:val="18"/>
              </w:rPr>
              <w:t>，设计依据《工业设备及管道绝热工程施工规范》（</w:t>
            </w:r>
            <w:r>
              <w:rPr>
                <w:color w:val="auto"/>
                <w:sz w:val="18"/>
                <w:szCs w:val="18"/>
              </w:rPr>
              <w:t>GB50126-2008</w:t>
            </w:r>
            <w:r>
              <w:rPr>
                <w:rFonts w:hint="eastAsia" w:cs="宋体"/>
                <w:color w:val="auto"/>
                <w:sz w:val="18"/>
                <w:szCs w:val="18"/>
              </w:rPr>
              <w:t>）、《化工装置管道材料设计规定》（</w:t>
            </w:r>
            <w:r>
              <w:rPr>
                <w:color w:val="auto"/>
                <w:sz w:val="18"/>
                <w:szCs w:val="18"/>
              </w:rPr>
              <w:t>HG/T20646-1999</w:t>
            </w:r>
            <w:r>
              <w:rPr>
                <w:rFonts w:hint="eastAsia" w:cs="宋体"/>
                <w:color w:val="auto"/>
                <w:sz w:val="18"/>
                <w:szCs w:val="18"/>
              </w:rPr>
              <w:t>）、《工业金属管道设计规范》</w:t>
            </w:r>
            <w:r>
              <w:rPr>
                <w:color w:val="auto"/>
                <w:sz w:val="18"/>
                <w:szCs w:val="18"/>
              </w:rPr>
              <w:t>[GB50316-2000</w:t>
            </w:r>
            <w:r>
              <w:rPr>
                <w:rFonts w:hint="eastAsia" w:cs="宋体"/>
                <w:color w:val="auto"/>
                <w:sz w:val="18"/>
                <w:szCs w:val="18"/>
              </w:rPr>
              <w:t>（</w:t>
            </w:r>
            <w:r>
              <w:rPr>
                <w:color w:val="auto"/>
                <w:sz w:val="18"/>
                <w:szCs w:val="18"/>
              </w:rPr>
              <w:t xml:space="preserve">2008 </w:t>
            </w:r>
            <w:r>
              <w:rPr>
                <w:rFonts w:hint="eastAsia" w:cs="宋体"/>
                <w:color w:val="auto"/>
                <w:sz w:val="18"/>
                <w:szCs w:val="18"/>
              </w:rPr>
              <w:t>版）</w:t>
            </w:r>
            <w:r>
              <w:rPr>
                <w:color w:val="auto"/>
                <w:sz w:val="18"/>
                <w:szCs w:val="18"/>
              </w:rPr>
              <w:t>]</w:t>
            </w:r>
            <w:r>
              <w:rPr>
                <w:rFonts w:hint="eastAsia" w:cs="宋体"/>
                <w:color w:val="auto"/>
                <w:sz w:val="18"/>
                <w:szCs w:val="18"/>
              </w:rPr>
              <w:t>、《石油化工设备和管道涂料防腐蚀设计规范》（</w:t>
            </w:r>
            <w:r>
              <w:rPr>
                <w:color w:val="auto"/>
                <w:sz w:val="18"/>
                <w:szCs w:val="18"/>
              </w:rPr>
              <w:t>SH/T3022-2011</w:t>
            </w:r>
            <w:r>
              <w:rPr>
                <w:rFonts w:hint="eastAsia"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油罐、加油机设有防腐措施</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4</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4</w:t>
            </w:r>
            <w:r>
              <w:rPr>
                <w:rFonts w:hint="eastAsia" w:cs="宋体"/>
                <w:color w:val="auto"/>
                <w:sz w:val="18"/>
                <w:szCs w:val="18"/>
              </w:rPr>
              <w:t>）工艺管道的施工应遵循国家有关规范《工业金属管道工程施工规范》（</w:t>
            </w:r>
            <w:r>
              <w:rPr>
                <w:color w:val="auto"/>
                <w:sz w:val="18"/>
                <w:szCs w:val="18"/>
              </w:rPr>
              <w:t>GB50235-2010</w:t>
            </w:r>
            <w:r>
              <w:rPr>
                <w:rFonts w:hint="eastAsia" w:cs="宋体"/>
                <w:color w:val="auto"/>
                <w:sz w:val="18"/>
                <w:szCs w:val="18"/>
              </w:rPr>
              <w:t>）和《工业金属管道工程施工质量验收规范》（</w:t>
            </w:r>
            <w:r>
              <w:rPr>
                <w:color w:val="auto"/>
                <w:sz w:val="18"/>
                <w:szCs w:val="18"/>
              </w:rPr>
              <w:t>GB50184-2011</w:t>
            </w:r>
            <w:r>
              <w:rPr>
                <w:rFonts w:hint="eastAsia" w:cs="宋体"/>
                <w:color w:val="auto"/>
                <w:sz w:val="18"/>
                <w:szCs w:val="18"/>
              </w:rPr>
              <w:t>），对管道安装材料进行外观内部检查，验收合格后方可使用。</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工艺管道符合施工规范</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4.3.3</w:t>
            </w:r>
            <w:r>
              <w:rPr>
                <w:rFonts w:hint="eastAsia" w:cs="宋体"/>
                <w:b/>
                <w:bCs/>
                <w:color w:val="auto"/>
                <w:sz w:val="18"/>
                <w:szCs w:val="18"/>
              </w:rPr>
              <w:t>采取的其他安全措施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1</w:t>
            </w:r>
            <w:r>
              <w:rPr>
                <w:rFonts w:hint="eastAsia" w:cs="宋体"/>
                <w:color w:val="auto"/>
                <w:sz w:val="18"/>
                <w:szCs w:val="18"/>
              </w:rPr>
              <w:t>）对于贮罐、加油机及其附属设施，选用有国家许可资质企业生产的定型产品，由取得国家许可的资质的专业队伍进行安装施工，并按照国家规定取得相应的质监部门的检验合格证和使用许可证。</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油罐、加油机均为有相关资质企业生产，并出具合格证</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color w:val="auto"/>
                <w:sz w:val="18"/>
                <w:szCs w:val="18"/>
              </w:rPr>
              <w:t>2</w:t>
            </w:r>
            <w:r>
              <w:rPr>
                <w:rFonts w:hint="eastAsia" w:cs="宋体"/>
                <w:color w:val="auto"/>
                <w:sz w:val="18"/>
                <w:szCs w:val="18"/>
              </w:rPr>
              <w:t>）对呼吸阀、阻火器、压力表、液位计、切断阀等安全装置，建设单位须制订详细检修检测计划，对其进行清理、检查、维护、保养，以保证安全生产。</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制定有设备管理员，并建立设备设施检维修计划</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 xml:space="preserve">4.4 </w:t>
            </w:r>
            <w:r>
              <w:rPr>
                <w:rFonts w:hint="eastAsia" w:ascii="宋体" w:hAnsi="宋体" w:cs="宋体"/>
                <w:b/>
                <w:bCs/>
                <w:color w:val="auto"/>
                <w:sz w:val="18"/>
                <w:szCs w:val="18"/>
              </w:rPr>
              <w:t>电气方面的安全措施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 xml:space="preserve">4.4.1 </w:t>
            </w:r>
            <w:r>
              <w:rPr>
                <w:rFonts w:hint="eastAsia" w:ascii="宋体" w:hAnsi="宋体" w:cs="宋体"/>
                <w:b/>
                <w:bCs/>
                <w:color w:val="auto"/>
                <w:sz w:val="18"/>
                <w:szCs w:val="18"/>
              </w:rPr>
              <w:t>供电电源、电气负荷分类、应急或备用电源的设置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宋体"/>
                <w:color w:val="auto"/>
                <w:spacing w:val="-6"/>
                <w:sz w:val="18"/>
                <w:szCs w:val="18"/>
              </w:rPr>
              <w:t>本项目采用低压供电，供电电压为</w:t>
            </w:r>
            <w:r>
              <w:rPr>
                <w:color w:val="auto"/>
                <w:spacing w:val="-6"/>
                <w:sz w:val="18"/>
                <w:szCs w:val="18"/>
              </w:rPr>
              <w:t>380V</w:t>
            </w:r>
            <w:r>
              <w:rPr>
                <w:rFonts w:hint="eastAsia" w:cs="宋体"/>
                <w:color w:val="auto"/>
                <w:spacing w:val="-6"/>
                <w:sz w:val="18"/>
                <w:szCs w:val="18"/>
              </w:rPr>
              <w:t>。低压用电取自附近电网，主电源引自站内变压器（100KVA）引来一路低压电源向本项目供电。低压电缆电源经低压金属铠装电缆直埋敷设至站房配电房内动力配电柜，再由动力配电柜向各有关用电设备放射性供电。</w:t>
            </w:r>
          </w:p>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本加油站用电负荷等级为三级。本工程信息系统、渗漏检测系统、液粒检测系统和视频监控系统配置在线式不间断电源，</w:t>
            </w:r>
            <w:r>
              <w:rPr>
                <w:color w:val="auto"/>
                <w:sz w:val="18"/>
                <w:szCs w:val="18"/>
              </w:rPr>
              <w:t>UPS</w:t>
            </w:r>
            <w:r>
              <w:rPr>
                <w:rFonts w:hint="eastAsia" w:cs="宋体"/>
                <w:color w:val="auto"/>
                <w:sz w:val="18"/>
                <w:szCs w:val="18"/>
              </w:rPr>
              <w:t>电池连续供电时间不小于</w:t>
            </w:r>
            <w:r>
              <w:rPr>
                <w:rFonts w:hint="eastAsia"/>
                <w:color w:val="auto"/>
                <w:sz w:val="18"/>
                <w:szCs w:val="18"/>
                <w:lang w:val="en-US" w:eastAsia="zh-CN"/>
              </w:rPr>
              <w:t>12</w:t>
            </w:r>
            <w:r>
              <w:rPr>
                <w:color w:val="auto"/>
                <w:sz w:val="18"/>
                <w:szCs w:val="18"/>
              </w:rPr>
              <w:t>0min</w:t>
            </w:r>
            <w:r>
              <w:rPr>
                <w:rFonts w:hint="eastAsia" w:cs="宋体"/>
                <w:color w:val="auto"/>
                <w:sz w:val="18"/>
                <w:szCs w:val="18"/>
              </w:rPr>
              <w:t>。</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设</w:t>
            </w:r>
            <w:r>
              <w:rPr>
                <w:color w:val="auto"/>
                <w:sz w:val="18"/>
                <w:szCs w:val="18"/>
              </w:rPr>
              <w:t>UPS</w:t>
            </w:r>
            <w:r>
              <w:rPr>
                <w:rFonts w:hint="eastAsia" w:cs="宋体"/>
                <w:color w:val="auto"/>
                <w:sz w:val="18"/>
                <w:szCs w:val="18"/>
              </w:rPr>
              <w:t>电源</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 xml:space="preserve">4.4.2 </w:t>
            </w:r>
            <w:r>
              <w:rPr>
                <w:rFonts w:hint="eastAsia" w:cs="宋体"/>
                <w:b/>
                <w:bCs/>
                <w:color w:val="auto"/>
                <w:sz w:val="18"/>
                <w:szCs w:val="18"/>
              </w:rPr>
              <w:t>设备的防爆及防护等级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爆炸危险区域内所有电气、仪表、照明设备均设计采用防爆等级不低于介质爆炸危险等级的隔爆型和本质安全型产品，且防爆等级不低于</w:t>
            </w:r>
            <w:r>
              <w:rPr>
                <w:color w:val="auto"/>
                <w:sz w:val="18"/>
                <w:szCs w:val="18"/>
              </w:rPr>
              <w:t xml:space="preserve"> Exd</w:t>
            </w:r>
            <w:r>
              <w:rPr>
                <w:rFonts w:hint="eastAsia" w:cs="宋体"/>
                <w:color w:val="auto"/>
                <w:sz w:val="18"/>
                <w:szCs w:val="18"/>
              </w:rPr>
              <w:t>（</w:t>
            </w:r>
            <w:r>
              <w:rPr>
                <w:color w:val="auto"/>
                <w:sz w:val="18"/>
                <w:szCs w:val="18"/>
              </w:rPr>
              <w:t>ia</w:t>
            </w:r>
            <w:r>
              <w:rPr>
                <w:rFonts w:hint="eastAsia" w:cs="宋体"/>
                <w:color w:val="auto"/>
                <w:sz w:val="18"/>
                <w:szCs w:val="18"/>
              </w:rPr>
              <w:t>）</w:t>
            </w:r>
            <w:r>
              <w:rPr>
                <w:color w:val="auto"/>
                <w:sz w:val="18"/>
                <w:szCs w:val="18"/>
              </w:rPr>
              <w:t>IIAT3 Gb</w:t>
            </w:r>
            <w:r>
              <w:rPr>
                <w:rFonts w:hint="eastAsia" w:cs="宋体"/>
                <w:color w:val="auto"/>
                <w:sz w:val="18"/>
                <w:szCs w:val="18"/>
              </w:rPr>
              <w:t>，并按有关规范进行设计及施工。室外电气设备防护等级不低于</w:t>
            </w:r>
            <w:r>
              <w:rPr>
                <w:color w:val="auto"/>
                <w:sz w:val="18"/>
                <w:szCs w:val="18"/>
              </w:rPr>
              <w:t xml:space="preserve">IP54 </w:t>
            </w:r>
            <w:r>
              <w:rPr>
                <w:rFonts w:hint="eastAsia" w:cs="宋体"/>
                <w:color w:val="auto"/>
                <w:sz w:val="18"/>
                <w:szCs w:val="18"/>
              </w:rPr>
              <w:t>级，仪表防护等级不低于</w:t>
            </w:r>
            <w:r>
              <w:rPr>
                <w:color w:val="auto"/>
                <w:sz w:val="18"/>
                <w:szCs w:val="18"/>
              </w:rPr>
              <w:t xml:space="preserve"> IP65 </w:t>
            </w:r>
            <w:r>
              <w:rPr>
                <w:rFonts w:hint="eastAsia" w:cs="宋体"/>
                <w:color w:val="auto"/>
                <w:sz w:val="18"/>
                <w:szCs w:val="18"/>
              </w:rPr>
              <w:t>级。</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防爆范围内仪表、灯具符合防爆要求</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4.4.3</w:t>
            </w:r>
            <w:r>
              <w:rPr>
                <w:rFonts w:hint="eastAsia" w:cs="宋体"/>
                <w:b/>
                <w:bCs/>
                <w:color w:val="auto"/>
                <w:sz w:val="18"/>
                <w:szCs w:val="18"/>
              </w:rPr>
              <w:t>采取的其他电气安全措施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color w:val="auto"/>
                <w:sz w:val="18"/>
                <w:szCs w:val="18"/>
              </w:rPr>
              <w:t>1</w:t>
            </w:r>
            <w:r>
              <w:rPr>
                <w:rFonts w:hint="eastAsia" w:cs="宋体"/>
                <w:color w:val="auto"/>
                <w:sz w:val="18"/>
                <w:szCs w:val="18"/>
              </w:rPr>
              <w:t>）电器过载保护设施：配电间的动力配电柜中针对本项目各电机负荷以及照明线路的要求，按《电力装置的继电保护和自动装置设计规范》（</w:t>
            </w:r>
            <w:r>
              <w:rPr>
                <w:color w:val="auto"/>
                <w:sz w:val="18"/>
                <w:szCs w:val="18"/>
              </w:rPr>
              <w:t>GB/T50062-2008</w:t>
            </w:r>
            <w:r>
              <w:rPr>
                <w:rFonts w:hint="eastAsia" w:cs="宋体"/>
                <w:color w:val="auto"/>
                <w:sz w:val="18"/>
                <w:szCs w:val="18"/>
              </w:rPr>
              <w:t>）和《低压配电设计规范》（</w:t>
            </w:r>
            <w:r>
              <w:rPr>
                <w:color w:val="auto"/>
                <w:sz w:val="18"/>
                <w:szCs w:val="18"/>
              </w:rPr>
              <w:t>GB50054-2011</w:t>
            </w:r>
            <w:r>
              <w:rPr>
                <w:rFonts w:hint="eastAsia" w:cs="宋体"/>
                <w:color w:val="auto"/>
                <w:sz w:val="18"/>
                <w:szCs w:val="18"/>
              </w:rPr>
              <w:t>）的规定设计设置了塑壳断路器、漏电保护器进行相关的短路保护、过载保护、漏电保护。</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配电柜设有塑壳断路器、漏电保护器</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color w:val="auto"/>
                <w:sz w:val="18"/>
                <w:szCs w:val="18"/>
              </w:rPr>
              <w:t>2</w:t>
            </w:r>
            <w:r>
              <w:rPr>
                <w:rFonts w:hint="eastAsia" w:cs="宋体"/>
                <w:color w:val="auto"/>
                <w:sz w:val="18"/>
                <w:szCs w:val="18"/>
              </w:rPr>
              <w:t>）在配电间内配备灭火器。发、配电间门采用防火门，并且朝外开启。电缆出入口处采用防火隔板或防火堵料封堵，以防止火灾蔓延。</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配电间设有灭火器</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3</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w:t>
            </w:r>
            <w:r>
              <w:rPr>
                <w:color w:val="auto"/>
                <w:sz w:val="18"/>
                <w:szCs w:val="18"/>
              </w:rPr>
              <w:t>1</w:t>
            </w:r>
            <w:r>
              <w:rPr>
                <w:rFonts w:hint="eastAsia" w:cs="宋体"/>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r>
              <w:rPr>
                <w:color w:val="auto"/>
                <w:sz w:val="18"/>
                <w:szCs w:val="18"/>
              </w:rPr>
              <w:t>2</w:t>
            </w:r>
            <w:r>
              <w:rPr>
                <w:rFonts w:hint="eastAsia" w:cs="宋体"/>
                <w:color w:val="auto"/>
                <w:sz w:val="18"/>
                <w:szCs w:val="18"/>
              </w:rPr>
              <w:t>）照明灯具光源选择：罩棚照明采用金属卤化物灯；发电间、办公室等采用节能型日光色荧光灯。照度设计原则：加油区</w:t>
            </w:r>
            <w:r>
              <w:rPr>
                <w:color w:val="auto"/>
                <w:sz w:val="18"/>
                <w:szCs w:val="18"/>
              </w:rPr>
              <w:t>100Lx</w:t>
            </w:r>
            <w:r>
              <w:rPr>
                <w:rFonts w:hint="eastAsia" w:cs="宋体"/>
                <w:color w:val="auto"/>
                <w:sz w:val="18"/>
                <w:szCs w:val="18"/>
              </w:rPr>
              <w:t>，发电间</w:t>
            </w:r>
            <w:r>
              <w:rPr>
                <w:color w:val="auto"/>
                <w:sz w:val="18"/>
                <w:szCs w:val="18"/>
              </w:rPr>
              <w:t>200Lx</w:t>
            </w:r>
            <w:r>
              <w:rPr>
                <w:rFonts w:hint="eastAsia" w:cs="宋体"/>
                <w:color w:val="auto"/>
                <w:sz w:val="18"/>
                <w:szCs w:val="18"/>
              </w:rPr>
              <w:t>，便利店</w:t>
            </w:r>
            <w:r>
              <w:rPr>
                <w:color w:val="auto"/>
                <w:sz w:val="18"/>
                <w:szCs w:val="18"/>
              </w:rPr>
              <w:t>300Lx</w:t>
            </w:r>
            <w:r>
              <w:rPr>
                <w:rFonts w:hint="eastAsia" w:cs="宋体"/>
                <w:color w:val="auto"/>
                <w:sz w:val="18"/>
                <w:szCs w:val="18"/>
              </w:rPr>
              <w:t>。（</w:t>
            </w:r>
            <w:r>
              <w:rPr>
                <w:color w:val="auto"/>
                <w:sz w:val="18"/>
                <w:szCs w:val="18"/>
              </w:rPr>
              <w:t>3</w:t>
            </w:r>
            <w:r>
              <w:rPr>
                <w:rFonts w:hint="eastAsia" w:cs="宋体"/>
                <w:color w:val="auto"/>
                <w:sz w:val="18"/>
                <w:szCs w:val="18"/>
              </w:rPr>
              <w:t>）照明配电箱电源电压为交流</w:t>
            </w:r>
            <w:r>
              <w:rPr>
                <w:color w:val="auto"/>
                <w:sz w:val="18"/>
                <w:szCs w:val="18"/>
              </w:rPr>
              <w:t>380/220V</w:t>
            </w:r>
            <w:r>
              <w:rPr>
                <w:rFonts w:hint="eastAsia" w:cs="宋体"/>
                <w:color w:val="auto"/>
                <w:sz w:val="18"/>
                <w:szCs w:val="18"/>
              </w:rPr>
              <w:t>，光源电压为交流</w:t>
            </w:r>
            <w:r>
              <w:rPr>
                <w:color w:val="auto"/>
                <w:sz w:val="18"/>
                <w:szCs w:val="18"/>
              </w:rPr>
              <w:t>220V</w:t>
            </w:r>
            <w:r>
              <w:rPr>
                <w:rFonts w:hint="eastAsia" w:cs="宋体"/>
                <w:color w:val="auto"/>
                <w:sz w:val="18"/>
                <w:szCs w:val="18"/>
              </w:rPr>
              <w:t>。（</w:t>
            </w:r>
            <w:r>
              <w:rPr>
                <w:color w:val="auto"/>
                <w:sz w:val="18"/>
                <w:szCs w:val="18"/>
              </w:rPr>
              <w:t>4</w:t>
            </w:r>
            <w:r>
              <w:rPr>
                <w:rFonts w:hint="eastAsia" w:cs="宋体"/>
                <w:color w:val="auto"/>
                <w:sz w:val="18"/>
                <w:szCs w:val="18"/>
              </w:rPr>
              <w:t>）在加油区、站房内设置应急疏散照明灯具；在站房出入口设置了应急疏散指示灯具。用于疏散照明的灯具持续工作的时间大于</w:t>
            </w:r>
            <w:r>
              <w:rPr>
                <w:color w:val="auto"/>
                <w:sz w:val="18"/>
                <w:szCs w:val="18"/>
              </w:rPr>
              <w:t>60</w:t>
            </w:r>
            <w:r>
              <w:rPr>
                <w:rFonts w:hint="eastAsia" w:cs="宋体"/>
                <w:color w:val="auto"/>
                <w:sz w:val="18"/>
                <w:szCs w:val="18"/>
              </w:rPr>
              <w:t>分钟，且出入口处疏散照明照度值不低于</w:t>
            </w:r>
            <w:r>
              <w:rPr>
                <w:color w:val="auto"/>
                <w:sz w:val="18"/>
                <w:szCs w:val="18"/>
              </w:rPr>
              <w:t>1Lx</w:t>
            </w:r>
            <w:r>
              <w:rPr>
                <w:rFonts w:hint="eastAsia" w:cs="宋体"/>
                <w:color w:val="auto"/>
                <w:sz w:val="18"/>
                <w:szCs w:val="18"/>
              </w:rPr>
              <w:t>，楼梯间照明照度值不低于</w:t>
            </w:r>
            <w:r>
              <w:rPr>
                <w:color w:val="auto"/>
                <w:sz w:val="18"/>
                <w:szCs w:val="18"/>
              </w:rPr>
              <w:t>5Lx</w:t>
            </w:r>
            <w:r>
              <w:rPr>
                <w:rFonts w:hint="eastAsia" w:cs="宋体"/>
                <w:color w:val="auto"/>
                <w:sz w:val="18"/>
                <w:szCs w:val="18"/>
              </w:rPr>
              <w:t>。</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防爆范围内选用隔爆灯具，光源电压为</w:t>
            </w:r>
            <w:r>
              <w:rPr>
                <w:color w:val="auto"/>
                <w:sz w:val="18"/>
                <w:szCs w:val="18"/>
              </w:rPr>
              <w:t>220V</w:t>
            </w:r>
            <w:r>
              <w:rPr>
                <w:rFonts w:hint="eastAsia" w:cs="宋体"/>
                <w:color w:val="auto"/>
                <w:sz w:val="18"/>
                <w:szCs w:val="18"/>
              </w:rPr>
              <w:t>，疏散照明灯具持续工作的时间大于</w:t>
            </w:r>
            <w:r>
              <w:rPr>
                <w:color w:val="auto"/>
                <w:sz w:val="18"/>
                <w:szCs w:val="18"/>
              </w:rPr>
              <w:t>60</w:t>
            </w:r>
            <w:r>
              <w:rPr>
                <w:rFonts w:hint="eastAsia" w:cs="宋体"/>
                <w:color w:val="auto"/>
                <w:sz w:val="18"/>
                <w:szCs w:val="18"/>
              </w:rPr>
              <w:t>分</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 xml:space="preserve">4.5 </w:t>
            </w:r>
            <w:r>
              <w:rPr>
                <w:rFonts w:hint="eastAsia" w:ascii="宋体" w:hAnsi="宋体" w:cs="宋体"/>
                <w:b/>
                <w:bCs/>
                <w:color w:val="auto"/>
                <w:sz w:val="18"/>
                <w:szCs w:val="18"/>
              </w:rPr>
              <w:t>自控仪表及火灾报警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 xml:space="preserve">4.5.1 </w:t>
            </w:r>
            <w:r>
              <w:rPr>
                <w:rFonts w:hint="eastAsia" w:ascii="宋体" w:hAnsi="宋体" w:cs="宋体"/>
                <w:b/>
                <w:bCs/>
                <w:color w:val="auto"/>
                <w:sz w:val="18"/>
                <w:szCs w:val="18"/>
              </w:rPr>
              <w:t>应急或备用电源的设置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本工程信号微机检测系统和视频监控系统配置在线式不间断电源，当外电源中断时，</w:t>
            </w:r>
            <w:r>
              <w:rPr>
                <w:color w:val="auto"/>
                <w:sz w:val="18"/>
                <w:szCs w:val="18"/>
              </w:rPr>
              <w:t xml:space="preserve">UPS </w:t>
            </w:r>
            <w:r>
              <w:rPr>
                <w:rFonts w:hint="eastAsia" w:cs="宋体"/>
                <w:color w:val="auto"/>
                <w:sz w:val="18"/>
                <w:szCs w:val="18"/>
              </w:rPr>
              <w:t>电池可供系统正常工作不小于</w:t>
            </w:r>
            <w:r>
              <w:rPr>
                <w:color w:val="auto"/>
                <w:sz w:val="18"/>
                <w:szCs w:val="18"/>
              </w:rPr>
              <w:t xml:space="preserve"> </w:t>
            </w:r>
            <w:r>
              <w:rPr>
                <w:rFonts w:hint="eastAsia"/>
                <w:color w:val="auto"/>
                <w:sz w:val="18"/>
                <w:szCs w:val="18"/>
                <w:lang w:val="en-US" w:eastAsia="zh-CN"/>
              </w:rPr>
              <w:t>12</w:t>
            </w:r>
            <w:r>
              <w:rPr>
                <w:color w:val="auto"/>
                <w:sz w:val="18"/>
                <w:szCs w:val="18"/>
              </w:rPr>
              <w:t>0min</w:t>
            </w:r>
            <w:r>
              <w:rPr>
                <w:rFonts w:hint="eastAsia" w:cs="宋体"/>
                <w:color w:val="auto"/>
                <w:sz w:val="18"/>
                <w:szCs w:val="18"/>
              </w:rPr>
              <w:t>。</w:t>
            </w:r>
            <w:r>
              <w:rPr>
                <w:color w:val="auto"/>
                <w:sz w:val="18"/>
                <w:szCs w:val="18"/>
              </w:rPr>
              <w:t xml:space="preserve">UPS </w:t>
            </w:r>
            <w:r>
              <w:rPr>
                <w:rFonts w:hint="eastAsia" w:cs="宋体"/>
                <w:color w:val="auto"/>
                <w:sz w:val="18"/>
                <w:szCs w:val="18"/>
              </w:rPr>
              <w:t>容量为</w:t>
            </w:r>
            <w:r>
              <w:rPr>
                <w:color w:val="auto"/>
                <w:sz w:val="18"/>
                <w:szCs w:val="18"/>
              </w:rPr>
              <w:t xml:space="preserve"> 5kVA</w:t>
            </w:r>
            <w:r>
              <w:rPr>
                <w:rFonts w:hint="eastAsia" w:cs="宋体"/>
                <w:color w:val="auto"/>
                <w:sz w:val="18"/>
                <w:szCs w:val="18"/>
              </w:rPr>
              <w:t>。</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设</w:t>
            </w:r>
            <w:r>
              <w:rPr>
                <w:color w:val="auto"/>
                <w:sz w:val="18"/>
                <w:szCs w:val="18"/>
              </w:rPr>
              <w:t>UPS</w:t>
            </w:r>
            <w:r>
              <w:rPr>
                <w:rFonts w:hint="eastAsia" w:cs="宋体"/>
                <w:color w:val="auto"/>
                <w:sz w:val="18"/>
                <w:szCs w:val="18"/>
              </w:rPr>
              <w:t>电源</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 xml:space="preserve">4.5.2 </w:t>
            </w:r>
            <w:r>
              <w:rPr>
                <w:rFonts w:hint="eastAsia" w:ascii="宋体" w:hAnsi="宋体" w:cs="宋体"/>
                <w:b/>
                <w:bCs/>
                <w:color w:val="auto"/>
                <w:sz w:val="18"/>
                <w:szCs w:val="18"/>
              </w:rPr>
              <w:t>自动控制系统的设置和安全功能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本项目在油罐上设置了带高位报警的自动液位仪、渗漏检测传感器、防爆阻火通气罩、压力真空阻火呼吸阀等安全监控防护措施。油罐采取卸油时的防满溢措施。当油料达到油罐容量</w:t>
            </w:r>
            <w:r>
              <w:rPr>
                <w:color w:val="auto"/>
                <w:sz w:val="18"/>
                <w:szCs w:val="18"/>
              </w:rPr>
              <w:t>90%</w:t>
            </w:r>
            <w:r>
              <w:rPr>
                <w:rFonts w:hint="eastAsia" w:cs="宋体"/>
                <w:color w:val="auto"/>
                <w:sz w:val="18"/>
                <w:szCs w:val="18"/>
              </w:rPr>
              <w:t>时，能触动高液位报警装置；油料达到油罐容量</w:t>
            </w:r>
            <w:r>
              <w:rPr>
                <w:color w:val="auto"/>
                <w:sz w:val="18"/>
                <w:szCs w:val="18"/>
              </w:rPr>
              <w:t>95%</w:t>
            </w:r>
            <w:r>
              <w:rPr>
                <w:rFonts w:hint="eastAsia" w:cs="宋体"/>
                <w:color w:val="auto"/>
                <w:sz w:val="18"/>
                <w:szCs w:val="18"/>
              </w:rPr>
              <w:t>时，能自动切断油料进罐。液位监测仪及渗漏检测仪设置在便利店收银台附近。本项目设置了事故紧急切断系统，事故状态下能手动切断加油机控制箱电源，停加油机及潜油泵。加油枪管线上设置紧急切断阀（</w:t>
            </w:r>
            <w:r>
              <w:rPr>
                <w:color w:val="auto"/>
                <w:sz w:val="18"/>
                <w:szCs w:val="18"/>
              </w:rPr>
              <w:t>OPW66V-300</w:t>
            </w:r>
            <w:r>
              <w:rPr>
                <w:rFonts w:hint="eastAsia" w:cs="宋体"/>
                <w:color w:val="auto"/>
                <w:sz w:val="18"/>
                <w:szCs w:val="18"/>
              </w:rPr>
              <w:t>），当加油枪管道受外力作用时，紧急切断阀自动断开。加油枪采用自封式加油枪，汽油加油枪的流量不大于</w:t>
            </w:r>
            <w:r>
              <w:rPr>
                <w:color w:val="auto"/>
                <w:sz w:val="18"/>
                <w:szCs w:val="18"/>
              </w:rPr>
              <w:t>50L/min</w:t>
            </w:r>
            <w:r>
              <w:rPr>
                <w:rFonts w:hint="eastAsia" w:cs="宋体"/>
                <w:color w:val="auto"/>
                <w:sz w:val="18"/>
                <w:szCs w:val="18"/>
              </w:rPr>
              <w:t>，加油软管上设安全拉断阀（加油机自带）。</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设有液位仪、渗漏检测仪</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4.5.3</w:t>
            </w:r>
            <w:r>
              <w:rPr>
                <w:rFonts w:hint="eastAsia" w:ascii="宋体" w:hAnsi="宋体" w:cs="宋体"/>
                <w:b/>
                <w:bCs/>
                <w:color w:val="auto"/>
                <w:sz w:val="18"/>
                <w:szCs w:val="18"/>
              </w:rPr>
              <w:t>可燃气体检测和报警设施的设置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21</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依据《汽车加油加气站设计与施工规范》</w:t>
            </w:r>
            <w:r>
              <w:rPr>
                <w:color w:val="auto"/>
                <w:sz w:val="18"/>
                <w:szCs w:val="18"/>
              </w:rPr>
              <w:t>GB50156-2012</w:t>
            </w:r>
            <w:r>
              <w:rPr>
                <w:rFonts w:hint="eastAsia" w:cs="宋体"/>
                <w:color w:val="auto"/>
                <w:sz w:val="18"/>
                <w:szCs w:val="18"/>
              </w:rPr>
              <w:t>（</w:t>
            </w:r>
            <w:r>
              <w:rPr>
                <w:color w:val="auto"/>
                <w:sz w:val="18"/>
                <w:szCs w:val="18"/>
              </w:rPr>
              <w:t xml:space="preserve">2014 </w:t>
            </w:r>
            <w:r>
              <w:rPr>
                <w:rFonts w:hint="eastAsia" w:cs="宋体"/>
                <w:color w:val="auto"/>
                <w:sz w:val="18"/>
                <w:szCs w:val="18"/>
              </w:rPr>
              <w:t>年版）第</w:t>
            </w:r>
            <w:r>
              <w:rPr>
                <w:color w:val="auto"/>
                <w:sz w:val="18"/>
                <w:szCs w:val="18"/>
              </w:rPr>
              <w:t>11.4</w:t>
            </w:r>
            <w:r>
              <w:rPr>
                <w:rFonts w:hint="eastAsia" w:cs="宋体"/>
                <w:color w:val="auto"/>
                <w:sz w:val="18"/>
                <w:szCs w:val="18"/>
              </w:rPr>
              <w:t>节，本项目不设置可燃气体检测报警系统。</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与设计一致</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b/>
                <w:bCs/>
                <w:color w:val="auto"/>
                <w:sz w:val="18"/>
                <w:szCs w:val="18"/>
              </w:rPr>
              <w:t xml:space="preserve">4.5.4 </w:t>
            </w:r>
            <w:r>
              <w:rPr>
                <w:rFonts w:hint="eastAsia" w:cs="宋体"/>
                <w:b/>
                <w:bCs/>
                <w:color w:val="auto"/>
                <w:sz w:val="18"/>
                <w:szCs w:val="18"/>
              </w:rPr>
              <w:t>视频监控系统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22</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本项目在罩棚、站房设置了高清红外摄像仪，分别对油罐区卸车点、加油区进、出口等处进行监控，现场摄像仪视频信号引至站房内监控主机。视频监控系统由</w:t>
            </w:r>
            <w:r>
              <w:rPr>
                <w:color w:val="auto"/>
                <w:sz w:val="18"/>
                <w:szCs w:val="18"/>
              </w:rPr>
              <w:t>UPS</w:t>
            </w:r>
            <w:r>
              <w:rPr>
                <w:rFonts w:hint="eastAsia" w:cs="宋体"/>
                <w:color w:val="auto"/>
                <w:sz w:val="18"/>
                <w:szCs w:val="18"/>
              </w:rPr>
              <w:t>电源供电。视频监控系统中硬盘录像机储存时间大于</w:t>
            </w:r>
            <w:r>
              <w:rPr>
                <w:color w:val="auto"/>
                <w:sz w:val="18"/>
                <w:szCs w:val="18"/>
              </w:rPr>
              <w:t>30</w:t>
            </w:r>
            <w:r>
              <w:rPr>
                <w:rFonts w:hint="eastAsia" w:cs="宋体"/>
                <w:color w:val="auto"/>
                <w:sz w:val="18"/>
                <w:szCs w:val="18"/>
              </w:rPr>
              <w:t>天。</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设置摄像头</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 xml:space="preserve">4.6 </w:t>
            </w:r>
            <w:r>
              <w:rPr>
                <w:rFonts w:hint="eastAsia" w:cs="宋体"/>
                <w:b/>
                <w:bCs/>
                <w:color w:val="auto"/>
                <w:sz w:val="18"/>
                <w:szCs w:val="18"/>
              </w:rPr>
              <w:t>建构筑物方面的安全措施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4.6.1</w:t>
            </w:r>
            <w:r>
              <w:rPr>
                <w:rFonts w:hint="eastAsia" w:cs="宋体"/>
                <w:b/>
                <w:bCs/>
                <w:color w:val="auto"/>
                <w:sz w:val="18"/>
                <w:szCs w:val="18"/>
              </w:rPr>
              <w:t>防火、防爆、抗爆、防腐、耐火保护等设施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1</w:t>
            </w:r>
            <w:r>
              <w:rPr>
                <w:rFonts w:hint="eastAsia" w:cs="宋体"/>
                <w:color w:val="auto"/>
                <w:sz w:val="18"/>
                <w:szCs w:val="18"/>
              </w:rPr>
              <w:t>）防火、防爆、抗爆保护措施</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本项目未设计防爆墙、防爆门。配电间的安全门设置成对外开丙级防火门。油罐区设置为埋地，加油区设置为敞开式，顶部设置罩棚，泄压满足规范要求。</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加油区为敞开式</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2</w:t>
            </w:r>
            <w:r>
              <w:rPr>
                <w:rFonts w:hint="eastAsia" w:cs="宋体"/>
                <w:color w:val="auto"/>
                <w:sz w:val="18"/>
                <w:szCs w:val="18"/>
              </w:rPr>
              <w:t>）防腐保护措施</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项目的防撞弯管、设备立柱设计采用除锈后，刷环氧富锌防腐底漆（两遍）、环氧防腐面漆（两遍）进行防腐施工；地下金属管道除锈后先刷防锈红丹漆两遍，再刷环氧沥青漆（或氯璜化聚乙烯漆）两遍。本加油罩棚面积</w:t>
            </w:r>
            <w:r>
              <w:rPr>
                <w:color w:val="auto"/>
                <w:sz w:val="18"/>
                <w:szCs w:val="18"/>
              </w:rPr>
              <w:t>387m</w:t>
            </w:r>
            <w:r>
              <w:rPr>
                <w:color w:val="auto"/>
                <w:sz w:val="18"/>
                <w:szCs w:val="18"/>
                <w:vertAlign w:val="superscript"/>
              </w:rPr>
              <w:t>2</w:t>
            </w:r>
            <w:r>
              <w:rPr>
                <w:rFonts w:hint="eastAsia" w:cs="宋体"/>
                <w:color w:val="auto"/>
                <w:sz w:val="18"/>
                <w:szCs w:val="18"/>
              </w:rPr>
              <w:t>，选用螺栓球节点网架，采用不燃烧材料制作。</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防撞弯管、设备立柱、地下金属管道均有防腐措施</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4.6.2</w:t>
            </w:r>
            <w:r>
              <w:rPr>
                <w:rFonts w:hint="eastAsia" w:cs="宋体"/>
                <w:b/>
                <w:bCs/>
                <w:color w:val="auto"/>
                <w:sz w:val="18"/>
                <w:szCs w:val="18"/>
              </w:rPr>
              <w:t>通风、排烟、除尘、降温等措施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本项目的加油区设计为敞开式，采用自然通风。站房设计自然通风为主。配电间、卫生间等室内设置轴流风机，机械排风。排风量和换气次数符合《工业企业设计卫生标准》（</w:t>
            </w:r>
            <w:r>
              <w:rPr>
                <w:color w:val="auto"/>
                <w:sz w:val="18"/>
                <w:szCs w:val="18"/>
              </w:rPr>
              <w:t>GBZ1-2010</w:t>
            </w:r>
            <w:r>
              <w:rPr>
                <w:rFonts w:hint="eastAsia" w:cs="宋体"/>
                <w:color w:val="auto"/>
                <w:sz w:val="18"/>
                <w:szCs w:val="18"/>
              </w:rPr>
              <w:t>）的要求。</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加油区为敞开式，配电间设有机械排风</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4.6.3</w:t>
            </w:r>
            <w:r>
              <w:rPr>
                <w:rFonts w:hint="eastAsia" w:cs="宋体"/>
                <w:b/>
                <w:bCs/>
                <w:color w:val="auto"/>
                <w:sz w:val="18"/>
                <w:szCs w:val="18"/>
              </w:rPr>
              <w:t>采取的其他安全设施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爆炸危险区域内的房间的地坪采用不发火花地面。</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站内采用不发火花地面</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配电室的门，窗，与室外相通的洞、通风孔应设防止鼠、蛇类小动物进入的网罩，防护等级不低于</w:t>
            </w:r>
            <w:r>
              <w:rPr>
                <w:color w:val="auto"/>
                <w:sz w:val="18"/>
                <w:szCs w:val="18"/>
              </w:rPr>
              <w:t>IP3X</w:t>
            </w:r>
            <w:r>
              <w:rPr>
                <w:rFonts w:hint="eastAsia" w:cs="宋体"/>
                <w:color w:val="auto"/>
                <w:sz w:val="18"/>
                <w:szCs w:val="18"/>
              </w:rPr>
              <w:t>；直接与室外露天相通通风孔应采取防止雨、雪飘入的措施。</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hint="default" w:eastAsia="宋体" w:cs="Times New Roman"/>
                <w:color w:val="auto"/>
                <w:sz w:val="18"/>
                <w:szCs w:val="18"/>
                <w:lang w:val="en-US" w:eastAsia="zh-CN"/>
              </w:rPr>
            </w:pPr>
            <w:r>
              <w:rPr>
                <w:rFonts w:hint="eastAsia" w:cs="宋体"/>
                <w:color w:val="auto"/>
                <w:sz w:val="18"/>
                <w:szCs w:val="18"/>
              </w:rPr>
              <w:t>配电室</w:t>
            </w:r>
            <w:r>
              <w:rPr>
                <w:rFonts w:hint="eastAsia" w:cs="宋体"/>
                <w:color w:val="auto"/>
                <w:sz w:val="18"/>
                <w:szCs w:val="18"/>
                <w:lang w:val="en-US" w:eastAsia="zh-CN"/>
              </w:rPr>
              <w:t>未设挡鼠板</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配电室未设挡鼠板，需整改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4.7</w:t>
            </w:r>
            <w:r>
              <w:rPr>
                <w:rFonts w:hint="eastAsia" w:cs="宋体"/>
                <w:b/>
                <w:bCs/>
                <w:color w:val="auto"/>
                <w:sz w:val="18"/>
                <w:szCs w:val="18"/>
              </w:rPr>
              <w:t>其他防范措施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4.7.1</w:t>
            </w:r>
            <w:r>
              <w:rPr>
                <w:rFonts w:hint="eastAsia" w:cs="宋体"/>
                <w:b/>
                <w:bCs/>
                <w:color w:val="auto"/>
                <w:sz w:val="18"/>
                <w:szCs w:val="18"/>
              </w:rPr>
              <w:t>防洪、防台风、防地质灾害、抗震等防范自然灾害的措施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b/>
                <w:bCs/>
                <w:color w:val="auto"/>
                <w:sz w:val="18"/>
                <w:szCs w:val="18"/>
              </w:rPr>
            </w:pPr>
            <w:r>
              <w:rPr>
                <w:b/>
                <w:bCs/>
                <w:color w:val="auto"/>
                <w:sz w:val="18"/>
                <w:szCs w:val="18"/>
              </w:rPr>
              <w:t>1</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本工程已按</w:t>
            </w:r>
            <w:r>
              <w:rPr>
                <w:color w:val="auto"/>
                <w:sz w:val="18"/>
                <w:szCs w:val="18"/>
              </w:rPr>
              <w:t>50</w:t>
            </w:r>
            <w:r>
              <w:rPr>
                <w:rFonts w:hint="eastAsia" w:cs="宋体"/>
                <w:color w:val="auto"/>
                <w:sz w:val="18"/>
                <w:szCs w:val="18"/>
              </w:rPr>
              <w:t>年一遇风压</w:t>
            </w:r>
            <w:r>
              <w:rPr>
                <w:color w:val="auto"/>
                <w:sz w:val="18"/>
                <w:szCs w:val="18"/>
              </w:rPr>
              <w:t>0.30kN/m</w:t>
            </w:r>
            <w:r>
              <w:rPr>
                <w:color w:val="auto"/>
                <w:sz w:val="18"/>
                <w:szCs w:val="18"/>
                <w:vertAlign w:val="superscript"/>
              </w:rPr>
              <w:t>2</w:t>
            </w:r>
            <w:r>
              <w:rPr>
                <w:rFonts w:hint="eastAsia" w:cs="宋体"/>
                <w:color w:val="auto"/>
                <w:sz w:val="18"/>
                <w:szCs w:val="18"/>
              </w:rPr>
              <w:t>设计，地面粗糙类别为</w:t>
            </w:r>
            <w:r>
              <w:rPr>
                <w:color w:val="auto"/>
                <w:sz w:val="18"/>
                <w:szCs w:val="18"/>
              </w:rPr>
              <w:t>B</w:t>
            </w:r>
            <w:r>
              <w:rPr>
                <w:rFonts w:hint="eastAsia" w:cs="宋体"/>
                <w:color w:val="auto"/>
                <w:sz w:val="18"/>
                <w:szCs w:val="18"/>
              </w:rPr>
              <w:t>类。同时本项目场地远离江河，站内最低点标高高于站外道路，场内道路设置了合理的坡度（</w:t>
            </w:r>
            <w:r>
              <w:rPr>
                <w:color w:val="auto"/>
                <w:sz w:val="18"/>
                <w:szCs w:val="18"/>
              </w:rPr>
              <w:t>0.5%</w:t>
            </w:r>
            <w:r>
              <w:rPr>
                <w:rFonts w:hint="eastAsia" w:cs="宋体"/>
                <w:color w:val="auto"/>
                <w:sz w:val="18"/>
                <w:szCs w:val="18"/>
              </w:rPr>
              <w:t>），排水顺畅，暴雨时雨水排水系统能够顺利排出站区进入市政雨水井，因此不受洪涝灾害。根据《建筑工程抗震设防分类标准》（</w:t>
            </w:r>
            <w:r>
              <w:rPr>
                <w:color w:val="auto"/>
                <w:sz w:val="18"/>
                <w:szCs w:val="18"/>
              </w:rPr>
              <w:t>GB50223-2008</w:t>
            </w:r>
            <w:r>
              <w:rPr>
                <w:rFonts w:hint="eastAsia" w:cs="宋体"/>
                <w:color w:val="auto"/>
                <w:sz w:val="18"/>
                <w:szCs w:val="18"/>
              </w:rPr>
              <w:t>）及《建筑抗震设计规范》（附条文说明）</w:t>
            </w:r>
            <w:r>
              <w:rPr>
                <w:color w:val="auto"/>
                <w:sz w:val="18"/>
                <w:szCs w:val="18"/>
              </w:rPr>
              <w:t>GB50011-2010</w:t>
            </w:r>
            <w:r>
              <w:rPr>
                <w:rFonts w:hint="eastAsia" w:cs="宋体"/>
                <w:color w:val="auto"/>
                <w:sz w:val="18"/>
                <w:szCs w:val="18"/>
              </w:rPr>
              <w:t>（</w:t>
            </w:r>
            <w:r>
              <w:rPr>
                <w:color w:val="auto"/>
                <w:sz w:val="18"/>
                <w:szCs w:val="18"/>
              </w:rPr>
              <w:t xml:space="preserve">2016 </w:t>
            </w:r>
            <w:r>
              <w:rPr>
                <w:rFonts w:hint="eastAsia" w:cs="宋体"/>
                <w:color w:val="auto"/>
                <w:sz w:val="18"/>
                <w:szCs w:val="18"/>
              </w:rPr>
              <w:t>年版）相关规定，本工程生产用建（构）筑物按抗震烈度按</w:t>
            </w:r>
            <w:r>
              <w:rPr>
                <w:color w:val="auto"/>
                <w:sz w:val="18"/>
                <w:szCs w:val="18"/>
              </w:rPr>
              <w:t>6</w:t>
            </w:r>
            <w:r>
              <w:rPr>
                <w:rFonts w:hint="eastAsia" w:cs="宋体"/>
                <w:color w:val="auto"/>
                <w:sz w:val="18"/>
                <w:szCs w:val="18"/>
              </w:rPr>
              <w:t>度考虑抗震措施。</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场内道路坡度</w:t>
            </w:r>
            <w:r>
              <w:rPr>
                <w:color w:val="auto"/>
                <w:sz w:val="18"/>
                <w:szCs w:val="18"/>
              </w:rPr>
              <w:t>0.5%</w:t>
            </w:r>
            <w:r>
              <w:rPr>
                <w:rFonts w:hint="eastAsia" w:cs="宋体"/>
                <w:color w:val="auto"/>
                <w:sz w:val="18"/>
                <w:szCs w:val="18"/>
              </w:rPr>
              <w:t>，且高于站外道路</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b/>
                <w:bCs/>
                <w:color w:val="auto"/>
                <w:sz w:val="18"/>
                <w:szCs w:val="18"/>
              </w:rPr>
              <w:t>4.7.2</w:t>
            </w:r>
            <w:r>
              <w:rPr>
                <w:rFonts w:hint="eastAsia" w:cs="宋体"/>
                <w:b/>
                <w:bCs/>
                <w:color w:val="auto"/>
                <w:sz w:val="18"/>
                <w:szCs w:val="18"/>
              </w:rPr>
              <w:t>防噪音、防护栏、安全标志、风向标的设置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1</w:t>
            </w:r>
            <w:r>
              <w:rPr>
                <w:rFonts w:hint="eastAsia" w:cs="宋体"/>
                <w:color w:val="auto"/>
                <w:sz w:val="18"/>
                <w:szCs w:val="18"/>
              </w:rPr>
              <w:t>）防噪音设施</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本项目中噪音较大的设备为加油机。在设计中选用低噪声低振动的设备，通过基础减振、隔振等措施，同时噪声通过建筑物、树木的吸收隔声后，厂界噪声可满足《工业企业厂界环境噪声排放标准》（</w:t>
            </w:r>
            <w:r>
              <w:rPr>
                <w:color w:val="auto"/>
                <w:sz w:val="18"/>
                <w:szCs w:val="18"/>
              </w:rPr>
              <w:t>GB12348-2008</w:t>
            </w:r>
            <w:r>
              <w:rPr>
                <w:rFonts w:hint="eastAsia" w:cs="宋体"/>
                <w:color w:val="auto"/>
                <w:sz w:val="18"/>
                <w:szCs w:val="18"/>
              </w:rPr>
              <w:t>）中</w:t>
            </w:r>
            <w:r>
              <w:rPr>
                <w:color w:val="auto"/>
                <w:sz w:val="18"/>
                <w:szCs w:val="18"/>
              </w:rPr>
              <w:t>3</w:t>
            </w:r>
            <w:r>
              <w:rPr>
                <w:rFonts w:hint="eastAsia" w:cs="宋体"/>
                <w:color w:val="auto"/>
                <w:sz w:val="18"/>
                <w:szCs w:val="18"/>
              </w:rPr>
              <w:t>类区标准。</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站内选用低噪声、振动设备</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加油机前后两侧设置</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加油机前后两侧设有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6638"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设计要求对存在危险、有害因素的生产部位，按照《安全色》（</w:t>
            </w:r>
            <w:r>
              <w:rPr>
                <w:color w:val="auto"/>
                <w:sz w:val="18"/>
                <w:szCs w:val="18"/>
              </w:rPr>
              <w:t>GB2893-2008</w:t>
            </w:r>
            <w:r>
              <w:rPr>
                <w:rFonts w:hint="eastAsia" w:cs="宋体"/>
                <w:color w:val="auto"/>
                <w:sz w:val="18"/>
                <w:szCs w:val="18"/>
              </w:rPr>
              <w:t>）、《安全标志及其使用导则》（</w:t>
            </w:r>
            <w:r>
              <w:rPr>
                <w:color w:val="auto"/>
                <w:sz w:val="18"/>
                <w:szCs w:val="18"/>
              </w:rPr>
              <w:t>GB2894-2008</w:t>
            </w:r>
            <w:r>
              <w:rPr>
                <w:rFonts w:hint="eastAsia" w:cs="宋体"/>
                <w:color w:val="auto"/>
                <w:sz w:val="18"/>
                <w:szCs w:val="18"/>
              </w:rPr>
              <w:t>）和《工作场所职业病危害警示标志》（</w:t>
            </w:r>
            <w:r>
              <w:rPr>
                <w:color w:val="auto"/>
                <w:sz w:val="18"/>
                <w:szCs w:val="18"/>
              </w:rPr>
              <w:t>GBZ158-2003</w:t>
            </w:r>
            <w:r>
              <w:rPr>
                <w:rFonts w:hint="eastAsia" w:cs="宋体"/>
                <w:color w:val="auto"/>
                <w:sz w:val="18"/>
                <w:szCs w:val="18"/>
              </w:rPr>
              <w:t>）的规定悬持醒目的标牌。这些标牌应保证在夜间仍能起到警示作用。灭火器、火灾报警等消防用具以及严禁人员进入的危险操作区的护栏采用红色。（</w:t>
            </w:r>
            <w:r>
              <w:rPr>
                <w:color w:val="auto"/>
                <w:sz w:val="18"/>
                <w:szCs w:val="18"/>
              </w:rPr>
              <w:t>1</w:t>
            </w:r>
            <w:r>
              <w:rPr>
                <w:rFonts w:hint="eastAsia" w:cs="宋体"/>
                <w:color w:val="auto"/>
                <w:sz w:val="18"/>
                <w:szCs w:val="18"/>
              </w:rPr>
              <w:t>）项目出入口，加油区、油罐区等爆炸危险区内，选用“禁止烟火”、“禁止使用手机”、“禁止鸣笛”标志；（</w:t>
            </w:r>
            <w:r>
              <w:rPr>
                <w:color w:val="auto"/>
                <w:sz w:val="18"/>
                <w:szCs w:val="18"/>
              </w:rPr>
              <w:t>2</w:t>
            </w:r>
            <w:r>
              <w:rPr>
                <w:rFonts w:hint="eastAsia" w:cs="宋体"/>
                <w:color w:val="auto"/>
                <w:sz w:val="18"/>
                <w:szCs w:val="18"/>
              </w:rPr>
              <w:t>）作业场所选用“禁放易燃品”、“禁止烟火”、“禁止使用手机”标志；（</w:t>
            </w:r>
            <w:r>
              <w:rPr>
                <w:color w:val="auto"/>
                <w:sz w:val="18"/>
                <w:szCs w:val="18"/>
              </w:rPr>
              <w:t>3</w:t>
            </w:r>
            <w:r>
              <w:rPr>
                <w:rFonts w:hint="eastAsia" w:cs="宋体"/>
                <w:color w:val="auto"/>
                <w:sz w:val="18"/>
                <w:szCs w:val="18"/>
              </w:rPr>
              <w:t>）可能产生静电会导致火灾爆炸危险场所，选用“禁止穿化纤服”、“禁止穿带钉鞋”标志。（</w:t>
            </w:r>
            <w:r>
              <w:rPr>
                <w:color w:val="auto"/>
                <w:sz w:val="18"/>
                <w:szCs w:val="18"/>
              </w:rPr>
              <w:t>4</w:t>
            </w:r>
            <w:r>
              <w:rPr>
                <w:rFonts w:hint="eastAsia" w:cs="宋体"/>
                <w:color w:val="auto"/>
                <w:sz w:val="18"/>
                <w:szCs w:val="18"/>
              </w:rPr>
              <w:t>）可能产生火灾爆炸危险作业场所，选用“禁止穿带钉鞋”标志。（</w:t>
            </w:r>
            <w:r>
              <w:rPr>
                <w:color w:val="auto"/>
                <w:sz w:val="18"/>
                <w:szCs w:val="18"/>
              </w:rPr>
              <w:t>5</w:t>
            </w:r>
            <w:r>
              <w:rPr>
                <w:rFonts w:hint="eastAsia" w:cs="宋体"/>
                <w:color w:val="auto"/>
                <w:sz w:val="18"/>
                <w:szCs w:val="18"/>
              </w:rPr>
              <w:t>）加油作业区，选用“注意安全”、“当心爆炸”、“当心火灾”、“当心车辆”标志；（</w:t>
            </w:r>
            <w:r>
              <w:rPr>
                <w:color w:val="auto"/>
                <w:sz w:val="18"/>
                <w:szCs w:val="18"/>
              </w:rPr>
              <w:t>6</w:t>
            </w:r>
            <w:r>
              <w:rPr>
                <w:rFonts w:hint="eastAsia" w:cs="宋体"/>
                <w:color w:val="auto"/>
                <w:sz w:val="18"/>
                <w:szCs w:val="18"/>
              </w:rPr>
              <w:t>）可能产生触电危险的配电间和电器设备，选用“当心触电”标志；（</w:t>
            </w:r>
            <w:r>
              <w:rPr>
                <w:color w:val="auto"/>
                <w:sz w:val="18"/>
                <w:szCs w:val="18"/>
              </w:rPr>
              <w:t>7</w:t>
            </w:r>
            <w:r>
              <w:rPr>
                <w:rFonts w:hint="eastAsia" w:cs="宋体"/>
                <w:color w:val="auto"/>
                <w:sz w:val="18"/>
                <w:szCs w:val="18"/>
              </w:rPr>
              <w:t>）加油站出入口放置</w:t>
            </w:r>
            <w:r>
              <w:rPr>
                <w:color w:val="auto"/>
                <w:sz w:val="18"/>
                <w:szCs w:val="18"/>
              </w:rPr>
              <w:t xml:space="preserve"> </w:t>
            </w:r>
            <w:r>
              <w:rPr>
                <w:rFonts w:hint="eastAsia" w:cs="宋体"/>
                <w:color w:val="auto"/>
                <w:sz w:val="18"/>
                <w:szCs w:val="18"/>
              </w:rPr>
              <w:t>“入口”、“出口”标志；（</w:t>
            </w:r>
            <w:r>
              <w:rPr>
                <w:color w:val="auto"/>
                <w:sz w:val="18"/>
                <w:szCs w:val="18"/>
              </w:rPr>
              <w:t>8</w:t>
            </w:r>
            <w:r>
              <w:rPr>
                <w:rFonts w:hint="eastAsia" w:cs="宋体"/>
                <w:color w:val="auto"/>
                <w:sz w:val="18"/>
                <w:szCs w:val="18"/>
              </w:rPr>
              <w:t>）化工装置的管道刷色和符号执行《工业管路的基本识别色、识别符号和安全标识》（</w:t>
            </w:r>
            <w:r>
              <w:rPr>
                <w:color w:val="auto"/>
                <w:sz w:val="18"/>
                <w:szCs w:val="18"/>
              </w:rPr>
              <w:t>GB7231-2003</w:t>
            </w:r>
            <w:r>
              <w:rPr>
                <w:rFonts w:hint="eastAsia" w:cs="宋体"/>
                <w:color w:val="auto"/>
                <w:sz w:val="18"/>
                <w:szCs w:val="18"/>
              </w:rPr>
              <w:t>）的规定。</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标志牌设置的高度，应尽量与人眼的视线高度相一致。悬挂式和柱式的环境信息标志牌的下缘距地面的高度不宜小于</w:t>
            </w:r>
            <w:r>
              <w:rPr>
                <w:color w:val="auto"/>
                <w:sz w:val="18"/>
                <w:szCs w:val="18"/>
              </w:rPr>
              <w:t xml:space="preserve"> 2m</w:t>
            </w:r>
            <w:r>
              <w:rPr>
                <w:rFonts w:hint="eastAsia" w:cs="宋体"/>
                <w:color w:val="auto"/>
                <w:sz w:val="18"/>
                <w:szCs w:val="18"/>
              </w:rPr>
              <w:t>；局部信息标志的设置高度应视具体情况确定。</w:t>
            </w:r>
          </w:p>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标志牌应设在与安全有关的醒目地方，并使大家看见后，有足够的时间来注意它所表示的内容。环境信息标志宜设在有关场所的入口处和醒目处；局部信息标志应设在所涉及的相应危险地点或设备</w:t>
            </w:r>
            <w:r>
              <w:rPr>
                <w:color w:val="auto"/>
                <w:sz w:val="18"/>
                <w:szCs w:val="18"/>
              </w:rPr>
              <w:t>(</w:t>
            </w:r>
            <w:r>
              <w:rPr>
                <w:rFonts w:hint="eastAsia" w:cs="宋体"/>
                <w:color w:val="auto"/>
                <w:sz w:val="18"/>
                <w:szCs w:val="18"/>
              </w:rPr>
              <w:t>部件</w:t>
            </w:r>
            <w:r>
              <w:rPr>
                <w:color w:val="auto"/>
                <w:sz w:val="18"/>
                <w:szCs w:val="18"/>
              </w:rPr>
              <w:t>)</w:t>
            </w:r>
            <w:r>
              <w:rPr>
                <w:rFonts w:hint="eastAsia" w:cs="宋体"/>
                <w:color w:val="auto"/>
                <w:sz w:val="18"/>
                <w:szCs w:val="18"/>
              </w:rPr>
              <w:t>附近的醒目处。标志牌不应设在门、窗、架等可移动的物体上，以免这些物体位置移动后，看不见安全标志。标志牌前不得放置妨碍认读的障碍物。标志牌的平面与视线夹角应接近</w:t>
            </w:r>
            <w:r>
              <w:rPr>
                <w:color w:val="auto"/>
                <w:sz w:val="18"/>
                <w:szCs w:val="18"/>
              </w:rPr>
              <w:t>90</w:t>
            </w:r>
            <w:r>
              <w:rPr>
                <w:rFonts w:hint="eastAsia" w:cs="宋体"/>
                <w:color w:val="auto"/>
                <w:sz w:val="18"/>
                <w:szCs w:val="18"/>
              </w:rPr>
              <w:t>°角，观察者位于最大观察距离时，最小夹角不低于</w:t>
            </w:r>
            <w:r>
              <w:rPr>
                <w:color w:val="auto"/>
                <w:sz w:val="18"/>
                <w:szCs w:val="18"/>
              </w:rPr>
              <w:t>75</w:t>
            </w:r>
            <w:r>
              <w:rPr>
                <w:rFonts w:hint="eastAsia" w:cs="宋体"/>
                <w:color w:val="auto"/>
                <w:sz w:val="18"/>
                <w:szCs w:val="18"/>
              </w:rPr>
              <w:t>°。建设单位在生产区较高且显著的位置应设置风向标，以利于应急情况下人员判别风向和疏散。</w:t>
            </w:r>
          </w:p>
        </w:tc>
        <w:tc>
          <w:tcPr>
            <w:tcW w:w="1914"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加油站出入口，加油区设有，选用“禁止烟火”、“禁止使用手机”、“禁止鸣笛”等安全标志</w:t>
            </w:r>
          </w:p>
        </w:tc>
        <w:tc>
          <w:tcPr>
            <w:tcW w:w="818" w:type="dxa"/>
            <w:vAlign w:val="center"/>
          </w:tcPr>
          <w:p>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 xml:space="preserve">4.8 </w:t>
            </w:r>
            <w:r>
              <w:rPr>
                <w:rFonts w:hint="eastAsia" w:cs="宋体"/>
                <w:b/>
                <w:bCs/>
                <w:color w:val="auto"/>
                <w:sz w:val="18"/>
                <w:szCs w:val="18"/>
              </w:rPr>
              <w:t>事故应急措施及安全管理机构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4.8.1</w:t>
            </w:r>
            <w:r>
              <w:rPr>
                <w:rFonts w:hint="eastAsia" w:cs="宋体"/>
                <w:b/>
                <w:bCs/>
                <w:color w:val="auto"/>
                <w:sz w:val="18"/>
                <w:szCs w:val="18"/>
              </w:rPr>
              <w:t>主要事故应急救援措施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建设单位应参照《生产经营单位生产安全事故应急预案编制导则》（</w:t>
            </w:r>
            <w:r>
              <w:rPr>
                <w:color w:val="auto"/>
                <w:sz w:val="18"/>
                <w:szCs w:val="18"/>
              </w:rPr>
              <w:t>GB/T 29639-2020</w:t>
            </w:r>
            <w:r>
              <w:rPr>
                <w:rFonts w:hint="eastAsia" w:cs="宋体"/>
                <w:color w:val="auto"/>
                <w:sz w:val="18"/>
                <w:szCs w:val="18"/>
              </w:rPr>
              <w:t>）建立事故的应急救援预案并定期演练。在事故发生后能及时予以控制，防止重大事故的蔓延，有效地组织抢险和救助。</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已建立应急救援预案并进行演练，见附件</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该站配置的安全、消防领导小组包括组长</w:t>
            </w:r>
            <w:r>
              <w:rPr>
                <w:color w:val="auto"/>
                <w:sz w:val="18"/>
                <w:szCs w:val="18"/>
              </w:rPr>
              <w:t>1</w:t>
            </w:r>
            <w:r>
              <w:rPr>
                <w:rFonts w:hint="eastAsia" w:cs="宋体"/>
                <w:color w:val="auto"/>
                <w:sz w:val="18"/>
                <w:szCs w:val="18"/>
              </w:rPr>
              <w:t>名。主要领导、组织站内安全检查，排除安全隐患，为该站日常安全生产提供保障；在事故发生时及时通知消防部门，并在消防部门达到后协助其进行消防工作。该站配置的义务安全、消防队员包括组长</w:t>
            </w:r>
            <w:r>
              <w:rPr>
                <w:color w:val="auto"/>
                <w:sz w:val="18"/>
                <w:szCs w:val="18"/>
              </w:rPr>
              <w:t>1</w:t>
            </w:r>
            <w:r>
              <w:rPr>
                <w:rFonts w:hint="eastAsia" w:cs="宋体"/>
                <w:color w:val="auto"/>
                <w:sz w:val="18"/>
                <w:szCs w:val="18"/>
              </w:rPr>
              <w:t>名。主要负责站内站消防事务，在发生火灾、爆炸等事故时及时采取相应的处理措施，最大限度控制事。故现场，以等待消防部门到达，将事故引起的经济损失降低到最小。</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hint="eastAsia" w:eastAsia="宋体" w:cs="Times New Roman"/>
                <w:color w:val="auto"/>
                <w:sz w:val="18"/>
                <w:szCs w:val="18"/>
                <w:lang w:eastAsia="zh-CN"/>
              </w:rPr>
            </w:pPr>
            <w:r>
              <w:rPr>
                <w:rFonts w:hint="eastAsia" w:cs="宋体"/>
                <w:color w:val="auto"/>
                <w:sz w:val="18"/>
                <w:szCs w:val="18"/>
              </w:rPr>
              <w:t>加油站主要负责人和安全管理人员已培训</w:t>
            </w:r>
            <w:r>
              <w:rPr>
                <w:rFonts w:hint="eastAsia" w:cs="宋体"/>
                <w:color w:val="auto"/>
                <w:sz w:val="18"/>
                <w:szCs w:val="18"/>
                <w:lang w:eastAsia="zh-CN"/>
              </w:rPr>
              <w:t>合格</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4.8.2</w:t>
            </w:r>
            <w:r>
              <w:rPr>
                <w:rFonts w:hint="eastAsia" w:cs="宋体"/>
                <w:b/>
                <w:bCs/>
                <w:color w:val="auto"/>
                <w:sz w:val="18"/>
                <w:szCs w:val="18"/>
              </w:rPr>
              <w:t>事故可能排放的最大污水量及防止排出厂</w:t>
            </w:r>
            <w:r>
              <w:rPr>
                <w:b/>
                <w:bCs/>
                <w:color w:val="auto"/>
                <w:sz w:val="18"/>
                <w:szCs w:val="18"/>
              </w:rPr>
              <w:t>/</w:t>
            </w:r>
            <w:r>
              <w:rPr>
                <w:rFonts w:hint="eastAsia" w:cs="宋体"/>
                <w:b/>
                <w:bCs/>
                <w:color w:val="auto"/>
                <w:sz w:val="18"/>
                <w:szCs w:val="18"/>
              </w:rPr>
              <w:t>界外的事故应急措施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本项目加油区、油罐区火灾危险性为甲类，涉及到的物料汽油属于易燃液体。根据《建筑设计防火规范》</w:t>
            </w:r>
            <w:r>
              <w:rPr>
                <w:color w:val="auto"/>
                <w:sz w:val="18"/>
                <w:szCs w:val="18"/>
              </w:rPr>
              <w:t>GB 50016-2014</w:t>
            </w:r>
            <w:r>
              <w:rPr>
                <w:rFonts w:hint="eastAsia" w:cs="宋体"/>
                <w:color w:val="auto"/>
                <w:sz w:val="18"/>
                <w:szCs w:val="18"/>
              </w:rPr>
              <w:t>（</w:t>
            </w:r>
            <w:r>
              <w:rPr>
                <w:color w:val="auto"/>
                <w:sz w:val="18"/>
                <w:szCs w:val="18"/>
              </w:rPr>
              <w:t xml:space="preserve">2018 </w:t>
            </w:r>
            <w:r>
              <w:rPr>
                <w:rFonts w:hint="eastAsia" w:cs="宋体"/>
                <w:color w:val="auto"/>
                <w:sz w:val="18"/>
                <w:szCs w:val="18"/>
              </w:rPr>
              <w:t>年版）相关条款规定，全站按同一时间发生火灾一次考虑，且根据《汽车加油加气站设计与施工规范》</w:t>
            </w:r>
            <w:r>
              <w:rPr>
                <w:color w:val="auto"/>
                <w:sz w:val="18"/>
                <w:szCs w:val="18"/>
              </w:rPr>
              <w:t>GB50156-2012</w:t>
            </w:r>
            <w:r>
              <w:rPr>
                <w:rFonts w:hint="eastAsia" w:cs="宋体"/>
                <w:color w:val="auto"/>
                <w:sz w:val="18"/>
                <w:szCs w:val="18"/>
              </w:rPr>
              <w:t>（</w:t>
            </w:r>
            <w:r>
              <w:rPr>
                <w:color w:val="auto"/>
                <w:sz w:val="18"/>
                <w:szCs w:val="18"/>
              </w:rPr>
              <w:t xml:space="preserve">2014 </w:t>
            </w:r>
            <w:r>
              <w:rPr>
                <w:rFonts w:hint="eastAsia" w:cs="宋体"/>
                <w:color w:val="auto"/>
                <w:sz w:val="18"/>
                <w:szCs w:val="18"/>
              </w:rPr>
              <w:t>版）第</w:t>
            </w:r>
            <w:r>
              <w:rPr>
                <w:color w:val="auto"/>
                <w:sz w:val="18"/>
                <w:szCs w:val="18"/>
              </w:rPr>
              <w:t xml:space="preserve"> 10.2.3 </w:t>
            </w:r>
            <w:r>
              <w:rPr>
                <w:rFonts w:hint="eastAsia" w:cs="宋体"/>
                <w:color w:val="auto"/>
                <w:sz w:val="18"/>
                <w:szCs w:val="18"/>
              </w:rPr>
              <w:t>条，加油站可不设消防给水系统</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不设置消防给水系统</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9370" w:type="dxa"/>
            <w:gridSpan w:val="3"/>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b/>
                <w:bCs/>
                <w:color w:val="auto"/>
                <w:sz w:val="18"/>
                <w:szCs w:val="18"/>
              </w:rPr>
            </w:pPr>
            <w:r>
              <w:rPr>
                <w:b/>
                <w:bCs/>
                <w:color w:val="auto"/>
                <w:sz w:val="18"/>
                <w:szCs w:val="18"/>
              </w:rPr>
              <w:t>4.8.3</w:t>
            </w:r>
            <w:r>
              <w:rPr>
                <w:rFonts w:hint="eastAsia" w:cs="宋体"/>
                <w:b/>
                <w:bCs/>
                <w:color w:val="auto"/>
                <w:sz w:val="18"/>
                <w:szCs w:val="18"/>
              </w:rPr>
              <w:t>安全管理机构的设置及人员配备的建议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为了使本项目建成投产后，能够安全运营，站内应设置安全管理机构。安全管理机构包括安全管理和设备管理。安全管理人员负责站内的劳动安全卫生，该管理依托站内的行政管理，以及上级主管部门的劳动安全卫生机构。设备管理员负责对站内的安全卫生措施进行定期维修、保养和日常监测工作。设备管理员依托站内的生产管理部门。</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加油站主要负责人和安全管理人员已培训合格</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pPr>
              <w:keepNext w:val="0"/>
              <w:keepLines w:val="0"/>
              <w:pageBreakBefore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6638" w:type="dxa"/>
            <w:vAlign w:val="center"/>
          </w:tcPr>
          <w:p>
            <w:pPr>
              <w:keepNext w:val="0"/>
              <w:keepLines w:val="0"/>
              <w:pageBreakBefore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宋体"/>
                <w:color w:val="auto"/>
                <w:sz w:val="18"/>
                <w:szCs w:val="18"/>
              </w:rPr>
              <w:t>站内设站长</w:t>
            </w:r>
            <w:r>
              <w:rPr>
                <w:color w:val="auto"/>
                <w:sz w:val="18"/>
                <w:szCs w:val="18"/>
              </w:rPr>
              <w:t>1</w:t>
            </w:r>
            <w:r>
              <w:rPr>
                <w:rFonts w:hint="eastAsia" w:cs="宋体"/>
                <w:color w:val="auto"/>
                <w:sz w:val="18"/>
                <w:szCs w:val="18"/>
              </w:rPr>
              <w:t>人，建议配备安全管理人员</w:t>
            </w:r>
            <w:r>
              <w:rPr>
                <w:color w:val="auto"/>
                <w:sz w:val="18"/>
                <w:szCs w:val="18"/>
              </w:rPr>
              <w:t>1</w:t>
            </w:r>
            <w:r>
              <w:rPr>
                <w:rFonts w:hint="eastAsia" w:cs="宋体"/>
                <w:color w:val="auto"/>
                <w:sz w:val="18"/>
                <w:szCs w:val="18"/>
              </w:rPr>
              <w:t>名，负责对站内的安全设施进行定期维修、保养和日常监测工作。安全卫生员和设备管理员均应持有所在地安全生产监督管理局颁发的资格合格证书。站长应持有建设单位所在地安全生产监督管理局颁发的资格合格证书，特种设备操作人员取得压力容器操作证书方可上岗。</w:t>
            </w:r>
          </w:p>
        </w:tc>
        <w:tc>
          <w:tcPr>
            <w:tcW w:w="1914"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加油站主要负责人和安全管理人员已培训合格</w:t>
            </w:r>
          </w:p>
        </w:tc>
        <w:tc>
          <w:tcPr>
            <w:tcW w:w="818" w:type="dxa"/>
            <w:vAlign w:val="center"/>
          </w:tcPr>
          <w:p>
            <w:pPr>
              <w:keepNext w:val="0"/>
              <w:keepLines w:val="0"/>
              <w:pageBreakBefore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宋体"/>
                <w:color w:val="auto"/>
                <w:sz w:val="18"/>
                <w:szCs w:val="18"/>
              </w:rPr>
              <w:t>已落实</w:t>
            </w:r>
          </w:p>
        </w:tc>
      </w:tr>
    </w:tbl>
    <w:p>
      <w:pPr>
        <w:pStyle w:val="4"/>
        <w:rPr>
          <w:color w:val="auto"/>
        </w:rPr>
      </w:pPr>
      <w:bookmarkStart w:id="166" w:name="_Toc26199"/>
      <w:bookmarkStart w:id="167" w:name="_Toc18180"/>
      <w:r>
        <w:rPr>
          <w:color w:val="auto"/>
        </w:rPr>
        <w:t xml:space="preserve">6.11 </w:t>
      </w:r>
      <w:r>
        <w:rPr>
          <w:rFonts w:hint="eastAsia" w:cs="宋体"/>
          <w:color w:val="auto"/>
        </w:rPr>
        <w:t>评价小结</w:t>
      </w:r>
      <w:bookmarkEnd w:id="166"/>
      <w:bookmarkEnd w:id="167"/>
    </w:p>
    <w:p>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评价结论：从上述安全检查表检查结果可知，该加油站主要存在</w:t>
      </w:r>
      <w:r>
        <w:rPr>
          <w:rFonts w:hint="eastAsia" w:ascii="Times New Roman" w:hAnsi="Times New Roman" w:cs="Times New Roman"/>
          <w:b/>
          <w:bCs/>
          <w:color w:val="auto"/>
          <w:sz w:val="28"/>
          <w:szCs w:val="28"/>
          <w:lang w:val="en-US" w:eastAsia="zh-CN"/>
        </w:rPr>
        <w:t>3</w:t>
      </w:r>
      <w:r>
        <w:rPr>
          <w:rFonts w:hint="eastAsia" w:ascii="Times New Roman" w:hAnsi="Times New Roman" w:cs="宋体"/>
          <w:b/>
          <w:bCs/>
          <w:color w:val="auto"/>
          <w:sz w:val="28"/>
          <w:szCs w:val="28"/>
        </w:rPr>
        <w:t>个隐患项，《安全设施设计》中有</w:t>
      </w:r>
      <w:r>
        <w:rPr>
          <w:rFonts w:ascii="Times New Roman" w:hAnsi="Times New Roman" w:cs="Times New Roman"/>
          <w:b/>
          <w:bCs/>
          <w:color w:val="auto"/>
          <w:sz w:val="28"/>
          <w:szCs w:val="28"/>
        </w:rPr>
        <w:t>1</w:t>
      </w:r>
      <w:r>
        <w:rPr>
          <w:rFonts w:hint="eastAsia" w:ascii="Times New Roman" w:hAnsi="Times New Roman" w:cs="宋体"/>
          <w:b/>
          <w:bCs/>
          <w:color w:val="auto"/>
          <w:sz w:val="28"/>
          <w:szCs w:val="28"/>
        </w:rPr>
        <w:t>项未采纳，主要如下：</w:t>
      </w:r>
    </w:p>
    <w:p>
      <w:pPr>
        <w:spacing w:line="360" w:lineRule="auto"/>
        <w:ind w:firstLine="562" w:firstLineChars="200"/>
        <w:jc w:val="left"/>
        <w:rPr>
          <w:rFonts w:ascii="Times New Roman" w:hAnsi="Times New Roman" w:cs="Times New Roman"/>
          <w:b/>
          <w:bCs/>
          <w:color w:val="auto"/>
          <w:sz w:val="28"/>
          <w:szCs w:val="28"/>
        </w:rPr>
      </w:pPr>
      <w:r>
        <w:rPr>
          <w:rFonts w:hint="eastAsia" w:ascii="Times New Roman" w:hAnsi="Times New Roman" w:cs="宋体"/>
          <w:b/>
          <w:bCs/>
          <w:color w:val="auto"/>
          <w:sz w:val="28"/>
          <w:szCs w:val="28"/>
        </w:rPr>
        <w:t>隐患项：</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）未设置35㎏推车式干粉灭火器；</w:t>
      </w:r>
    </w:p>
    <w:p>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配电间未设挡鼠板</w:t>
      </w:r>
      <w:r>
        <w:rPr>
          <w:rFonts w:hint="eastAsia" w:ascii="Times New Roman" w:hAnsi="Times New Roman" w:cs="宋体"/>
          <w:color w:val="auto"/>
          <w:sz w:val="28"/>
          <w:szCs w:val="28"/>
        </w:rPr>
        <w:t>。</w:t>
      </w:r>
    </w:p>
    <w:p>
      <w:pPr>
        <w:spacing w:line="360" w:lineRule="auto"/>
        <w:ind w:firstLine="560"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lang w:eastAsia="zh-CN"/>
        </w:rPr>
        <w:t>）进出口未设置指示牌和减速带。</w:t>
      </w:r>
    </w:p>
    <w:p>
      <w:pPr>
        <w:spacing w:line="360" w:lineRule="auto"/>
        <w:ind w:firstLine="562" w:firstLineChars="200"/>
        <w:jc w:val="left"/>
        <w:rPr>
          <w:rFonts w:ascii="Times New Roman" w:hAnsi="Times New Roman" w:cs="Times New Roman"/>
          <w:color w:val="auto"/>
          <w:sz w:val="28"/>
          <w:szCs w:val="28"/>
        </w:rPr>
      </w:pPr>
      <w:r>
        <w:rPr>
          <w:rFonts w:hint="eastAsia" w:ascii="Times New Roman" w:hAnsi="Times New Roman" w:cs="宋体"/>
          <w:b/>
          <w:bCs/>
          <w:color w:val="auto"/>
          <w:sz w:val="28"/>
          <w:szCs w:val="28"/>
        </w:rPr>
        <w:t>未采纳项：</w:t>
      </w:r>
      <w:r>
        <w:rPr>
          <w:rFonts w:hint="eastAsia" w:ascii="Times New Roman" w:hAnsi="Times New Roman" w:cs="宋体"/>
          <w:color w:val="auto"/>
          <w:sz w:val="28"/>
          <w:szCs w:val="28"/>
        </w:rPr>
        <w:t>站内未设置汽车充电装置</w:t>
      </w:r>
      <w:r>
        <w:rPr>
          <w:rFonts w:hint="eastAsia" w:ascii="Times New Roman" w:hAnsi="Times New Roman" w:cs="宋体"/>
          <w:color w:val="auto"/>
          <w:sz w:val="28"/>
          <w:szCs w:val="28"/>
          <w:lang w:eastAsia="zh-CN"/>
        </w:rPr>
        <w:t>，站房顶部未设置光伏</w:t>
      </w:r>
      <w:r>
        <w:rPr>
          <w:rFonts w:hint="eastAsia" w:ascii="Times New Roman" w:hAnsi="Times New Roman" w:cs="宋体"/>
          <w:color w:val="auto"/>
          <w:sz w:val="28"/>
          <w:szCs w:val="28"/>
        </w:rPr>
        <w:t>。</w:t>
      </w:r>
    </w:p>
    <w:p>
      <w:pPr>
        <w:spacing w:line="360" w:lineRule="auto"/>
        <w:ind w:firstLine="562" w:firstLineChars="200"/>
        <w:jc w:val="left"/>
        <w:rPr>
          <w:rFonts w:ascii="Times New Roman" w:hAnsi="Times New Roman" w:cs="Times New Roman"/>
          <w:color w:val="auto"/>
          <w:sz w:val="28"/>
          <w:szCs w:val="28"/>
        </w:rPr>
      </w:pPr>
      <w:r>
        <w:rPr>
          <w:rFonts w:hint="eastAsia" w:ascii="Times New Roman" w:hAnsi="Times New Roman" w:cs="宋体"/>
          <w:b/>
          <w:bCs/>
          <w:color w:val="auto"/>
          <w:sz w:val="28"/>
          <w:szCs w:val="28"/>
        </w:rPr>
        <w:t>未采纳项</w:t>
      </w:r>
      <w:r>
        <w:rPr>
          <w:rFonts w:hint="eastAsia" w:cs="宋体"/>
          <w:b/>
          <w:bCs/>
          <w:color w:val="auto"/>
          <w:sz w:val="28"/>
          <w:szCs w:val="28"/>
        </w:rPr>
        <w:t>情况</w:t>
      </w:r>
      <w:r>
        <w:rPr>
          <w:rFonts w:hint="eastAsia" w:ascii="Times New Roman" w:hAnsi="Times New Roman" w:cs="宋体"/>
          <w:b/>
          <w:bCs/>
          <w:color w:val="auto"/>
          <w:sz w:val="28"/>
          <w:szCs w:val="28"/>
        </w:rPr>
        <w:t>说明：</w:t>
      </w:r>
      <w:r>
        <w:rPr>
          <w:rFonts w:hint="eastAsia" w:ascii="Times New Roman" w:hAnsi="Times New Roman" w:cs="宋体"/>
          <w:color w:val="auto"/>
          <w:sz w:val="28"/>
          <w:szCs w:val="28"/>
          <w:lang w:eastAsia="zh-CN"/>
        </w:rPr>
        <w:t>该</w:t>
      </w:r>
      <w:r>
        <w:rPr>
          <w:rFonts w:hint="eastAsia" w:ascii="Times New Roman" w:hAnsi="Times New Roman" w:cs="宋体"/>
          <w:color w:val="auto"/>
          <w:sz w:val="28"/>
          <w:szCs w:val="28"/>
        </w:rPr>
        <w:t>站安全设施设计</w:t>
      </w:r>
      <w:r>
        <w:rPr>
          <w:rFonts w:hint="eastAsia" w:ascii="Times New Roman" w:hAnsi="Times New Roman" w:cs="宋体"/>
          <w:color w:val="auto"/>
          <w:sz w:val="28"/>
          <w:szCs w:val="28"/>
          <w:lang w:eastAsia="zh-CN"/>
        </w:rPr>
        <w:t>设有汽车充电装置和光伏发电装置</w:t>
      </w:r>
      <w:r>
        <w:rPr>
          <w:rFonts w:hint="eastAsia" w:ascii="Times New Roman" w:hAnsi="Times New Roman" w:cs="宋体"/>
          <w:color w:val="auto"/>
          <w:sz w:val="28"/>
          <w:szCs w:val="28"/>
        </w:rPr>
        <w:t>，但后期建设过程中未安装，企业已调整总平面布置图并加盖竣工章。</w:t>
      </w:r>
    </w:p>
    <w:p>
      <w:pPr>
        <w:pStyle w:val="37"/>
        <w:ind w:firstLine="420" w:firstLineChars="200"/>
        <w:rPr>
          <w:color w:val="auto"/>
        </w:rPr>
      </w:pPr>
    </w:p>
    <w:bookmarkEnd w:id="165"/>
    <w:p>
      <w:pPr>
        <w:keepLines/>
        <w:pageBreakBefore/>
        <w:widowControl/>
        <w:spacing w:line="600" w:lineRule="exact"/>
        <w:jc w:val="left"/>
        <w:outlineLvl w:val="0"/>
        <w:rPr>
          <w:rFonts w:ascii="Times New Roman" w:hAnsi="Times New Roman" w:cs="Times New Roman"/>
          <w:b/>
          <w:bCs/>
          <w:color w:val="auto"/>
          <w:kern w:val="36"/>
          <w:sz w:val="28"/>
          <w:szCs w:val="28"/>
        </w:rPr>
      </w:pPr>
      <w:bookmarkStart w:id="168" w:name="_Toc19100"/>
      <w:bookmarkStart w:id="169" w:name="_Toc8974"/>
      <w:bookmarkStart w:id="170" w:name="_Toc18913"/>
      <w:bookmarkStart w:id="171" w:name="_Toc9371"/>
      <w:bookmarkStart w:id="172" w:name="_Toc16646"/>
      <w:bookmarkStart w:id="173" w:name="_Toc343692275"/>
      <w:r>
        <w:rPr>
          <w:rFonts w:ascii="Times New Roman" w:hAnsi="Times New Roman" w:cs="Times New Roman"/>
          <w:b/>
          <w:bCs/>
          <w:color w:val="auto"/>
          <w:kern w:val="36"/>
          <w:sz w:val="32"/>
          <w:szCs w:val="32"/>
        </w:rPr>
        <w:t xml:space="preserve">7 </w:t>
      </w:r>
      <w:r>
        <w:rPr>
          <w:rFonts w:hint="eastAsia" w:ascii="Times New Roman" w:hAnsi="Times New Roman" w:cs="宋体"/>
          <w:b/>
          <w:bCs/>
          <w:color w:val="auto"/>
          <w:kern w:val="36"/>
          <w:sz w:val="32"/>
          <w:szCs w:val="32"/>
        </w:rPr>
        <w:t>现场整改落实情况</w:t>
      </w:r>
      <w:bookmarkEnd w:id="168"/>
      <w:bookmarkEnd w:id="169"/>
      <w:bookmarkEnd w:id="170"/>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通过对该加油站现场检查，对发现的问题及需要改进的方面特提出如下几方面措施建议。</w:t>
      </w:r>
    </w:p>
    <w:p>
      <w:pPr>
        <w:keepNext/>
        <w:keepLines/>
        <w:spacing w:line="600" w:lineRule="exact"/>
        <w:outlineLvl w:val="1"/>
        <w:rPr>
          <w:rFonts w:ascii="Times New Roman" w:hAnsi="Times New Roman" w:cs="Times New Roman"/>
          <w:b/>
          <w:bCs/>
          <w:color w:val="auto"/>
          <w:sz w:val="28"/>
          <w:szCs w:val="28"/>
        </w:rPr>
      </w:pPr>
      <w:bookmarkStart w:id="174" w:name="_Toc9008"/>
      <w:bookmarkStart w:id="175" w:name="_Toc20468434"/>
      <w:bookmarkStart w:id="176" w:name="_Toc471312555"/>
      <w:bookmarkStart w:id="177" w:name="_Toc30200"/>
      <w:bookmarkStart w:id="178" w:name="_Toc14112"/>
      <w:bookmarkStart w:id="179" w:name="_Toc427852841"/>
      <w:bookmarkStart w:id="180" w:name="_Toc20855"/>
      <w:r>
        <w:rPr>
          <w:rFonts w:ascii="Times New Roman" w:hAnsi="Times New Roman" w:cs="Times New Roman"/>
          <w:b/>
          <w:bCs/>
          <w:color w:val="auto"/>
          <w:sz w:val="28"/>
          <w:szCs w:val="28"/>
        </w:rPr>
        <w:t>7.1</w:t>
      </w:r>
      <w:r>
        <w:rPr>
          <w:rFonts w:hint="eastAsia" w:ascii="Times New Roman" w:hAnsi="Times New Roman" w:cs="宋体"/>
          <w:b/>
          <w:bCs/>
          <w:color w:val="auto"/>
          <w:sz w:val="28"/>
          <w:szCs w:val="28"/>
        </w:rPr>
        <w:t>隐患整改措施</w:t>
      </w:r>
      <w:bookmarkEnd w:id="174"/>
      <w:bookmarkEnd w:id="175"/>
      <w:bookmarkEnd w:id="176"/>
      <w:bookmarkEnd w:id="177"/>
      <w:bookmarkEnd w:id="178"/>
      <w:bookmarkEnd w:id="179"/>
      <w:bookmarkEnd w:id="180"/>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依据有关法规、标准的要求，并结合加油站的实际情况，该加油站存在表</w:t>
      </w:r>
      <w:r>
        <w:rPr>
          <w:rFonts w:ascii="Times New Roman" w:hAnsi="Times New Roman" w:cs="Times New Roman"/>
          <w:color w:val="auto"/>
          <w:sz w:val="28"/>
          <w:szCs w:val="28"/>
        </w:rPr>
        <w:t>7-1</w:t>
      </w:r>
      <w:r>
        <w:rPr>
          <w:rFonts w:hint="eastAsia" w:ascii="Times New Roman" w:hAnsi="Times New Roman" w:cs="宋体"/>
          <w:color w:val="auto"/>
          <w:sz w:val="28"/>
          <w:szCs w:val="28"/>
        </w:rPr>
        <w:t>中的问题，并针对存在的问题提出相应的对策措施与建议，以进一步提高该加油站的安全管理水平。</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检查中发现的隐患及整改措施如下表所示。</w:t>
      </w:r>
    </w:p>
    <w:p>
      <w:pPr>
        <w:autoSpaceDE w:val="0"/>
        <w:autoSpaceDN w:val="0"/>
        <w:adjustRightInd w:val="0"/>
        <w:jc w:val="center"/>
        <w:rPr>
          <w:rFonts w:ascii="Times New Roman" w:hAnsi="Times New Roman" w:cs="Times New Roman"/>
          <w:b/>
          <w:bCs/>
          <w:color w:val="auto"/>
          <w:sz w:val="24"/>
          <w:szCs w:val="24"/>
        </w:rPr>
      </w:pPr>
      <w:r>
        <w:rPr>
          <w:rFonts w:hint="eastAsia" w:ascii="Times New Roman" w:hAnsi="Times New Roman" w:cs="宋体"/>
          <w:b/>
          <w:bCs/>
          <w:color w:val="auto"/>
          <w:sz w:val="24"/>
          <w:szCs w:val="24"/>
        </w:rPr>
        <w:t>表</w:t>
      </w:r>
      <w:r>
        <w:rPr>
          <w:rFonts w:ascii="Times New Roman" w:hAnsi="Times New Roman" w:cs="Times New Roman"/>
          <w:b/>
          <w:bCs/>
          <w:color w:val="auto"/>
          <w:sz w:val="24"/>
          <w:szCs w:val="24"/>
        </w:rPr>
        <w:t xml:space="preserve">7-1 </w:t>
      </w:r>
      <w:r>
        <w:rPr>
          <w:rFonts w:hint="eastAsia" w:ascii="Times New Roman" w:hAnsi="Times New Roman" w:cs="宋体"/>
          <w:b/>
          <w:bCs/>
          <w:color w:val="auto"/>
          <w:sz w:val="24"/>
          <w:szCs w:val="24"/>
        </w:rPr>
        <w:t>隐患整改措施</w:t>
      </w:r>
    </w:p>
    <w:tbl>
      <w:tblPr>
        <w:tblStyle w:val="20"/>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3672"/>
        <w:gridCol w:w="4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679" w:type="dxa"/>
            <w:vAlign w:val="center"/>
          </w:tcPr>
          <w:p>
            <w:pPr>
              <w:jc w:val="center"/>
              <w:rPr>
                <w:rFonts w:ascii="Times New Roman" w:hAnsi="Times New Roman" w:cs="Times New Roman"/>
                <w:b/>
                <w:bCs/>
                <w:color w:val="auto"/>
              </w:rPr>
            </w:pPr>
            <w:r>
              <w:rPr>
                <w:rFonts w:hint="eastAsia" w:ascii="Times New Roman" w:hAnsi="Times New Roman" w:cs="宋体"/>
                <w:b/>
                <w:bCs/>
                <w:color w:val="auto"/>
              </w:rPr>
              <w:t>序号</w:t>
            </w:r>
          </w:p>
        </w:tc>
        <w:tc>
          <w:tcPr>
            <w:tcW w:w="3672" w:type="dxa"/>
            <w:vAlign w:val="center"/>
          </w:tcPr>
          <w:p>
            <w:pPr>
              <w:jc w:val="center"/>
              <w:rPr>
                <w:rFonts w:ascii="Times New Roman" w:hAnsi="Times New Roman" w:cs="Times New Roman"/>
                <w:b/>
                <w:bCs/>
                <w:color w:val="auto"/>
              </w:rPr>
            </w:pPr>
            <w:r>
              <w:rPr>
                <w:rFonts w:hint="eastAsia" w:ascii="Times New Roman" w:hAnsi="Times New Roman" w:cs="宋体"/>
                <w:b/>
                <w:bCs/>
                <w:color w:val="auto"/>
              </w:rPr>
              <w:t>不合格项（隐患）</w:t>
            </w:r>
          </w:p>
        </w:tc>
        <w:tc>
          <w:tcPr>
            <w:tcW w:w="4256" w:type="dxa"/>
            <w:vAlign w:val="center"/>
          </w:tcPr>
          <w:p>
            <w:pPr>
              <w:jc w:val="center"/>
              <w:rPr>
                <w:rFonts w:ascii="Times New Roman" w:hAnsi="Times New Roman" w:cs="Times New Roman"/>
                <w:b/>
                <w:bCs/>
                <w:color w:val="auto"/>
              </w:rPr>
            </w:pPr>
            <w:r>
              <w:rPr>
                <w:rFonts w:hint="eastAsia" w:ascii="Times New Roman" w:hAnsi="Times New Roman" w:cs="宋体"/>
                <w:b/>
                <w:bCs/>
                <w:color w:val="auto"/>
              </w:rPr>
              <w:t>措施建议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9" w:type="dxa"/>
            <w:vAlign w:val="center"/>
          </w:tcPr>
          <w:p>
            <w:pPr>
              <w:jc w:val="center"/>
              <w:rPr>
                <w:rFonts w:ascii="Times New Roman" w:hAnsi="Times New Roman" w:cs="Times New Roman"/>
                <w:color w:val="auto"/>
              </w:rPr>
            </w:pPr>
            <w:bookmarkStart w:id="181" w:name="_Toc20468435"/>
            <w:bookmarkStart w:id="182" w:name="_Toc9821"/>
            <w:bookmarkStart w:id="183" w:name="_Toc30063"/>
            <w:r>
              <w:rPr>
                <w:rFonts w:ascii="Times New Roman" w:hAnsi="Times New Roman" w:cs="Times New Roman"/>
                <w:color w:val="auto"/>
              </w:rPr>
              <w:t>1</w:t>
            </w:r>
          </w:p>
        </w:tc>
        <w:tc>
          <w:tcPr>
            <w:tcW w:w="3672" w:type="dxa"/>
            <w:vAlign w:val="center"/>
          </w:tcPr>
          <w:p>
            <w:pPr>
              <w:jc w:val="center"/>
              <w:rPr>
                <w:rFonts w:ascii="Times New Roman" w:hAnsi="Times New Roman" w:cs="Times New Roman"/>
                <w:color w:val="auto"/>
              </w:rPr>
            </w:pPr>
            <w:r>
              <w:rPr>
                <w:rFonts w:hint="eastAsia" w:ascii="Times New Roman" w:hAnsi="Times New Roman" w:cs="宋体"/>
                <w:color w:val="auto"/>
              </w:rPr>
              <w:t>未设置35㎏推车式干粉灭火器</w:t>
            </w:r>
          </w:p>
        </w:tc>
        <w:tc>
          <w:tcPr>
            <w:tcW w:w="4256" w:type="dxa"/>
            <w:vAlign w:val="center"/>
          </w:tcPr>
          <w:p>
            <w:pPr>
              <w:jc w:val="center"/>
              <w:rPr>
                <w:rFonts w:ascii="Times New Roman" w:hAnsi="Times New Roman" w:cs="Times New Roman"/>
                <w:color w:val="auto"/>
              </w:rPr>
            </w:pPr>
            <w:r>
              <w:rPr>
                <w:rFonts w:hint="eastAsia" w:ascii="Times New Roman" w:hAnsi="Times New Roman" w:cs="宋体"/>
                <w:color w:val="auto"/>
              </w:rPr>
              <w:t>应配置1台不小于35kg推车式干粉灭火器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9" w:type="dxa"/>
            <w:vAlign w:val="center"/>
          </w:tcPr>
          <w:p>
            <w:pPr>
              <w:jc w:val="center"/>
              <w:rPr>
                <w:rFonts w:ascii="Times New Roman" w:hAnsi="Times New Roman" w:cs="Times New Roman"/>
                <w:color w:val="auto"/>
              </w:rPr>
            </w:pPr>
            <w:r>
              <w:rPr>
                <w:rFonts w:ascii="Times New Roman" w:hAnsi="Times New Roman" w:cs="Times New Roman"/>
                <w:color w:val="auto"/>
              </w:rPr>
              <w:t>2</w:t>
            </w:r>
          </w:p>
        </w:tc>
        <w:tc>
          <w:tcPr>
            <w:tcW w:w="3672" w:type="dxa"/>
            <w:vAlign w:val="center"/>
          </w:tcPr>
          <w:p>
            <w:pPr>
              <w:jc w:val="center"/>
              <w:rPr>
                <w:rFonts w:ascii="Times New Roman" w:hAnsi="Times New Roman" w:cs="Times New Roman"/>
                <w:color w:val="auto"/>
              </w:rPr>
            </w:pPr>
            <w:r>
              <w:rPr>
                <w:rFonts w:hint="eastAsia" w:ascii="Times New Roman" w:hAnsi="Times New Roman" w:cs="宋体"/>
                <w:color w:val="auto"/>
              </w:rPr>
              <w:t>配电间未设挡鼠板</w:t>
            </w:r>
          </w:p>
        </w:tc>
        <w:tc>
          <w:tcPr>
            <w:tcW w:w="4256" w:type="dxa"/>
            <w:vAlign w:val="center"/>
          </w:tcPr>
          <w:p>
            <w:pPr>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配电间应设置挡鼠板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9" w:type="dxa"/>
            <w:vAlign w:val="center"/>
          </w:tcPr>
          <w:p>
            <w:pPr>
              <w:jc w:val="center"/>
              <w:rPr>
                <w:rFonts w:ascii="Times New Roman" w:hAnsi="Times New Roman" w:cs="Times New Roman"/>
                <w:color w:val="auto"/>
              </w:rPr>
            </w:pPr>
            <w:r>
              <w:rPr>
                <w:rFonts w:ascii="Times New Roman" w:hAnsi="Times New Roman" w:cs="Times New Roman"/>
                <w:color w:val="auto"/>
              </w:rPr>
              <w:t>3</w:t>
            </w:r>
          </w:p>
        </w:tc>
        <w:tc>
          <w:tcPr>
            <w:tcW w:w="3672" w:type="dxa"/>
            <w:vAlign w:val="center"/>
          </w:tcPr>
          <w:p>
            <w:pPr>
              <w:jc w:val="center"/>
              <w:rPr>
                <w:rFonts w:ascii="Times New Roman" w:hAnsi="Times New Roman" w:cs="Times New Roman"/>
                <w:color w:val="auto"/>
              </w:rPr>
            </w:pPr>
            <w:r>
              <w:rPr>
                <w:rFonts w:hint="eastAsia" w:ascii="Times New Roman" w:hAnsi="Times New Roman" w:cs="宋体"/>
                <w:color w:val="auto"/>
              </w:rPr>
              <w:t>加油站出入口未设置出入口指示及减速带</w:t>
            </w:r>
          </w:p>
        </w:tc>
        <w:tc>
          <w:tcPr>
            <w:tcW w:w="4256" w:type="dxa"/>
            <w:vAlign w:val="center"/>
          </w:tcPr>
          <w:p>
            <w:pPr>
              <w:jc w:val="center"/>
              <w:rPr>
                <w:rFonts w:ascii="Times New Roman" w:hAnsi="Times New Roman" w:cs="Times New Roman"/>
                <w:color w:val="auto"/>
              </w:rPr>
            </w:pPr>
            <w:r>
              <w:rPr>
                <w:rFonts w:hint="eastAsia" w:ascii="Times New Roman" w:hAnsi="Times New Roman" w:cs="宋体"/>
                <w:color w:val="auto"/>
              </w:rPr>
              <w:t>加油站出入口应设置出入口指示及减速带</w:t>
            </w:r>
          </w:p>
        </w:tc>
      </w:tr>
    </w:tbl>
    <w:p>
      <w:pPr>
        <w:outlineLvl w:val="1"/>
        <w:rPr>
          <w:rFonts w:ascii="Times New Roman" w:hAnsi="Times New Roman" w:cs="Times New Roman"/>
          <w:b/>
          <w:bCs/>
          <w:color w:val="auto"/>
          <w:sz w:val="28"/>
          <w:szCs w:val="28"/>
        </w:rPr>
      </w:pPr>
      <w:bookmarkStart w:id="184" w:name="_Toc19323"/>
      <w:r>
        <w:rPr>
          <w:rFonts w:ascii="Times New Roman" w:hAnsi="Times New Roman" w:cs="Times New Roman"/>
          <w:b/>
          <w:bCs/>
          <w:color w:val="auto"/>
          <w:sz w:val="28"/>
          <w:szCs w:val="28"/>
        </w:rPr>
        <w:t xml:space="preserve">7.2 </w:t>
      </w:r>
      <w:r>
        <w:rPr>
          <w:rFonts w:hint="eastAsia" w:ascii="Times New Roman" w:hAnsi="Times New Roman" w:cs="宋体"/>
          <w:b/>
          <w:bCs/>
          <w:color w:val="auto"/>
          <w:sz w:val="28"/>
          <w:szCs w:val="28"/>
        </w:rPr>
        <w:t>整改</w:t>
      </w:r>
      <w:bookmarkEnd w:id="181"/>
      <w:r>
        <w:rPr>
          <w:rFonts w:hint="eastAsia" w:ascii="Times New Roman" w:hAnsi="Times New Roman" w:cs="宋体"/>
          <w:b/>
          <w:bCs/>
          <w:color w:val="auto"/>
          <w:sz w:val="28"/>
          <w:szCs w:val="28"/>
        </w:rPr>
        <w:t>落实情况</w:t>
      </w:r>
      <w:bookmarkEnd w:id="182"/>
      <w:bookmarkEnd w:id="183"/>
      <w:bookmarkEnd w:id="184"/>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针对在现场安全检查中发现的问题，评价组通知</w:t>
      </w:r>
      <w:r>
        <w:rPr>
          <w:rFonts w:hint="eastAsia" w:ascii="Times New Roman" w:hAnsi="Times New Roman" w:cs="宋体"/>
          <w:color w:val="auto"/>
          <w:sz w:val="28"/>
          <w:szCs w:val="28"/>
          <w:lang w:eastAsia="zh-CN"/>
        </w:rPr>
        <w:t>江西景德镇石油分公司鱼丽加油站</w:t>
      </w:r>
      <w:r>
        <w:rPr>
          <w:rFonts w:hint="eastAsia" w:ascii="Times New Roman" w:hAnsi="Times New Roman" w:cs="宋体"/>
          <w:color w:val="auto"/>
          <w:sz w:val="28"/>
          <w:szCs w:val="28"/>
        </w:rPr>
        <w:t>进行了整改。</w:t>
      </w:r>
    </w:p>
    <w:p>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江西景德镇石油分公司鱼丽加油站</w:t>
      </w:r>
      <w:r>
        <w:rPr>
          <w:rFonts w:hint="eastAsia" w:ascii="Times New Roman" w:hAnsi="Times New Roman" w:cs="宋体"/>
          <w:color w:val="auto"/>
          <w:sz w:val="28"/>
          <w:szCs w:val="28"/>
        </w:rPr>
        <w:t>对评价组在现场提出的整改意见进行了整改。具体情况，见加油站隐患整改回复情况。</w:t>
      </w:r>
    </w:p>
    <w:p>
      <w:pPr>
        <w:tabs>
          <w:tab w:val="left" w:pos="1155"/>
        </w:tabs>
        <w:spacing w:line="600" w:lineRule="exact"/>
        <w:outlineLvl w:val="0"/>
        <w:rPr>
          <w:rFonts w:ascii="Times New Roman" w:hAnsi="Times New Roman" w:cs="Times New Roman"/>
          <w:color w:val="auto"/>
          <w:sz w:val="28"/>
          <w:szCs w:val="28"/>
        </w:rPr>
      </w:pPr>
      <w:r>
        <w:rPr>
          <w:rFonts w:ascii="Times New Roman" w:hAnsi="Times New Roman" w:cs="Times New Roman"/>
          <w:b/>
          <w:bCs/>
          <w:color w:val="auto"/>
          <w:kern w:val="36"/>
          <w:sz w:val="28"/>
          <w:szCs w:val="28"/>
        </w:rPr>
        <w:br w:type="page"/>
      </w:r>
      <w:bookmarkStart w:id="185" w:name="_Toc29919"/>
      <w:r>
        <w:rPr>
          <w:rFonts w:ascii="Times New Roman" w:hAnsi="Times New Roman" w:cs="Times New Roman"/>
          <w:b/>
          <w:bCs/>
          <w:color w:val="auto"/>
          <w:kern w:val="36"/>
          <w:sz w:val="28"/>
          <w:szCs w:val="28"/>
        </w:rPr>
        <w:t xml:space="preserve">8 </w:t>
      </w:r>
      <w:r>
        <w:rPr>
          <w:rFonts w:hint="eastAsia" w:ascii="Times New Roman" w:hAnsi="Times New Roman" w:cs="宋体"/>
          <w:b/>
          <w:bCs/>
          <w:color w:val="auto"/>
          <w:kern w:val="36"/>
          <w:sz w:val="28"/>
          <w:szCs w:val="28"/>
        </w:rPr>
        <w:t>对策措施与建议</w:t>
      </w:r>
      <w:bookmarkEnd w:id="171"/>
      <w:bookmarkEnd w:id="172"/>
      <w:bookmarkEnd w:id="173"/>
      <w:bookmarkEnd w:id="185"/>
    </w:p>
    <w:p>
      <w:pPr>
        <w:keepNext/>
        <w:keepLines/>
        <w:spacing w:line="600" w:lineRule="exact"/>
        <w:outlineLvl w:val="1"/>
        <w:rPr>
          <w:rFonts w:ascii="Times New Roman" w:hAnsi="Times New Roman" w:cs="Times New Roman"/>
          <w:b/>
          <w:bCs/>
          <w:color w:val="auto"/>
          <w:sz w:val="28"/>
          <w:szCs w:val="28"/>
        </w:rPr>
      </w:pPr>
      <w:bookmarkStart w:id="186" w:name="_Toc18904"/>
      <w:bookmarkStart w:id="187" w:name="_Toc31956"/>
      <w:r>
        <w:rPr>
          <w:rFonts w:ascii="Times New Roman" w:hAnsi="Times New Roman" w:cs="Times New Roman"/>
          <w:b/>
          <w:bCs/>
          <w:color w:val="auto"/>
          <w:sz w:val="28"/>
          <w:szCs w:val="28"/>
        </w:rPr>
        <w:t xml:space="preserve">8.1 </w:t>
      </w:r>
      <w:r>
        <w:rPr>
          <w:rFonts w:hint="eastAsia" w:ascii="Times New Roman" w:hAnsi="Times New Roman" w:cs="宋体"/>
          <w:b/>
          <w:bCs/>
          <w:color w:val="auto"/>
          <w:sz w:val="28"/>
          <w:szCs w:val="28"/>
        </w:rPr>
        <w:t>已采取的对策措施</w:t>
      </w:r>
      <w:bookmarkEnd w:id="186"/>
      <w:bookmarkEnd w:id="187"/>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一、周边环境与总平面布置</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、加油站站址选择及外部距离符合规范要求。</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、总平面布局和站内防火距离符合规范要求。</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、加油站站房砖混结构，罩棚为钢架结构轻质顶，</w:t>
      </w:r>
      <w:r>
        <w:rPr>
          <w:rFonts w:hint="eastAsia" w:ascii="Times New Roman" w:hAnsi="Times New Roman" w:cs="宋体"/>
          <w:color w:val="auto"/>
          <w:sz w:val="28"/>
          <w:szCs w:val="28"/>
          <w:lang w:eastAsia="zh-CN"/>
        </w:rPr>
        <w:t>高6m</w:t>
      </w:r>
      <w:r>
        <w:rPr>
          <w:rFonts w:hint="eastAsia" w:ascii="Times New Roman" w:hAnsi="Times New Roman" w:cs="宋体"/>
          <w:color w:val="auto"/>
          <w:sz w:val="28"/>
          <w:szCs w:val="28"/>
        </w:rPr>
        <w:t>。</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、加油站上方无输电线路和通讯线路跨越。</w:t>
      </w:r>
    </w:p>
    <w:p>
      <w:pPr>
        <w:spacing w:line="600" w:lineRule="exact"/>
        <w:ind w:firstLine="528" w:firstLineChars="200"/>
        <w:rPr>
          <w:rFonts w:ascii="Times New Roman" w:hAnsi="Times New Roman" w:cs="Times New Roman"/>
          <w:color w:val="auto"/>
          <w:spacing w:val="-8"/>
          <w:sz w:val="28"/>
          <w:szCs w:val="28"/>
        </w:rPr>
      </w:pPr>
      <w:r>
        <w:rPr>
          <w:rFonts w:ascii="Times New Roman" w:hAnsi="Times New Roman" w:cs="Times New Roman"/>
          <w:color w:val="auto"/>
          <w:spacing w:val="-8"/>
          <w:sz w:val="28"/>
          <w:szCs w:val="28"/>
        </w:rPr>
        <w:t>5</w:t>
      </w:r>
      <w:r>
        <w:rPr>
          <w:rFonts w:hint="eastAsia" w:ascii="Times New Roman" w:hAnsi="Times New Roman" w:cs="宋体"/>
          <w:color w:val="auto"/>
          <w:spacing w:val="-8"/>
          <w:sz w:val="28"/>
          <w:szCs w:val="28"/>
        </w:rPr>
        <w:t>、固定工艺管道均为无缝钢管悍接，埋地敷设，未穿过站房等建、构筑物。</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二、设备设施及防火防爆</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、储罐采用内钢外玻璃纤维增强塑料双层油罐，通气管及露出地面的油品管道采用无缝钢管，埋地管道采用复合管道。设有高液位报警仪、防渗漏检测报警仪。</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托肯横山科技（广州）有限公司</w:t>
      </w:r>
      <w:r>
        <w:rPr>
          <w:rFonts w:hint="eastAsia" w:ascii="Times New Roman" w:hAnsi="Times New Roman" w:cs="宋体"/>
          <w:color w:val="auto"/>
          <w:sz w:val="28"/>
          <w:szCs w:val="28"/>
        </w:rPr>
        <w:t>生产的税控燃油加油机</w:t>
      </w:r>
      <w:r>
        <w:rPr>
          <w:rFonts w:ascii="Times New Roman" w:hAnsi="Times New Roman" w:cs="Times New Roman"/>
          <w:color w:val="auto"/>
          <w:sz w:val="28"/>
          <w:szCs w:val="28"/>
        </w:rPr>
        <w:t>4</w:t>
      </w:r>
      <w:r>
        <w:rPr>
          <w:rFonts w:hint="eastAsia" w:ascii="Times New Roman" w:hAnsi="Times New Roman" w:cs="宋体"/>
          <w:color w:val="auto"/>
          <w:sz w:val="28"/>
          <w:szCs w:val="28"/>
        </w:rPr>
        <w:t>台，流量为</w:t>
      </w:r>
      <w:r>
        <w:rPr>
          <w:rFonts w:hint="eastAsia" w:ascii="Times New Roman" w:hAnsi="Times New Roman" w:cs="Times New Roman"/>
          <w:color w:val="auto"/>
          <w:sz w:val="28"/>
          <w:szCs w:val="28"/>
          <w:lang w:val="en-US" w:eastAsia="zh-CN"/>
        </w:rPr>
        <w:t>4.5</w:t>
      </w:r>
      <w:r>
        <w:rPr>
          <w:rFonts w:ascii="Times New Roman" w:hAnsi="Times New Roman" w:cs="Times New Roman"/>
          <w:color w:val="auto"/>
          <w:sz w:val="28"/>
          <w:szCs w:val="28"/>
        </w:rPr>
        <w:t>~</w:t>
      </w:r>
      <w:r>
        <w:rPr>
          <w:rFonts w:hint="eastAsia" w:ascii="Times New Roman" w:hAnsi="Times New Roman" w:cs="Times New Roman"/>
          <w:color w:val="auto"/>
          <w:sz w:val="28"/>
          <w:szCs w:val="28"/>
          <w:lang w:val="en-US" w:eastAsia="zh-CN"/>
        </w:rPr>
        <w:t>45</w:t>
      </w:r>
      <w:r>
        <w:rPr>
          <w:rFonts w:ascii="Times New Roman" w:hAnsi="Times New Roman" w:cs="Times New Roman"/>
          <w:color w:val="auto"/>
          <w:sz w:val="28"/>
          <w:szCs w:val="28"/>
        </w:rPr>
        <w:t>L/min</w:t>
      </w:r>
      <w:r>
        <w:rPr>
          <w:rFonts w:hint="eastAsia" w:ascii="Times New Roman" w:hAnsi="Times New Roman" w:cs="宋体"/>
          <w:color w:val="auto"/>
          <w:sz w:val="28"/>
          <w:szCs w:val="28"/>
        </w:rPr>
        <w:t>，电压等级</w:t>
      </w:r>
      <w:r>
        <w:rPr>
          <w:rFonts w:hint="eastAsia" w:ascii="Times New Roman" w:hAnsi="Times New Roman" w:cs="Times New Roman"/>
          <w:color w:val="auto"/>
          <w:sz w:val="28"/>
          <w:szCs w:val="28"/>
          <w:lang w:val="en-US" w:eastAsia="zh-CN"/>
        </w:rPr>
        <w:t>220</w:t>
      </w:r>
      <w:r>
        <w:rPr>
          <w:rFonts w:ascii="Times New Roman" w:hAnsi="Times New Roman" w:cs="Times New Roman"/>
          <w:color w:val="auto"/>
          <w:sz w:val="28"/>
          <w:szCs w:val="28"/>
        </w:rPr>
        <w:t>V</w:t>
      </w:r>
      <w:r>
        <w:rPr>
          <w:rFonts w:hint="eastAsia" w:ascii="Times New Roman" w:hAnsi="Times New Roman" w:cs="宋体"/>
          <w:color w:val="auto"/>
          <w:sz w:val="28"/>
          <w:szCs w:val="28"/>
        </w:rPr>
        <w:t>，防爆标志为</w:t>
      </w:r>
      <w:r>
        <w:rPr>
          <w:rFonts w:ascii="Times New Roman" w:hAnsi="Times New Roman" w:cs="Times New Roman"/>
          <w:color w:val="auto"/>
          <w:sz w:val="28"/>
          <w:szCs w:val="28"/>
        </w:rPr>
        <w:t>Exdibmb</w:t>
      </w:r>
      <w:r>
        <w:rPr>
          <w:rFonts w:hint="eastAsia" w:ascii="宋体" w:hAnsi="宋体" w:cs="宋体"/>
          <w:color w:val="auto"/>
          <w:sz w:val="28"/>
          <w:szCs w:val="28"/>
        </w:rPr>
        <w:t>Ⅱ</w:t>
      </w:r>
      <w:r>
        <w:rPr>
          <w:rFonts w:ascii="Times New Roman" w:hAnsi="Times New Roman" w:cs="Times New Roman"/>
          <w:color w:val="auto"/>
          <w:sz w:val="28"/>
          <w:szCs w:val="28"/>
        </w:rPr>
        <w:t>AT3Gb</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、油储罐设有通气管，通气管口设有阻火器，通气管高出地面</w:t>
      </w:r>
      <w:r>
        <w:rPr>
          <w:rFonts w:ascii="Times New Roman" w:hAnsi="Times New Roman" w:cs="Times New Roman"/>
          <w:color w:val="auto"/>
          <w:sz w:val="28"/>
          <w:szCs w:val="28"/>
        </w:rPr>
        <w:t>4m</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油储罐进油口、出油管、量油孔、通气管直接单独通往油罐，人孔设有操作井。</w:t>
      </w:r>
    </w:p>
    <w:p>
      <w:pPr>
        <w:spacing w:line="560" w:lineRule="exact"/>
        <w:ind w:firstLine="544" w:firstLineChars="200"/>
        <w:rPr>
          <w:rFonts w:ascii="Times New Roman" w:hAnsi="Times New Roman" w:cs="Times New Roman"/>
          <w:color w:val="auto"/>
          <w:spacing w:val="-4"/>
          <w:sz w:val="28"/>
          <w:szCs w:val="28"/>
        </w:rPr>
      </w:pPr>
      <w:r>
        <w:rPr>
          <w:rFonts w:ascii="Times New Roman" w:hAnsi="Times New Roman" w:cs="Times New Roman"/>
          <w:color w:val="auto"/>
          <w:spacing w:val="-4"/>
          <w:sz w:val="28"/>
          <w:szCs w:val="28"/>
        </w:rPr>
        <w:t>4</w:t>
      </w:r>
      <w:r>
        <w:rPr>
          <w:rFonts w:hint="eastAsia" w:ascii="Times New Roman" w:hAnsi="Times New Roman" w:cs="宋体"/>
          <w:color w:val="auto"/>
          <w:spacing w:val="-4"/>
          <w:sz w:val="28"/>
          <w:szCs w:val="28"/>
        </w:rPr>
        <w:t>、储罐及管道进行了静电接地，法兰连接处用铜片进行了跨接。卸油管采用内设金属丝的软管，可以和车辆的油罐和储油罐进行可靠的静电连接。</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5</w:t>
      </w:r>
      <w:r>
        <w:rPr>
          <w:rFonts w:hint="eastAsia" w:ascii="Times New Roman" w:hAnsi="Times New Roman" w:cs="宋体"/>
          <w:color w:val="auto"/>
          <w:sz w:val="28"/>
          <w:szCs w:val="28"/>
        </w:rPr>
        <w:t>、油罐区无照明设施，加油机罩棚顶灯为隔爆型荧光灯。</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6</w:t>
      </w:r>
      <w:r>
        <w:rPr>
          <w:rFonts w:hint="eastAsia" w:ascii="Times New Roman" w:hAnsi="Times New Roman" w:cs="宋体"/>
          <w:color w:val="auto"/>
          <w:sz w:val="28"/>
          <w:szCs w:val="28"/>
        </w:rPr>
        <w:t>、输油管线采用地沟预埋式。</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7</w:t>
      </w:r>
      <w:r>
        <w:rPr>
          <w:rFonts w:hint="eastAsia" w:ascii="Times New Roman" w:hAnsi="Times New Roman" w:cs="宋体"/>
          <w:color w:val="auto"/>
          <w:sz w:val="28"/>
          <w:szCs w:val="28"/>
        </w:rPr>
        <w:t>、加油站罩棚顶设有防雷装置，周围建筑物、所有设施均在防雷有效保护范围内，防雷装置经防雷部门检测符合要求。</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8</w:t>
      </w:r>
      <w:r>
        <w:rPr>
          <w:rFonts w:hint="eastAsia" w:ascii="Times New Roman" w:hAnsi="Times New Roman" w:cs="宋体"/>
          <w:color w:val="auto"/>
          <w:sz w:val="28"/>
          <w:szCs w:val="28"/>
        </w:rPr>
        <w:t>、站内采用地沟式电缆敷设到用电设备。</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9</w:t>
      </w:r>
      <w:r>
        <w:rPr>
          <w:rFonts w:hint="eastAsia" w:ascii="Times New Roman" w:hAnsi="Times New Roman" w:cs="宋体"/>
          <w:color w:val="auto"/>
          <w:sz w:val="28"/>
          <w:szCs w:val="28"/>
        </w:rPr>
        <w:t>、加油站采用卸油、加油油气回收系统。</w:t>
      </w:r>
    </w:p>
    <w:p>
      <w:pPr>
        <w:pStyle w:val="10"/>
        <w:spacing w:line="600" w:lineRule="exact"/>
        <w:ind w:firstLine="562" w:firstLineChars="200"/>
        <w:rPr>
          <w:rFonts w:ascii="Times New Roman" w:hAnsi="Times New Roman" w:cs="Times New Roman"/>
          <w:color w:val="auto"/>
          <w:sz w:val="28"/>
          <w:szCs w:val="28"/>
        </w:rPr>
      </w:pPr>
      <w:r>
        <w:rPr>
          <w:rFonts w:hint="eastAsia" w:ascii="Times New Roman" w:hAnsi="Times New Roman"/>
          <w:b/>
          <w:bCs/>
          <w:color w:val="auto"/>
          <w:sz w:val="28"/>
          <w:szCs w:val="28"/>
        </w:rPr>
        <w:t>三、</w:t>
      </w:r>
      <w:r>
        <w:rPr>
          <w:rFonts w:hint="eastAsia" w:ascii="Times New Roman" w:hAnsi="Times New Roman"/>
          <w:color w:val="auto"/>
          <w:sz w:val="28"/>
          <w:szCs w:val="28"/>
        </w:rPr>
        <w:t>其他措施</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、加油站的</w:t>
      </w:r>
      <w:r>
        <w:rPr>
          <w:rFonts w:ascii="Times New Roman" w:hAnsi="Times New Roman" w:cs="Times New Roman"/>
          <w:color w:val="auto"/>
          <w:sz w:val="28"/>
          <w:szCs w:val="28"/>
        </w:rPr>
        <w:t>2</w:t>
      </w:r>
      <w:r>
        <w:rPr>
          <w:rFonts w:hint="eastAsia" w:ascii="Times New Roman" w:hAnsi="Times New Roman" w:cs="宋体"/>
          <w:color w:val="auto"/>
          <w:sz w:val="28"/>
          <w:szCs w:val="28"/>
        </w:rPr>
        <w:t>个进出口分别设置。</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、加油站内混泥土路面与公路相连。加油站地面高度高于空地，排水坡向站外，站内无积水发生。</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、加油岛宽</w:t>
      </w:r>
      <w:r>
        <w:rPr>
          <w:rFonts w:ascii="Times New Roman" w:hAnsi="Times New Roman" w:cs="Times New Roman"/>
          <w:color w:val="auto"/>
          <w:sz w:val="28"/>
          <w:szCs w:val="28"/>
        </w:rPr>
        <w:t>1.3m</w:t>
      </w:r>
      <w:r>
        <w:rPr>
          <w:rFonts w:hint="eastAsia" w:ascii="Times New Roman" w:hAnsi="Times New Roman" w:cs="宋体"/>
          <w:color w:val="auto"/>
          <w:sz w:val="28"/>
          <w:szCs w:val="28"/>
        </w:rPr>
        <w:t>，高出地面</w:t>
      </w:r>
      <w:r>
        <w:rPr>
          <w:rFonts w:ascii="Times New Roman" w:hAnsi="Times New Roman" w:cs="Times New Roman"/>
          <w:color w:val="auto"/>
          <w:sz w:val="28"/>
          <w:szCs w:val="28"/>
        </w:rPr>
        <w:t>0.15m</w:t>
      </w:r>
      <w:r>
        <w:rPr>
          <w:rFonts w:hint="eastAsia" w:ascii="Times New Roman" w:hAnsi="Times New Roman" w:cs="宋体"/>
          <w:color w:val="auto"/>
          <w:sz w:val="28"/>
          <w:szCs w:val="28"/>
        </w:rPr>
        <w:t>，突出立柱</w:t>
      </w:r>
      <w:r>
        <w:rPr>
          <w:rFonts w:ascii="Times New Roman" w:hAnsi="Times New Roman" w:cs="Times New Roman"/>
          <w:color w:val="auto"/>
          <w:sz w:val="28"/>
          <w:szCs w:val="28"/>
        </w:rPr>
        <w:t>0.6m</w:t>
      </w:r>
      <w:r>
        <w:rPr>
          <w:rFonts w:hint="eastAsia" w:ascii="Times New Roman" w:hAnsi="Times New Roman" w:cs="宋体"/>
          <w:color w:val="auto"/>
          <w:sz w:val="28"/>
          <w:szCs w:val="28"/>
        </w:rPr>
        <w:t>。</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、每个储油罐设有钢筋混凝土基座，可防止油罐上浮和下沉。</w:t>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四、安全生产管理机构及管理制度</w:t>
      </w:r>
      <w:r>
        <w:rPr>
          <w:rFonts w:ascii="Times New Roman" w:hAnsi="Times New Roman" w:cs="Times New Roman"/>
          <w:color w:val="auto"/>
          <w:sz w:val="28"/>
          <w:szCs w:val="28"/>
        </w:rPr>
        <w:tab/>
      </w:r>
    </w:p>
    <w:p>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该加油站制定了安全生产职责，明确规定了岗位人员的安全生产职责和要求。</w:t>
      </w:r>
    </w:p>
    <w:p>
      <w:pPr>
        <w:spacing w:line="560" w:lineRule="exact"/>
        <w:ind w:firstLine="544" w:firstLineChars="200"/>
        <w:rPr>
          <w:rFonts w:ascii="Times New Roman" w:hAnsi="Times New Roman" w:eastAsia="Times New Roman" w:cs="Times New Roman"/>
          <w:color w:val="auto"/>
          <w:spacing w:val="-4"/>
          <w:sz w:val="28"/>
          <w:szCs w:val="28"/>
        </w:rPr>
      </w:pPr>
      <w:r>
        <w:rPr>
          <w:rFonts w:hint="eastAsia" w:ascii="Times New Roman" w:hAnsi="Times New Roman" w:cs="宋体"/>
          <w:color w:val="auto"/>
          <w:spacing w:val="-4"/>
          <w:sz w:val="28"/>
          <w:szCs w:val="28"/>
        </w:rPr>
        <w:t>制定了各种安全管理制度，包括：安全教育制度，检查制度，值班制度，消防设施、器材维护管理制度，明火管理制度，制定了加油、卸油的安全操作技术规程，制定了应急救援预案，并于2023年2月10日进行了应急救援演练，针对加油区现场发生火灾，进行了应急处置方法培训演练。演练后进行效果总结。</w:t>
      </w:r>
    </w:p>
    <w:p>
      <w:pPr>
        <w:keepNext/>
        <w:keepLines/>
        <w:spacing w:line="600" w:lineRule="exact"/>
        <w:outlineLvl w:val="1"/>
        <w:rPr>
          <w:rFonts w:ascii="Times New Roman" w:hAnsi="Times New Roman" w:cs="Times New Roman"/>
          <w:b/>
          <w:bCs/>
          <w:color w:val="auto"/>
          <w:sz w:val="28"/>
          <w:szCs w:val="28"/>
        </w:rPr>
      </w:pPr>
      <w:bookmarkStart w:id="188" w:name="_Toc343692277"/>
      <w:bookmarkStart w:id="189" w:name="_Toc1831"/>
      <w:bookmarkStart w:id="190" w:name="_Toc14660"/>
      <w:r>
        <w:rPr>
          <w:rFonts w:ascii="Times New Roman" w:hAnsi="Times New Roman" w:cs="Times New Roman"/>
          <w:b/>
          <w:bCs/>
          <w:color w:val="auto"/>
          <w:sz w:val="28"/>
          <w:szCs w:val="28"/>
        </w:rPr>
        <w:t>8.</w:t>
      </w:r>
      <w:r>
        <w:rPr>
          <w:rFonts w:hint="eastAsia" w:ascii="Times New Roman" w:hAnsi="Times New Roman" w:cs="Times New Roman"/>
          <w:b/>
          <w:bCs/>
          <w:color w:val="auto"/>
          <w:sz w:val="28"/>
          <w:szCs w:val="28"/>
          <w:lang w:val="en-US" w:eastAsia="zh-CN"/>
        </w:rPr>
        <w:t>2</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建议采取的对策措施</w:t>
      </w:r>
      <w:bookmarkEnd w:id="188"/>
      <w:bookmarkEnd w:id="189"/>
      <w:bookmarkEnd w:id="190"/>
    </w:p>
    <w:p>
      <w:pPr>
        <w:numPr>
          <w:ilvl w:val="0"/>
          <w:numId w:val="5"/>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加油站进一步加强安全管理和安全投入，不断提高安全管理人员和职工的技术、技能水平和安全意识，维护好设备设施，</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进一步提高本质安全度，达到安全经营的目的。</w:t>
      </w:r>
    </w:p>
    <w:p>
      <w:pPr>
        <w:numPr>
          <w:ilvl w:val="0"/>
          <w:numId w:val="5"/>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加油站进一步加强安全管理和安全投入，不断提高安全管理人员和职工的技术、技能水平和安全意识，维护好设备设施，进一步提高本质安全度，达到安全经营的目的。</w:t>
      </w:r>
    </w:p>
    <w:p>
      <w:pPr>
        <w:numPr>
          <w:ilvl w:val="0"/>
          <w:numId w:val="5"/>
        </w:numPr>
        <w:spacing w:line="600" w:lineRule="exact"/>
        <w:ind w:firstLine="560" w:firstLineChars="200"/>
        <w:rPr>
          <w:rFonts w:ascii="宋体" w:cs="Times New Roman"/>
          <w:color w:val="auto"/>
          <w:sz w:val="28"/>
          <w:szCs w:val="28"/>
        </w:rPr>
      </w:pPr>
      <w:r>
        <w:rPr>
          <w:rFonts w:hint="eastAsia" w:ascii="宋体" w:hAnsi="宋体" w:cs="宋体"/>
          <w:color w:val="auto"/>
          <w:sz w:val="28"/>
          <w:szCs w:val="28"/>
        </w:rPr>
        <w:t>卸油时，确认铅封、运单信息和地罐空容，确认卸油罐对应加油机停止发油。且卸油期间，卸油员和驾驶员必须全程现场监护，做好巡查。</w:t>
      </w:r>
    </w:p>
    <w:p>
      <w:pPr>
        <w:pStyle w:val="38"/>
        <w:numPr>
          <w:ilvl w:val="0"/>
          <w:numId w:val="5"/>
        </w:numPr>
        <w:ind w:firstLine="560" w:firstLineChars="200"/>
        <w:rPr>
          <w:rFonts w:cs="Times New Roman"/>
          <w:color w:val="auto"/>
          <w:sz w:val="28"/>
          <w:szCs w:val="28"/>
        </w:rPr>
      </w:pPr>
      <w:r>
        <w:rPr>
          <w:rFonts w:hint="eastAsia"/>
          <w:color w:val="auto"/>
          <w:sz w:val="28"/>
          <w:szCs w:val="28"/>
        </w:rPr>
        <w:t>维护、检修应使用防爆型照明设备、防爆工具，严禁使用撞击易产生火花的工具。应定期对输油管道进行耐压试验，定时检测地下油罐泄露和人孔阴井油气浓度，确认无油料溢出。</w:t>
      </w:r>
    </w:p>
    <w:p>
      <w:pPr>
        <w:pStyle w:val="38"/>
        <w:numPr>
          <w:ilvl w:val="0"/>
          <w:numId w:val="5"/>
        </w:numPr>
        <w:ind w:firstLine="560" w:firstLineChars="200"/>
        <w:rPr>
          <w:rFonts w:cs="Times New Roman"/>
          <w:color w:val="auto"/>
          <w:sz w:val="28"/>
          <w:szCs w:val="28"/>
        </w:rPr>
      </w:pPr>
      <w:r>
        <w:rPr>
          <w:rFonts w:hint="eastAsia"/>
          <w:color w:val="auto"/>
          <w:sz w:val="28"/>
          <w:szCs w:val="28"/>
        </w:rPr>
        <w:t>加油机维修前应切断电源摘下皮带轮上的皮带。注意不要划伤各金属零件、密封件及密封结合面，以免造成泄露。</w:t>
      </w:r>
    </w:p>
    <w:p>
      <w:pPr>
        <w:pStyle w:val="38"/>
        <w:numPr>
          <w:ilvl w:val="0"/>
          <w:numId w:val="5"/>
        </w:numPr>
        <w:spacing w:line="360" w:lineRule="auto"/>
        <w:ind w:left="0" w:leftChars="0" w:firstLine="560" w:firstLineChars="200"/>
        <w:rPr>
          <w:rFonts w:hint="eastAsia"/>
          <w:color w:val="auto"/>
          <w:sz w:val="28"/>
          <w:szCs w:val="28"/>
        </w:rPr>
      </w:pPr>
      <w:bookmarkStart w:id="191" w:name="_Toc7092"/>
      <w:bookmarkStart w:id="192" w:name="_Toc343692278"/>
      <w:bookmarkStart w:id="193" w:name="_Toc20557"/>
      <w:r>
        <w:rPr>
          <w:rFonts w:hint="eastAsia"/>
          <w:color w:val="auto"/>
          <w:sz w:val="28"/>
          <w:szCs w:val="28"/>
        </w:rPr>
        <w:t>根据《生产经营单位安全培训规定》第二十四条相关规定，危险化学品经营单位主要负责人和安全生产管理人员，自任职之日起</w:t>
      </w:r>
      <w:r>
        <w:rPr>
          <w:color w:val="auto"/>
          <w:sz w:val="28"/>
          <w:szCs w:val="28"/>
        </w:rPr>
        <w:t>6</w:t>
      </w:r>
      <w:r>
        <w:rPr>
          <w:rFonts w:hint="eastAsia"/>
          <w:color w:val="auto"/>
          <w:sz w:val="28"/>
          <w:szCs w:val="28"/>
        </w:rPr>
        <w:t>个月内，必须经安全生产监管监察部门对其安全生产知识和管理能力考核合格。</w:t>
      </w:r>
    </w:p>
    <w:p>
      <w:pPr>
        <w:pStyle w:val="38"/>
        <w:numPr>
          <w:ilvl w:val="0"/>
          <w:numId w:val="0"/>
        </w:numPr>
        <w:spacing w:line="360" w:lineRule="auto"/>
        <w:outlineLvl w:val="0"/>
        <w:rPr>
          <w:rFonts w:ascii="Times New Roman" w:cs="Times New Roman"/>
          <w:b/>
          <w:bCs/>
          <w:color w:val="auto"/>
          <w:sz w:val="28"/>
          <w:szCs w:val="28"/>
        </w:rPr>
      </w:pPr>
      <w:r>
        <w:rPr>
          <w:rFonts w:ascii="Times New Roman" w:cs="Times New Roman"/>
          <w:b/>
          <w:bCs/>
          <w:color w:val="auto"/>
          <w:sz w:val="28"/>
          <w:szCs w:val="28"/>
        </w:rPr>
        <w:br w:type="page"/>
      </w:r>
      <w:bookmarkStart w:id="194" w:name="_Toc9464"/>
      <w:r>
        <w:rPr>
          <w:rStyle w:val="24"/>
          <w:color w:val="auto"/>
        </w:rPr>
        <w:t xml:space="preserve">9 </w:t>
      </w:r>
      <w:r>
        <w:rPr>
          <w:rStyle w:val="24"/>
          <w:rFonts w:hint="eastAsia"/>
          <w:color w:val="auto"/>
        </w:rPr>
        <w:t>安全验收评价结论</w:t>
      </w:r>
      <w:bookmarkEnd w:id="191"/>
      <w:bookmarkEnd w:id="192"/>
      <w:bookmarkEnd w:id="193"/>
      <w:bookmarkEnd w:id="194"/>
    </w:p>
    <w:p>
      <w:pPr>
        <w:spacing w:line="600" w:lineRule="exact"/>
        <w:ind w:firstLine="560" w:firstLineChars="200"/>
        <w:rPr>
          <w:rFonts w:hint="eastAsia" w:ascii="Times New Roman" w:hAnsi="Times New Roman" w:eastAsia="宋体" w:cs="宋体"/>
          <w:color w:val="auto"/>
          <w:sz w:val="28"/>
          <w:szCs w:val="28"/>
          <w:lang w:eastAsia="zh-CN"/>
        </w:rPr>
      </w:pPr>
      <w:r>
        <w:rPr>
          <w:rFonts w:ascii="Times New Roman" w:hAnsi="Times New Roman" w:cs="Times New Roman"/>
          <w:color w:val="auto"/>
          <w:sz w:val="28"/>
          <w:szCs w:val="28"/>
        </w:rPr>
        <w:t>1</w:t>
      </w:r>
      <w:r>
        <w:rPr>
          <w:rFonts w:hint="eastAsia" w:ascii="Times New Roman" w:hAnsi="Times New Roman" w:cs="宋体"/>
          <w:color w:val="auto"/>
          <w:sz w:val="28"/>
          <w:szCs w:val="28"/>
        </w:rPr>
        <w:t>、</w:t>
      </w:r>
      <w:r>
        <w:rPr>
          <w:rFonts w:hint="eastAsia" w:ascii="Times New Roman" w:hAnsi="Times New Roman" w:cs="宋体"/>
          <w:color w:val="auto"/>
          <w:sz w:val="28"/>
          <w:szCs w:val="28"/>
          <w:lang w:eastAsia="zh-CN"/>
        </w:rPr>
        <w:t>江西景德镇石油分公司鱼丽加油站</w:t>
      </w:r>
      <w:r>
        <w:rPr>
          <w:rFonts w:hint="eastAsia" w:ascii="Times New Roman" w:hAnsi="Times New Roman" w:eastAsia="新宋体" w:cs="新宋体"/>
          <w:color w:val="auto"/>
          <w:sz w:val="28"/>
          <w:szCs w:val="28"/>
        </w:rPr>
        <w:t>建设项目</w:t>
      </w:r>
      <w:r>
        <w:rPr>
          <w:rFonts w:hint="eastAsia" w:ascii="Times New Roman" w:hAnsi="Times New Roman" w:cs="宋体"/>
          <w:color w:val="auto"/>
          <w:sz w:val="28"/>
          <w:szCs w:val="28"/>
        </w:rPr>
        <w:t>由具有相应资质的单位设计、施工及安装；项目安全设施能按相关的法律、法规和标准规范的要求与主体工程同时经验收后投入生产和管理。</w:t>
      </w:r>
    </w:p>
    <w:p>
      <w:pPr>
        <w:spacing w:line="600" w:lineRule="exact"/>
        <w:ind w:firstLine="560" w:firstLineChars="200"/>
        <w:rPr>
          <w:rFonts w:hint="eastAsia" w:ascii="Times New Roman" w:hAnsi="Times New Roman" w:eastAsia="宋体" w:cs="宋体"/>
          <w:color w:val="auto"/>
          <w:sz w:val="28"/>
          <w:szCs w:val="28"/>
          <w:lang w:eastAsia="zh-CN"/>
        </w:rPr>
      </w:pPr>
      <w:r>
        <w:rPr>
          <w:rFonts w:ascii="Times New Roman" w:hAnsi="Times New Roman" w:cs="Times New Roman"/>
          <w:color w:val="auto"/>
          <w:sz w:val="28"/>
          <w:szCs w:val="28"/>
        </w:rPr>
        <w:t>2</w:t>
      </w:r>
      <w:r>
        <w:rPr>
          <w:rFonts w:hint="eastAsia" w:ascii="Times New Roman" w:hAnsi="Times New Roman" w:cs="宋体"/>
          <w:color w:val="auto"/>
          <w:sz w:val="28"/>
          <w:szCs w:val="28"/>
        </w:rPr>
        <w:t>、危险有害因素辨识结果</w:t>
      </w:r>
    </w:p>
    <w:p>
      <w:pPr>
        <w:spacing w:line="600" w:lineRule="exact"/>
        <w:ind w:firstLine="560" w:firstLineChars="200"/>
        <w:rPr>
          <w:rFonts w:hint="eastAsia" w:ascii="Times New Roman" w:hAnsi="Times New Roman" w:eastAsia="宋体" w:cs="宋体"/>
          <w:color w:val="auto"/>
          <w:sz w:val="28"/>
          <w:szCs w:val="28"/>
          <w:lang w:val="zh-CN" w:eastAsia="zh-CN"/>
        </w:rPr>
      </w:pPr>
      <w:r>
        <w:rPr>
          <w:rFonts w:hint="eastAsia" w:ascii="Times New Roman" w:hAnsi="Times New Roman" w:cs="宋体"/>
          <w:color w:val="auto"/>
          <w:sz w:val="28"/>
          <w:szCs w:val="28"/>
        </w:rPr>
        <w:t>①</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该加油站涉及的汽油、柴油属于易燃液体，属于《危险化学品目录》（</w:t>
      </w:r>
      <w:r>
        <w:rPr>
          <w:rFonts w:ascii="Times New Roman" w:hAnsi="Times New Roman" w:cs="Times New Roman"/>
          <w:color w:val="auto"/>
          <w:sz w:val="28"/>
          <w:szCs w:val="28"/>
        </w:rPr>
        <w:t>2015</w:t>
      </w:r>
      <w:r>
        <w:rPr>
          <w:rFonts w:hint="eastAsia" w:ascii="Times New Roman" w:hAnsi="Times New Roman" w:cs="宋体"/>
          <w:color w:val="auto"/>
          <w:sz w:val="28"/>
          <w:szCs w:val="28"/>
        </w:rPr>
        <w:t>年版）内危险化学品。其中汽油属于我国重点监管的危险化学品及特别管控的危险化学品。</w:t>
      </w:r>
      <w:r>
        <w:rPr>
          <w:rFonts w:hint="eastAsia" w:ascii="Times New Roman" w:hAnsi="Times New Roman" w:cs="宋体"/>
          <w:color w:val="auto"/>
          <w:spacing w:val="-4"/>
          <w:sz w:val="28"/>
          <w:szCs w:val="28"/>
        </w:rPr>
        <w:t>不涉及剧毒化学品、高毒物品、易制毒化学品、监控化学品、易制爆化学品</w:t>
      </w:r>
      <w:r>
        <w:rPr>
          <w:rFonts w:hint="eastAsia" w:ascii="Times New Roman" w:hAnsi="Times New Roman" w:cs="宋体"/>
          <w:color w:val="auto"/>
          <w:kern w:val="0"/>
          <w:sz w:val="28"/>
          <w:szCs w:val="28"/>
        </w:rPr>
        <w:t>。</w:t>
      </w:r>
      <w:r>
        <w:rPr>
          <w:rFonts w:hint="eastAsia" w:ascii="Times New Roman" w:hAnsi="Times New Roman" w:cs="宋体"/>
          <w:color w:val="auto"/>
          <w:sz w:val="28"/>
          <w:szCs w:val="28"/>
        </w:rPr>
        <w:t>项目</w:t>
      </w:r>
      <w:r>
        <w:rPr>
          <w:rFonts w:hint="eastAsia" w:ascii="Times New Roman" w:hAnsi="Times New Roman" w:cs="宋体"/>
          <w:color w:val="auto"/>
          <w:sz w:val="28"/>
          <w:szCs w:val="28"/>
          <w:lang w:val="zh-CN"/>
        </w:rPr>
        <w:t>不属于危险化工工艺。</w:t>
      </w:r>
    </w:p>
    <w:p>
      <w:pPr>
        <w:spacing w:line="600" w:lineRule="exact"/>
        <w:ind w:firstLine="560" w:firstLineChars="200"/>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rPr>
        <w:t>②该加油站储罐区和加油区均不构成危险化学品重大危险源。</w:t>
      </w:r>
    </w:p>
    <w:p>
      <w:pPr>
        <w:spacing w:line="600" w:lineRule="exact"/>
        <w:ind w:firstLine="560" w:firstLineChars="200"/>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rPr>
        <w:t>③企业在经营过程中存在的主要危险因素有：火灾爆炸、电气伤害、车辆伤害、高处坠落等，存在的主要危害因素有：有害物质、噪声等，同时存在人为失误和管理缺陷。应重点关注的危险有害因素为火灾爆炸。</w:t>
      </w:r>
    </w:p>
    <w:p>
      <w:pPr>
        <w:spacing w:line="600" w:lineRule="exact"/>
        <w:ind w:firstLine="560" w:firstLineChars="200"/>
        <w:rPr>
          <w:rFonts w:ascii="Times New Roman" w:hAnsi="Times New Roman" w:eastAsia="新宋体"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、项目公用工程能够满足安全经营的需要。</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、采用检查表评价法进行加油站安全评价，结论为符合要求。</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5</w:t>
      </w:r>
      <w:r>
        <w:rPr>
          <w:rFonts w:hint="eastAsia" w:ascii="Times New Roman" w:hAnsi="Times New Roman" w:cs="宋体"/>
          <w:color w:val="auto"/>
          <w:sz w:val="28"/>
          <w:szCs w:val="28"/>
        </w:rPr>
        <w:t>、加油站取得了防雷检测报告</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各设备设施均取得合格证</w:t>
      </w:r>
      <w:r>
        <w:rPr>
          <w:rFonts w:hint="eastAsia" w:ascii="Times New Roman" w:hAnsi="Times New Roman" w:cs="宋体"/>
          <w:color w:val="auto"/>
          <w:sz w:val="28"/>
          <w:szCs w:val="28"/>
        </w:rPr>
        <w:t>。加油站能够符合安全规范要求。</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6</w:t>
      </w:r>
      <w:r>
        <w:rPr>
          <w:rFonts w:hint="eastAsia" w:ascii="Times New Roman" w:hAnsi="Times New Roman" w:cs="宋体"/>
          <w:color w:val="auto"/>
          <w:sz w:val="28"/>
          <w:szCs w:val="28"/>
        </w:rPr>
        <w:t>、建设项目按照《中华人民共和国安全生产法》的要求进行</w:t>
      </w:r>
      <w:r>
        <w:rPr>
          <w:rFonts w:ascii="Times New Roman" w:hAnsi="Times New Roman" w:cs="Times New Roman"/>
          <w:color w:val="auto"/>
          <w:sz w:val="28"/>
          <w:szCs w:val="28"/>
        </w:rPr>
        <w:t>“</w:t>
      </w:r>
      <w:r>
        <w:rPr>
          <w:rFonts w:hint="eastAsia" w:ascii="Times New Roman" w:hAnsi="Times New Roman" w:cs="宋体"/>
          <w:color w:val="auto"/>
          <w:sz w:val="28"/>
          <w:szCs w:val="28"/>
        </w:rPr>
        <w:t>三同时</w:t>
      </w:r>
      <w:r>
        <w:rPr>
          <w:rFonts w:ascii="Times New Roman" w:hAnsi="Times New Roman" w:cs="Times New Roman"/>
          <w:color w:val="auto"/>
          <w:sz w:val="28"/>
          <w:szCs w:val="28"/>
        </w:rPr>
        <w:t>”</w:t>
      </w:r>
      <w:r>
        <w:rPr>
          <w:rFonts w:hint="eastAsia" w:ascii="Times New Roman" w:hAnsi="Times New Roman" w:cs="宋体"/>
          <w:color w:val="auto"/>
          <w:sz w:val="28"/>
          <w:szCs w:val="28"/>
        </w:rPr>
        <w:t>审批，安全设施按照安全设施与主体工程同时设计、同时施工、同时投入生产和使用的</w:t>
      </w:r>
      <w:r>
        <w:rPr>
          <w:rFonts w:ascii="Times New Roman" w:hAnsi="Times New Roman" w:cs="Times New Roman"/>
          <w:color w:val="auto"/>
          <w:sz w:val="28"/>
          <w:szCs w:val="28"/>
        </w:rPr>
        <w:t>“</w:t>
      </w:r>
      <w:r>
        <w:rPr>
          <w:rFonts w:hint="eastAsia" w:ascii="Times New Roman" w:hAnsi="Times New Roman" w:cs="宋体"/>
          <w:color w:val="auto"/>
          <w:sz w:val="28"/>
          <w:szCs w:val="28"/>
        </w:rPr>
        <w:t>三同时</w:t>
      </w:r>
      <w:r>
        <w:rPr>
          <w:rFonts w:ascii="Times New Roman" w:hAnsi="Times New Roman" w:cs="Times New Roman"/>
          <w:color w:val="auto"/>
          <w:sz w:val="28"/>
          <w:szCs w:val="28"/>
        </w:rPr>
        <w:t>”</w:t>
      </w:r>
      <w:r>
        <w:rPr>
          <w:rFonts w:hint="eastAsia" w:ascii="Times New Roman" w:hAnsi="Times New Roman" w:cs="宋体"/>
          <w:color w:val="auto"/>
          <w:sz w:val="28"/>
          <w:szCs w:val="28"/>
        </w:rPr>
        <w:t>的要求进行。</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7</w:t>
      </w:r>
      <w:r>
        <w:rPr>
          <w:rFonts w:hint="eastAsia" w:ascii="Times New Roman" w:hAnsi="Times New Roman" w:cs="宋体"/>
          <w:color w:val="auto"/>
          <w:sz w:val="28"/>
          <w:szCs w:val="28"/>
        </w:rPr>
        <w:t>、项目在外部防火距离、平面布置、消防安全设施和措施能够满足国家法律、法规、标准、规范的要求。电气防爆防护、机械设备的安全保护等方面的安全设施建立有效。</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8</w:t>
      </w:r>
      <w:r>
        <w:rPr>
          <w:rFonts w:hint="eastAsia" w:ascii="Times New Roman" w:hAnsi="Times New Roman" w:cs="宋体"/>
          <w:color w:val="auto"/>
          <w:sz w:val="28"/>
          <w:szCs w:val="28"/>
        </w:rPr>
        <w:t>、从作业条件危险性分析结果可以看出，在选定的单元中作业条件均在</w:t>
      </w:r>
      <w:r>
        <w:rPr>
          <w:rFonts w:ascii="Times New Roman" w:hAnsi="Times New Roman" w:cs="Times New Roman"/>
          <w:color w:val="auto"/>
          <w:sz w:val="28"/>
          <w:szCs w:val="28"/>
        </w:rPr>
        <w:t>“</w:t>
      </w:r>
      <w:r>
        <w:rPr>
          <w:rFonts w:hint="eastAsia" w:ascii="Times New Roman" w:hAnsi="Times New Roman" w:cs="宋体"/>
          <w:color w:val="auto"/>
          <w:sz w:val="28"/>
          <w:szCs w:val="28"/>
        </w:rPr>
        <w:t>一般危险</w:t>
      </w:r>
      <w:r>
        <w:rPr>
          <w:rFonts w:ascii="Times New Roman" w:hAnsi="Times New Roman" w:cs="Times New Roman"/>
          <w:color w:val="auto"/>
          <w:sz w:val="28"/>
          <w:szCs w:val="28"/>
        </w:rPr>
        <w:t>”</w:t>
      </w:r>
      <w:r>
        <w:rPr>
          <w:rFonts w:hint="eastAsia" w:ascii="Times New Roman" w:hAnsi="Times New Roman" w:cs="宋体"/>
          <w:color w:val="auto"/>
          <w:sz w:val="28"/>
          <w:szCs w:val="28"/>
        </w:rPr>
        <w:t>或</w:t>
      </w:r>
      <w:r>
        <w:rPr>
          <w:rFonts w:ascii="Times New Roman" w:hAnsi="Times New Roman" w:cs="Times New Roman"/>
          <w:color w:val="auto"/>
          <w:sz w:val="28"/>
          <w:szCs w:val="28"/>
        </w:rPr>
        <w:t>“</w:t>
      </w:r>
      <w:r>
        <w:rPr>
          <w:rFonts w:hint="eastAsia" w:ascii="Times New Roman" w:hAnsi="Times New Roman" w:cs="宋体"/>
          <w:color w:val="auto"/>
          <w:sz w:val="28"/>
          <w:szCs w:val="28"/>
        </w:rPr>
        <w:t>稍有危险</w:t>
      </w:r>
      <w:r>
        <w:rPr>
          <w:rFonts w:ascii="Times New Roman" w:hAnsi="Times New Roman" w:cs="Times New Roman"/>
          <w:color w:val="auto"/>
          <w:sz w:val="28"/>
          <w:szCs w:val="28"/>
        </w:rPr>
        <w:t>”</w:t>
      </w:r>
      <w:r>
        <w:rPr>
          <w:rFonts w:hint="eastAsia" w:ascii="Times New Roman" w:hAnsi="Times New Roman" w:cs="宋体"/>
          <w:color w:val="auto"/>
          <w:sz w:val="28"/>
          <w:szCs w:val="28"/>
        </w:rPr>
        <w:t>范围，该项目的作业条件相对比较安全。</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9</w:t>
      </w:r>
      <w:r>
        <w:rPr>
          <w:rFonts w:hint="eastAsia" w:ascii="Times New Roman" w:hAnsi="Times New Roman" w:cs="宋体"/>
          <w:color w:val="auto"/>
          <w:sz w:val="28"/>
          <w:szCs w:val="28"/>
        </w:rPr>
        <w:t>、危险度评价油储罐区得分为</w:t>
      </w:r>
      <w:r>
        <w:rPr>
          <w:rFonts w:hint="eastAsia" w:ascii="Times New Roman" w:hAnsi="Times New Roman" w:cs="Times New Roman"/>
          <w:color w:val="auto"/>
          <w:sz w:val="28"/>
          <w:szCs w:val="28"/>
          <w:lang w:val="en-US" w:eastAsia="zh-CN"/>
        </w:rPr>
        <w:t>17</w:t>
      </w:r>
      <w:r>
        <w:rPr>
          <w:rFonts w:hint="eastAsia" w:ascii="Times New Roman" w:hAnsi="Times New Roman" w:cs="宋体"/>
          <w:color w:val="auto"/>
          <w:sz w:val="28"/>
          <w:szCs w:val="28"/>
        </w:rPr>
        <w:t>分，为</w:t>
      </w:r>
      <w:r>
        <w:rPr>
          <w:rFonts w:hint="eastAsia" w:ascii="宋体" w:hAnsi="宋体" w:eastAsia="宋体" w:cs="宋体"/>
          <w:color w:val="auto"/>
          <w:sz w:val="28"/>
          <w:szCs w:val="28"/>
        </w:rPr>
        <w:t>Ⅰ</w:t>
      </w:r>
      <w:r>
        <w:rPr>
          <w:rFonts w:hint="eastAsia" w:ascii="Times New Roman" w:hAnsi="Times New Roman" w:cs="宋体"/>
          <w:color w:val="auto"/>
          <w:sz w:val="28"/>
          <w:szCs w:val="28"/>
        </w:rPr>
        <w:t>级，属</w:t>
      </w:r>
      <w:r>
        <w:rPr>
          <w:rFonts w:hint="eastAsia" w:ascii="Times New Roman" w:hAnsi="Times New Roman" w:cs="宋体"/>
          <w:color w:val="auto"/>
          <w:sz w:val="28"/>
          <w:szCs w:val="28"/>
          <w:lang w:val="en-US" w:eastAsia="zh-CN"/>
        </w:rPr>
        <w:t>高</w:t>
      </w:r>
      <w:r>
        <w:rPr>
          <w:rFonts w:hint="eastAsia" w:ascii="Times New Roman" w:hAnsi="Times New Roman" w:cs="宋体"/>
          <w:color w:val="auto"/>
          <w:sz w:val="28"/>
          <w:szCs w:val="28"/>
        </w:rPr>
        <w:t>度危险。由于设有紧急切断系统，采用埋地油罐、密封操作、高低液位报警、防渗漏检测等措施，危险有害程度能控制在可接受的范围。</w:t>
      </w:r>
    </w:p>
    <w:p>
      <w:pPr>
        <w:spacing w:line="600" w:lineRule="exact"/>
        <w:ind w:firstLine="560" w:firstLineChars="200"/>
        <w:rPr>
          <w:rFonts w:cs="Times New Roman"/>
          <w:color w:val="auto"/>
        </w:rPr>
      </w:pPr>
      <w:r>
        <w:rPr>
          <w:rFonts w:ascii="Times New Roman" w:hAnsi="Times New Roman" w:cs="Times New Roman"/>
          <w:color w:val="auto"/>
          <w:sz w:val="28"/>
          <w:szCs w:val="28"/>
        </w:rPr>
        <w:t>10</w:t>
      </w:r>
      <w:r>
        <w:rPr>
          <w:rFonts w:hint="eastAsia" w:ascii="Times New Roman" w:hAnsi="Times New Roman" w:cs="宋体"/>
          <w:color w:val="auto"/>
          <w:sz w:val="28"/>
          <w:szCs w:val="28"/>
        </w:rPr>
        <w:t>、加油站现场情况与设计图纸相符，符合国家和行业相关标准、规范的要求。</w:t>
      </w:r>
      <w:r>
        <w:rPr>
          <w:rFonts w:ascii="Times New Roman" w:hAnsi="Times New Roman" w:cs="Times New Roman"/>
          <w:color w:val="auto"/>
          <w:sz w:val="28"/>
          <w:szCs w:val="28"/>
        </w:rPr>
        <w:t xml:space="preserve"> </w:t>
      </w:r>
    </w:p>
    <w:p>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11</w:t>
      </w:r>
      <w:r>
        <w:rPr>
          <w:rFonts w:hint="eastAsia" w:ascii="Times New Roman" w:hAnsi="Times New Roman" w:cs="宋体"/>
          <w:color w:val="auto"/>
          <w:sz w:val="28"/>
          <w:szCs w:val="28"/>
        </w:rPr>
        <w:t>、加油站制定了相应的管理制度，操作规程和事故应急预案，加油站的安全管理机构工作有力，加油站安全经营管理处于正常有序开展范围。</w:t>
      </w:r>
    </w:p>
    <w:p>
      <w:pPr>
        <w:spacing w:line="600" w:lineRule="exact"/>
        <w:ind w:firstLine="560" w:firstLineChars="200"/>
        <w:rPr>
          <w:rFonts w:cs="Times New Roman"/>
          <w:color w:val="auto"/>
        </w:rPr>
      </w:pPr>
      <w:r>
        <w:rPr>
          <w:rFonts w:ascii="Times New Roman" w:hAnsi="Times New Roman" w:cs="Times New Roman"/>
          <w:color w:val="auto"/>
          <w:sz w:val="28"/>
          <w:szCs w:val="28"/>
        </w:rPr>
        <w:t>12</w:t>
      </w:r>
      <w:r>
        <w:rPr>
          <w:rFonts w:hint="eastAsia" w:ascii="Times New Roman" w:hAnsi="Times New Roman" w:cs="宋体"/>
          <w:color w:val="auto"/>
          <w:sz w:val="28"/>
          <w:szCs w:val="28"/>
        </w:rPr>
        <w:t>、在安全验收评价现场检查中发现的安全隐患项，本报告提出了相应整改建议和措施，</w:t>
      </w:r>
      <w:r>
        <w:rPr>
          <w:rFonts w:hint="eastAsia" w:ascii="Times New Roman" w:hAnsi="Times New Roman" w:cs="宋体"/>
          <w:color w:val="auto"/>
          <w:sz w:val="28"/>
          <w:szCs w:val="28"/>
          <w:lang w:eastAsia="zh-CN"/>
        </w:rPr>
        <w:t>江西景德镇石油分公司鱼丽加油站</w:t>
      </w:r>
      <w:r>
        <w:rPr>
          <w:rFonts w:hint="eastAsia" w:ascii="Times New Roman" w:hAnsi="Times New Roman" w:cs="宋体"/>
          <w:color w:val="auto"/>
          <w:sz w:val="28"/>
          <w:szCs w:val="28"/>
        </w:rPr>
        <w:t>针对隐患进行了相应的整改。</w:t>
      </w:r>
    </w:p>
    <w:p>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w:t>
      </w:r>
      <w:r>
        <w:rPr>
          <w:rFonts w:hint="eastAsia" w:ascii="Times New Roman" w:hAnsi="Times New Roman" w:cs="宋体"/>
          <w:b/>
          <w:bCs/>
          <w:color w:val="auto"/>
          <w:sz w:val="28"/>
          <w:szCs w:val="28"/>
          <w:lang w:eastAsia="zh-CN"/>
        </w:rPr>
        <w:t>江西景德镇石油分公司鱼丽加油站</w:t>
      </w:r>
      <w:r>
        <w:rPr>
          <w:rFonts w:hint="eastAsia" w:ascii="Times New Roman" w:hAnsi="Times New Roman" w:cs="宋体"/>
          <w:b/>
          <w:bCs/>
          <w:color w:val="auto"/>
          <w:sz w:val="28"/>
          <w:szCs w:val="28"/>
        </w:rPr>
        <w:t>建设项目安全设施和措施在正常经营过程中能够满足安全经营的条件，消防设施到位且在有效期内，安全管理能够满足正常安全经营的需要，具备安全验收的条件，符合经营和储存危险化学品的安全条件要求。</w:t>
      </w:r>
    </w:p>
    <w:p>
      <w:pPr>
        <w:spacing w:line="240" w:lineRule="atLeast"/>
        <w:rPr>
          <w:rFonts w:hint="eastAsia" w:ascii="Times New Roman" w:hAnsi="Times New Roman" w:cs="Times New Roman"/>
          <w:b/>
          <w:bCs/>
          <w:color w:val="auto"/>
          <w:sz w:val="28"/>
          <w:szCs w:val="28"/>
          <w:lang w:eastAsia="zh-CN"/>
        </w:rPr>
      </w:pPr>
      <w:r>
        <w:rPr>
          <w:rFonts w:ascii="Times New Roman" w:hAnsi="Times New Roman" w:cs="Times New Roman"/>
          <w:b/>
          <w:bCs/>
          <w:color w:val="auto"/>
          <w:sz w:val="28"/>
          <w:szCs w:val="28"/>
        </w:rPr>
        <w:br w:type="page"/>
      </w:r>
      <w:r>
        <w:rPr>
          <w:rFonts w:hint="eastAsia" w:ascii="Times New Roman" w:hAnsi="Times New Roman" w:cs="Times New Roman"/>
          <w:b/>
          <w:bCs/>
          <w:color w:val="auto"/>
          <w:sz w:val="28"/>
          <w:szCs w:val="28"/>
          <w:lang w:eastAsia="zh-CN"/>
        </w:rPr>
        <w:t>现场照片：</w:t>
      </w:r>
    </w:p>
    <w:p>
      <w:pPr>
        <w:spacing w:line="240" w:lineRule="atLeast"/>
        <w:rPr>
          <w:rFonts w:hint="eastAsia" w:ascii="Times New Roman" w:hAnsi="Times New Roman" w:eastAsia="宋体" w:cs="Times New Roman"/>
          <w:b/>
          <w:bCs/>
          <w:color w:val="auto"/>
          <w:sz w:val="28"/>
          <w:szCs w:val="28"/>
          <w:lang w:eastAsia="zh-CN"/>
        </w:rPr>
      </w:pPr>
      <w:r>
        <w:rPr>
          <w:rFonts w:hint="eastAsia" w:ascii="Times New Roman" w:hAnsi="Times New Roman" w:eastAsia="宋体" w:cs="Times New Roman"/>
          <w:b/>
          <w:bCs/>
          <w:color w:val="auto"/>
          <w:sz w:val="28"/>
          <w:szCs w:val="28"/>
          <w:lang w:eastAsia="zh-CN"/>
        </w:rPr>
        <w:drawing>
          <wp:inline distT="0" distB="0" distL="114300" distR="114300">
            <wp:extent cx="5753100" cy="7673340"/>
            <wp:effectExtent l="0" t="0" r="0" b="10160"/>
            <wp:docPr id="23" name="图片 7" descr="688cc802edb7fe0289c1fe5a83128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descr="688cc802edb7fe0289c1fe5a831281b"/>
                    <pic:cNvPicPr>
                      <a:picLocks noChangeAspect="1"/>
                    </pic:cNvPicPr>
                  </pic:nvPicPr>
                  <pic:blipFill>
                    <a:blip r:embed="rId18"/>
                    <a:stretch>
                      <a:fillRect/>
                    </a:stretch>
                  </pic:blipFill>
                  <pic:spPr>
                    <a:xfrm>
                      <a:off x="0" y="0"/>
                      <a:ext cx="5753100" cy="7673340"/>
                    </a:xfrm>
                    <a:prstGeom prst="rect">
                      <a:avLst/>
                    </a:prstGeom>
                    <a:noFill/>
                    <a:ln>
                      <a:noFill/>
                    </a:ln>
                  </pic:spPr>
                </pic:pic>
              </a:graphicData>
            </a:graphic>
          </wp:inline>
        </w:drawing>
      </w:r>
      <w:r>
        <w:rPr>
          <w:rFonts w:hint="eastAsia" w:ascii="Times New Roman" w:hAnsi="Times New Roman" w:eastAsia="宋体" w:cs="Times New Roman"/>
          <w:b/>
          <w:bCs/>
          <w:color w:val="auto"/>
          <w:sz w:val="28"/>
          <w:szCs w:val="28"/>
          <w:lang w:eastAsia="zh-CN"/>
        </w:rPr>
        <w:drawing>
          <wp:inline distT="0" distB="0" distL="114300" distR="114300">
            <wp:extent cx="5262880" cy="7019290"/>
            <wp:effectExtent l="0" t="0" r="7620" b="3810"/>
            <wp:docPr id="22" name="图片 6" descr="f31b55f1d53bc68a680ae310054b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descr="f31b55f1d53bc68a680ae310054beaa"/>
                    <pic:cNvPicPr>
                      <a:picLocks noChangeAspect="1"/>
                    </pic:cNvPicPr>
                  </pic:nvPicPr>
                  <pic:blipFill>
                    <a:blip r:embed="rId19"/>
                    <a:stretch>
                      <a:fillRect/>
                    </a:stretch>
                  </pic:blipFill>
                  <pic:spPr>
                    <a:xfrm>
                      <a:off x="0" y="0"/>
                      <a:ext cx="5262880" cy="7019290"/>
                    </a:xfrm>
                    <a:prstGeom prst="rect">
                      <a:avLst/>
                    </a:prstGeom>
                    <a:noFill/>
                    <a:ln>
                      <a:noFill/>
                    </a:ln>
                  </pic:spPr>
                </pic:pic>
              </a:graphicData>
            </a:graphic>
          </wp:inline>
        </w:drawing>
      </w:r>
    </w:p>
    <w:p>
      <w:pPr>
        <w:spacing w:line="600" w:lineRule="exact"/>
        <w:outlineLvl w:val="0"/>
        <w:rPr>
          <w:rFonts w:ascii="Times New Roman" w:hAnsi="Times New Roman" w:cs="Times New Roman"/>
          <w:color w:val="auto"/>
          <w:sz w:val="28"/>
          <w:szCs w:val="28"/>
        </w:rPr>
      </w:pPr>
      <w:bookmarkStart w:id="195" w:name="_Toc17302"/>
      <w:bookmarkStart w:id="196" w:name="_Toc14342"/>
      <w:r>
        <w:rPr>
          <w:rFonts w:ascii="Times New Roman" w:hAnsi="Times New Roman" w:cs="Times New Roman"/>
          <w:b/>
          <w:bCs/>
          <w:color w:val="auto"/>
          <w:sz w:val="28"/>
          <w:szCs w:val="28"/>
        </w:rPr>
        <w:br w:type="page"/>
      </w:r>
      <w:bookmarkStart w:id="197" w:name="_Toc25857"/>
      <w:r>
        <w:rPr>
          <w:rFonts w:ascii="Times New Roman" w:hAnsi="Times New Roman" w:cs="Times New Roman"/>
          <w:b/>
          <w:bCs/>
          <w:color w:val="auto"/>
          <w:sz w:val="28"/>
          <w:szCs w:val="28"/>
        </w:rPr>
        <w:t xml:space="preserve">10 </w:t>
      </w:r>
      <w:r>
        <w:rPr>
          <w:rFonts w:hint="eastAsia" w:ascii="Times New Roman" w:hAnsi="Times New Roman" w:cs="宋体"/>
          <w:b/>
          <w:bCs/>
          <w:color w:val="auto"/>
          <w:sz w:val="28"/>
          <w:szCs w:val="28"/>
        </w:rPr>
        <w:t>附件</w:t>
      </w:r>
      <w:bookmarkEnd w:id="195"/>
      <w:bookmarkEnd w:id="196"/>
      <w:bookmarkEnd w:id="197"/>
    </w:p>
    <w:p>
      <w:pPr>
        <w:ind w:firstLine="560" w:firstLineChars="200"/>
        <w:rPr>
          <w:rFonts w:hint="eastAsia" w:ascii="Times New Roman" w:hAnsi="Times New Roman" w:eastAsia="宋体" w:cs="Times New Roman"/>
          <w:color w:val="auto"/>
          <w:sz w:val="28"/>
          <w:szCs w:val="28"/>
          <w:lang w:eastAsia="zh-CN"/>
        </w:rPr>
      </w:pPr>
      <w:bookmarkStart w:id="198" w:name="_Toc32617"/>
      <w:bookmarkStart w:id="199" w:name="_Toc11625"/>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1</w:t>
      </w:r>
      <w:r>
        <w:rPr>
          <w:rFonts w:hint="eastAsia" w:ascii="Times New Roman" w:hAnsi="Times New Roman" w:eastAsia="宋体" w:cs="宋体"/>
          <w:color w:val="auto"/>
          <w:sz w:val="28"/>
          <w:szCs w:val="28"/>
        </w:rPr>
        <w:t>：</w:t>
      </w:r>
      <w:bookmarkEnd w:id="198"/>
      <w:bookmarkEnd w:id="199"/>
      <w:r>
        <w:rPr>
          <w:rFonts w:hint="eastAsia" w:ascii="Times New Roman" w:hAnsi="Times New Roman" w:eastAsia="宋体" w:cs="宋体"/>
          <w:color w:val="auto"/>
          <w:sz w:val="28"/>
          <w:szCs w:val="28"/>
          <w:lang w:val="en-US" w:eastAsia="zh-CN"/>
        </w:rPr>
        <w:t>营业执照</w:t>
      </w:r>
    </w:p>
    <w:p>
      <w:pPr>
        <w:ind w:firstLine="560" w:firstLineChars="200"/>
        <w:rPr>
          <w:rFonts w:ascii="Times New Roman" w:hAnsi="Times New Roman" w:eastAsia="宋体" w:cs="Times New Roman"/>
          <w:color w:val="auto"/>
          <w:sz w:val="28"/>
          <w:szCs w:val="28"/>
        </w:rPr>
      </w:pPr>
      <w:bookmarkStart w:id="200" w:name="_Toc26712"/>
      <w:bookmarkStart w:id="201" w:name="_Toc5937"/>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2</w:t>
      </w:r>
      <w:r>
        <w:rPr>
          <w:rFonts w:hint="eastAsia" w:ascii="Times New Roman" w:hAnsi="Times New Roman" w:eastAsia="宋体" w:cs="宋体"/>
          <w:color w:val="auto"/>
          <w:sz w:val="28"/>
          <w:szCs w:val="28"/>
        </w:rPr>
        <w:t>：</w:t>
      </w:r>
      <w:bookmarkEnd w:id="200"/>
      <w:bookmarkEnd w:id="201"/>
      <w:r>
        <w:rPr>
          <w:rFonts w:hint="eastAsia" w:ascii="Times New Roman" w:hAnsi="Times New Roman" w:eastAsia="宋体" w:cs="宋体"/>
          <w:color w:val="auto"/>
          <w:sz w:val="28"/>
          <w:szCs w:val="28"/>
        </w:rPr>
        <w:t>土地证</w:t>
      </w:r>
    </w:p>
    <w:p>
      <w:pPr>
        <w:ind w:firstLine="560" w:firstLineChars="200"/>
        <w:rPr>
          <w:rFonts w:ascii="Times New Roman" w:hAnsi="Times New Roman" w:eastAsia="宋体" w:cs="Times New Roman"/>
          <w:color w:val="auto"/>
          <w:sz w:val="28"/>
          <w:szCs w:val="28"/>
        </w:rPr>
      </w:pPr>
      <w:bookmarkStart w:id="202" w:name="_Toc26944"/>
      <w:bookmarkStart w:id="203" w:name="_Toc16077"/>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3</w:t>
      </w:r>
      <w:r>
        <w:rPr>
          <w:rFonts w:hint="eastAsia" w:ascii="Times New Roman" w:hAnsi="Times New Roman" w:eastAsia="宋体" w:cs="宋体"/>
          <w:color w:val="auto"/>
          <w:sz w:val="28"/>
          <w:szCs w:val="28"/>
        </w:rPr>
        <w:t>：</w:t>
      </w:r>
      <w:bookmarkEnd w:id="202"/>
      <w:bookmarkEnd w:id="203"/>
      <w:r>
        <w:rPr>
          <w:rFonts w:hint="eastAsia" w:ascii="Times New Roman" w:hAnsi="Times New Roman" w:eastAsia="宋体" w:cs="宋体"/>
          <w:color w:val="auto"/>
          <w:sz w:val="28"/>
          <w:szCs w:val="28"/>
          <w:lang w:val="en-US" w:eastAsia="zh-CN"/>
        </w:rPr>
        <w:t>成品油零售经营批准证书、危险化学品经营许可证</w:t>
      </w:r>
    </w:p>
    <w:p>
      <w:pPr>
        <w:ind w:firstLine="560" w:firstLineChars="200"/>
        <w:rPr>
          <w:rFonts w:hint="default" w:ascii="Times New Roman" w:hAnsi="Times New Roman" w:eastAsia="宋体" w:cs="Times New Roman"/>
          <w:color w:val="auto"/>
          <w:sz w:val="28"/>
          <w:szCs w:val="28"/>
          <w:lang w:val="en-US" w:eastAsia="zh-CN"/>
        </w:rPr>
      </w:pPr>
      <w:bookmarkStart w:id="204" w:name="_Toc19823"/>
      <w:bookmarkStart w:id="205" w:name="_Toc15971"/>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4</w:t>
      </w:r>
      <w:r>
        <w:rPr>
          <w:rFonts w:hint="eastAsia" w:ascii="Times New Roman" w:hAnsi="Times New Roman" w:eastAsia="宋体" w:cs="宋体"/>
          <w:color w:val="auto"/>
          <w:sz w:val="28"/>
          <w:szCs w:val="28"/>
        </w:rPr>
        <w:t>：</w:t>
      </w:r>
      <w:bookmarkEnd w:id="204"/>
      <w:bookmarkEnd w:id="205"/>
      <w:r>
        <w:rPr>
          <w:rFonts w:hint="eastAsia" w:ascii="Times New Roman" w:hAnsi="Times New Roman" w:eastAsia="宋体" w:cs="宋体"/>
          <w:color w:val="auto"/>
          <w:sz w:val="28"/>
          <w:szCs w:val="28"/>
        </w:rPr>
        <w:t>设计、施工、监理单位资质</w:t>
      </w:r>
    </w:p>
    <w:p>
      <w:pPr>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5</w:t>
      </w:r>
      <w:r>
        <w:rPr>
          <w:rFonts w:hint="eastAsia" w:ascii="Times New Roman" w:hAnsi="Times New Roman" w:eastAsia="宋体" w:cs="宋体"/>
          <w:color w:val="auto"/>
          <w:sz w:val="28"/>
          <w:szCs w:val="28"/>
        </w:rPr>
        <w:t>：油罐合格证、加油机合格证、输油管道合格证</w:t>
      </w:r>
    </w:p>
    <w:p>
      <w:pPr>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6</w:t>
      </w:r>
      <w:r>
        <w:rPr>
          <w:rFonts w:hint="eastAsia" w:ascii="Times New Roman" w:hAnsi="Times New Roman" w:eastAsia="宋体" w:cs="宋体"/>
          <w:color w:val="auto"/>
          <w:sz w:val="28"/>
          <w:szCs w:val="28"/>
        </w:rPr>
        <w:t>：测漏仪、液位检测检验合格证</w:t>
      </w:r>
    </w:p>
    <w:p>
      <w:pPr>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7</w:t>
      </w:r>
      <w:r>
        <w:rPr>
          <w:rFonts w:hint="eastAsia" w:ascii="Times New Roman" w:hAnsi="Times New Roman" w:eastAsia="宋体" w:cs="宋体"/>
          <w:color w:val="auto"/>
          <w:sz w:val="28"/>
          <w:szCs w:val="28"/>
        </w:rPr>
        <w:t>：防雷检测报告</w:t>
      </w:r>
    </w:p>
    <w:p>
      <w:pPr>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8</w:t>
      </w:r>
      <w:r>
        <w:rPr>
          <w:rFonts w:hint="eastAsia" w:ascii="Times New Roman" w:hAnsi="Times New Roman" w:eastAsia="宋体" w:cs="宋体"/>
          <w:color w:val="auto"/>
          <w:sz w:val="28"/>
          <w:szCs w:val="28"/>
        </w:rPr>
        <w:t>：安全管理制度、安全操作规程、应急救援预案及备案资料，应急演练记录</w:t>
      </w:r>
    </w:p>
    <w:p>
      <w:pPr>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9</w:t>
      </w:r>
      <w:r>
        <w:rPr>
          <w:rFonts w:hint="eastAsia" w:ascii="Times New Roman" w:hAnsi="Times New Roman" w:eastAsia="宋体" w:cs="宋体"/>
          <w:color w:val="auto"/>
          <w:sz w:val="28"/>
          <w:szCs w:val="28"/>
        </w:rPr>
        <w:t>：主要负责人、安全管理认证书</w:t>
      </w:r>
    </w:p>
    <w:p>
      <w:pPr>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10</w:t>
      </w:r>
      <w:r>
        <w:rPr>
          <w:rFonts w:hint="eastAsia" w:ascii="Times New Roman" w:hAnsi="Times New Roman" w:eastAsia="宋体" w:cs="宋体"/>
          <w:color w:val="auto"/>
          <w:sz w:val="28"/>
          <w:szCs w:val="28"/>
        </w:rPr>
        <w:t>：</w:t>
      </w:r>
      <w:r>
        <w:rPr>
          <w:rFonts w:hint="eastAsia" w:ascii="Times New Roman" w:hAnsi="Times New Roman" w:eastAsia="宋体" w:cs="宋体"/>
          <w:color w:val="auto"/>
          <w:sz w:val="28"/>
          <w:szCs w:val="28"/>
          <w:lang w:val="en-US" w:eastAsia="zh-CN"/>
        </w:rPr>
        <w:t>工伤保险缴纳证明</w:t>
      </w:r>
    </w:p>
    <w:p>
      <w:pPr>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11</w:t>
      </w:r>
      <w:r>
        <w:rPr>
          <w:rFonts w:hint="eastAsia" w:ascii="Times New Roman" w:hAnsi="Times New Roman" w:eastAsia="宋体" w:cs="宋体"/>
          <w:color w:val="auto"/>
          <w:sz w:val="28"/>
          <w:szCs w:val="28"/>
        </w:rPr>
        <w:t>：安全设施设计审查及专家意见</w:t>
      </w:r>
    </w:p>
    <w:p>
      <w:pPr>
        <w:ind w:firstLine="560" w:firstLineChars="200"/>
        <w:rPr>
          <w:rFonts w:hint="default" w:ascii="Times New Roman" w:hAnsi="Times New Roman" w:eastAsia="宋体" w:cs="宋体"/>
          <w:color w:val="auto"/>
          <w:sz w:val="28"/>
          <w:szCs w:val="28"/>
          <w:lang w:val="en-US" w:eastAsia="zh-CN"/>
        </w:rPr>
      </w:pPr>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12</w:t>
      </w:r>
      <w:r>
        <w:rPr>
          <w:rFonts w:hint="eastAsia" w:ascii="Times New Roman" w:hAnsi="Times New Roman" w:eastAsia="宋体" w:cs="宋体"/>
          <w:color w:val="auto"/>
          <w:sz w:val="28"/>
          <w:szCs w:val="28"/>
        </w:rPr>
        <w:t>：</w:t>
      </w:r>
      <w:r>
        <w:rPr>
          <w:rFonts w:hint="eastAsia" w:ascii="Times New Roman" w:hAnsi="Times New Roman" w:eastAsia="宋体" w:cs="宋体"/>
          <w:color w:val="auto"/>
          <w:sz w:val="28"/>
          <w:szCs w:val="28"/>
          <w:lang w:val="en-US" w:eastAsia="zh-CN"/>
        </w:rPr>
        <w:t>整改回复</w:t>
      </w:r>
    </w:p>
    <w:p>
      <w:pPr>
        <w:ind w:firstLine="560" w:firstLineChars="200"/>
        <w:rPr>
          <w:rFonts w:hint="eastAsia" w:ascii="Times New Roman" w:hAnsi="Times New Roman" w:eastAsia="宋体" w:cs="宋体"/>
          <w:color w:val="auto"/>
          <w:sz w:val="28"/>
          <w:szCs w:val="28"/>
        </w:rPr>
      </w:pPr>
      <w:r>
        <w:rPr>
          <w:rFonts w:hint="eastAsia" w:ascii="Times New Roman" w:hAnsi="Times New Roman" w:eastAsia="宋体" w:cs="宋体"/>
          <w:color w:val="auto"/>
          <w:sz w:val="28"/>
          <w:szCs w:val="28"/>
        </w:rPr>
        <w:t>附件</w:t>
      </w:r>
      <w:r>
        <w:rPr>
          <w:rFonts w:ascii="Times New Roman" w:hAnsi="Times New Roman" w:eastAsia="宋体" w:cs="Times New Roman"/>
          <w:color w:val="auto"/>
          <w:sz w:val="28"/>
          <w:szCs w:val="28"/>
        </w:rPr>
        <w:t>1</w:t>
      </w:r>
      <w:r>
        <w:rPr>
          <w:rFonts w:hint="eastAsia" w:ascii="Times New Roman" w:hAnsi="Times New Roman" w:eastAsia="宋体" w:cs="Times New Roman"/>
          <w:color w:val="auto"/>
          <w:sz w:val="28"/>
          <w:szCs w:val="28"/>
          <w:lang w:val="en-US" w:eastAsia="zh-CN"/>
        </w:rPr>
        <w:t>3</w:t>
      </w:r>
      <w:r>
        <w:rPr>
          <w:rFonts w:hint="eastAsia" w:ascii="Times New Roman" w:hAnsi="Times New Roman" w:eastAsia="宋体" w:cs="宋体"/>
          <w:color w:val="auto"/>
          <w:sz w:val="28"/>
          <w:szCs w:val="28"/>
        </w:rPr>
        <w:t>：总平面布置图</w:t>
      </w:r>
    </w:p>
    <w:p>
      <w:pPr>
        <w:ind w:firstLine="560" w:firstLineChars="200"/>
        <w:rPr>
          <w:rFonts w:ascii="Times New Roman" w:hAnsi="Times New Roman" w:eastAsia="宋体" w:cs="Times New Roman"/>
          <w:color w:val="auto"/>
          <w:sz w:val="28"/>
          <w:szCs w:val="28"/>
        </w:rPr>
      </w:pPr>
      <w:r>
        <w:rPr>
          <w:rFonts w:hint="eastAsia" w:ascii="Times New Roman" w:hAnsi="Times New Roman" w:eastAsia="宋体" w:cs="宋体"/>
          <w:color w:val="auto"/>
          <w:sz w:val="28"/>
          <w:szCs w:val="28"/>
        </w:rPr>
        <w:t>其他</w:t>
      </w:r>
    </w:p>
    <w:p>
      <w:pPr>
        <w:keepNext/>
        <w:keepLines/>
        <w:spacing w:line="600" w:lineRule="exact"/>
        <w:jc w:val="center"/>
        <w:rPr>
          <w:rFonts w:ascii="Times New Roman" w:hAnsi="Times New Roman" w:cs="Times New Roman"/>
          <w:color w:val="auto"/>
        </w:rPr>
      </w:pPr>
    </w:p>
    <w:sectPr>
      <w:pgSz w:w="11906" w:h="16838"/>
      <w:pgMar w:top="1417" w:right="1417" w:bottom="1417" w:left="1417"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single" w:color="auto" w:sz="4" w:space="1"/>
      </w:pBdr>
      <w:rPr>
        <w:rFonts w:cs="Times New Roman"/>
        <w:b/>
        <w:bCs/>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343535" cy="131445"/>
              <wp:effectExtent l="0" t="0" r="0" b="0"/>
              <wp:wrapNone/>
              <wp:docPr id="24" name="文本框 1"/>
              <wp:cNvGraphicFramePr/>
              <a:graphic xmlns:a="http://schemas.openxmlformats.org/drawingml/2006/main">
                <a:graphicData uri="http://schemas.microsoft.com/office/word/2010/wordprocessingShape">
                  <wps:wsp>
                    <wps:cNvSpPr txBox="1"/>
                    <wps:spPr>
                      <a:xfrm>
                        <a:off x="0" y="0"/>
                        <a:ext cx="343535" cy="131445"/>
                      </a:xfrm>
                      <a:prstGeom prst="rect">
                        <a:avLst/>
                      </a:prstGeom>
                      <a:noFill/>
                      <a:ln w="15875">
                        <a:noFill/>
                      </a:ln>
                    </wps:spPr>
                    <wps:txbx>
                      <w:txbxContent>
                        <w:p>
                          <w:pPr>
                            <w:snapToGrid w:val="0"/>
                            <w:rPr>
                              <w:rFonts w:cs="Times New Roman"/>
                              <w:sz w:val="18"/>
                              <w:szCs w:val="18"/>
                            </w:rPr>
                          </w:pPr>
                          <w:r>
                            <w:fldChar w:fldCharType="begin"/>
                          </w:r>
                          <w:r>
                            <w:instrText xml:space="preserve"> PAGE  \* MERGEFORMAT </w:instrText>
                          </w:r>
                          <w:r>
                            <w:fldChar w:fldCharType="separate"/>
                          </w:r>
                          <w:r>
                            <w:rPr>
                              <w:sz w:val="18"/>
                              <w:szCs w:val="18"/>
                            </w:rPr>
                            <w:t>II</w:t>
                          </w:r>
                          <w:r>
                            <w:rPr>
                              <w:sz w:val="18"/>
                              <w:szCs w:val="18"/>
                            </w:rPr>
                            <w:fldChar w:fldCharType="end"/>
                          </w:r>
                        </w:p>
                      </w:txbxContent>
                    </wps:txbx>
                    <wps:bodyPr lIns="0" tIns="0" rIns="0" bIns="0" upright="1">
                      <a:spAutoFit/>
                    </wps:bodyPr>
                  </wps:wsp>
                </a:graphicData>
              </a:graphic>
            </wp:anchor>
          </w:drawing>
        </mc:Choice>
        <mc:Fallback>
          <w:pict>
            <v:shape id="文本框 1" o:spid="_x0000_s1026" o:spt="202" type="#_x0000_t202" style="position:absolute;left:0pt;margin-top:0pt;height:10.35pt;width:27.05pt;mso-position-horizontal:center;mso-position-horizontal-relative:margin;z-index:251663360;mso-width-relative:page;mso-height-relative:page;" filled="f" stroked="f" coordsize="21600,21600" o:gfxdata="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Dyo5LzUAAAAAwEAAA8AAAAAAAAAAQAgAAAAIgAAAGRy&#10;cy9kb3ducmV2LnhtbFBLAQIUABQAAAAIAIdO4kCLwH/m0AEAAJYDAAAOAAAAAAAAAAEAIAAAACMB&#10;AABkcnMvZTJvRG9jLnhtbFBLBQYAAAAABgAGAFkBAABlBQAAAAA=&#10;">
              <v:fill on="f" focussize="0,0"/>
              <v:stroke on="f" weight="1.25pt"/>
              <v:imagedata o:title=""/>
              <o:lock v:ext="edit" aspectratio="f"/>
              <v:textbox inset="0mm,0mm,0mm,0mm" style="mso-fit-shape-to-text:t;">
                <w:txbxContent>
                  <w:p>
                    <w:pPr>
                      <w:snapToGrid w:val="0"/>
                      <w:rPr>
                        <w:rFonts w:cs="Times New Roman"/>
                        <w:sz w:val="18"/>
                        <w:szCs w:val="18"/>
                      </w:rPr>
                    </w:pPr>
                    <w:r>
                      <w:fldChar w:fldCharType="begin"/>
                    </w:r>
                    <w:r>
                      <w:instrText xml:space="preserve"> PAGE  \* MERGEFORMAT </w:instrText>
                    </w:r>
                    <w:r>
                      <w:fldChar w:fldCharType="separate"/>
                    </w:r>
                    <w:r>
                      <w:rPr>
                        <w:sz w:val="18"/>
                        <w:szCs w:val="18"/>
                      </w:rPr>
                      <w:t>II</w:t>
                    </w:r>
                    <w:r>
                      <w:rPr>
                        <w:sz w:val="18"/>
                        <w:szCs w:val="18"/>
                      </w:rPr>
                      <w:fldChar w:fldCharType="end"/>
                    </w:r>
                  </w:p>
                </w:txbxContent>
              </v:textbox>
            </v:shape>
          </w:pict>
        </mc:Fallback>
      </mc:AlternateContent>
    </w:r>
    <w:r>
      <w:rPr>
        <w:rFonts w:hint="eastAsia" w:cs="宋体"/>
      </w:rPr>
      <w:t>江西赣安安全生产科学技术咨询服务中心</w:t>
    </w:r>
    <w:r>
      <w:t xml:space="preserve">                                                  APJ-</w:t>
    </w:r>
    <w:r>
      <w:rPr>
        <w:rFonts w:hint="eastAsia" w:cs="宋体"/>
      </w:rPr>
      <w:t>（赣）</w:t>
    </w:r>
    <w:r>
      <w:t>-002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single" w:color="auto" w:sz="4" w:space="1"/>
      </w:pBdr>
      <w:rPr>
        <w:rFonts w:cs="Times New Roman"/>
      </w:rPr>
    </w:pPr>
    <w:r>
      <w:rPr>
        <w:rFonts w:hint="eastAsia" w:ascii="宋体" w:hAnsi="宋体" w:cs="宋体"/>
      </w:rPr>
      <w:t>江西赣安安全生产科学技术咨询服务中心</w:t>
    </w:r>
    <w:r>
      <w:rPr>
        <w:rFonts w:ascii="宋体" w:hAnsi="宋体" w:cs="宋体"/>
      </w:rPr>
      <w:t xml:space="preserve">              </w:t>
    </w:r>
    <w:r>
      <w:rPr>
        <w:rStyle w:val="22"/>
      </w:rPr>
      <w:fldChar w:fldCharType="begin"/>
    </w:r>
    <w:r>
      <w:rPr>
        <w:rStyle w:val="22"/>
      </w:rPr>
      <w:instrText xml:space="preserve"> PAGE </w:instrText>
    </w:r>
    <w:r>
      <w:rPr>
        <w:rStyle w:val="22"/>
      </w:rPr>
      <w:fldChar w:fldCharType="separate"/>
    </w:r>
    <w:r>
      <w:rPr>
        <w:rStyle w:val="22"/>
      </w:rPr>
      <w:t>IV</w:t>
    </w:r>
    <w:r>
      <w:rPr>
        <w:rStyle w:val="22"/>
      </w:rPr>
      <w:fldChar w:fldCharType="end"/>
    </w:r>
    <w:r>
      <w:rPr>
        <w:rFonts w:ascii="宋体" w:hAnsi="宋体" w:cs="宋体"/>
      </w:rPr>
      <w:t xml:space="preserve">                           APJ-</w:t>
    </w:r>
    <w:r>
      <w:rPr>
        <w:rFonts w:hint="eastAsia" w:ascii="宋体" w:hAnsi="宋体" w:cs="宋体"/>
      </w:rPr>
      <w:t>（赣）</w:t>
    </w:r>
    <w:r>
      <w:rPr>
        <w:rFonts w:ascii="宋体" w:hAnsi="宋体" w:cs="宋体"/>
      </w:rPr>
      <w:t>-002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left"/>
      <w:rPr>
        <w:rFonts w:cs="Times New Roman"/>
      </w:rPr>
    </w:pPr>
    <w:r>
      <w:rPr>
        <w:rFonts w:hint="eastAsia" w:cs="宋体"/>
      </w:rPr>
      <w:t>江西金鸿马现代物流有限公司吉水县八都物流园加油站建设项目</w:t>
    </w:r>
    <w:r>
      <w:t xml:space="preserve">                    </w:t>
    </w:r>
    <w:r>
      <w:rPr>
        <w:color w:val="000000"/>
      </w:rPr>
      <w:t>GAAP</w:t>
    </w:r>
    <w:r>
      <w:t>[2021]0774</w:t>
    </w:r>
    <w:r>
      <w:rPr>
        <w:rFonts w:hint="eastAsia" w:cs="宋体"/>
        <w:color w:val="000000"/>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left"/>
      <w:rPr>
        <w:rFonts w:cs="Times New Roman"/>
      </w:rPr>
    </w:pPr>
    <w:r>
      <w:rPr>
        <w:rFonts w:hint="eastAsia" w:cs="宋体"/>
        <w:lang w:eastAsia="zh-CN"/>
      </w:rPr>
      <w:t>中国石化江西景德镇石油分公司鱼丽加油站</w:t>
    </w:r>
    <w:r>
      <w:rPr>
        <w:rFonts w:hint="eastAsia" w:cs="宋体"/>
      </w:rPr>
      <w:t>安全设施验收评价报告</w:t>
    </w:r>
    <w:r>
      <w:t xml:space="preserve">     </w:t>
    </w:r>
    <w:r>
      <w:rPr>
        <w:rFonts w:hint="eastAsia"/>
        <w:lang w:val="en-US" w:eastAsia="zh-CN"/>
      </w:rPr>
      <w:t xml:space="preserve">  </w:t>
    </w:r>
    <w:r>
      <w:t xml:space="preserve">   </w:t>
    </w:r>
    <w:r>
      <w:rPr>
        <w:rFonts w:hint="eastAsia"/>
        <w:lang w:val="en-US" w:eastAsia="zh-CN"/>
      </w:rPr>
      <w:t xml:space="preserve">              </w:t>
    </w:r>
    <w:r>
      <w:t xml:space="preserve">  GAAP[202</w:t>
    </w:r>
    <w:r>
      <w:rPr>
        <w:rFonts w:hint="eastAsia"/>
        <w:lang w:val="en-US" w:eastAsia="zh-CN"/>
      </w:rPr>
      <w:t>3</w:t>
    </w:r>
    <w:r>
      <w:t>]</w:t>
    </w:r>
    <w:r>
      <w:rPr>
        <w:rFonts w:hint="eastAsia"/>
        <w:lang w:val="en-US" w:eastAsia="zh-CN"/>
      </w:rPr>
      <w:t>0117</w:t>
    </w:r>
    <w:r>
      <w:rPr>
        <w:rFonts w:hint="eastAsia" w:cs="宋体"/>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FCEE80"/>
    <w:multiLevelType w:val="singleLevel"/>
    <w:tmpl w:val="D8FCEE80"/>
    <w:lvl w:ilvl="0" w:tentative="0">
      <w:start w:val="1"/>
      <w:numFmt w:val="decimal"/>
      <w:suff w:val="nothing"/>
      <w:lvlText w:val="%1）"/>
      <w:lvlJc w:val="left"/>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200F0C4A"/>
    <w:multiLevelType w:val="multilevel"/>
    <w:tmpl w:val="200F0C4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E40D1C0"/>
    <w:multiLevelType w:val="singleLevel"/>
    <w:tmpl w:val="4E40D1C0"/>
    <w:lvl w:ilvl="0" w:tentative="0">
      <w:start w:val="3"/>
      <w:numFmt w:val="decimal"/>
      <w:suff w:val="nothing"/>
      <w:lvlText w:val="%1、"/>
      <w:lvlJc w:val="left"/>
    </w:lvl>
  </w:abstractNum>
  <w:abstractNum w:abstractNumId="4">
    <w:nsid w:val="586B1693"/>
    <w:multiLevelType w:val="singleLevel"/>
    <w:tmpl w:val="586B1693"/>
    <w:lvl w:ilvl="0" w:tentative="0">
      <w:start w:val="1"/>
      <w:numFmt w:val="decimal"/>
      <w:suff w:val="nothing"/>
      <w:lvlText w:val="%1、"/>
      <w:lvlJc w:val="left"/>
      <w:rPr>
        <w:sz w:val="28"/>
        <w:szCs w:val="28"/>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displayBackgroundShape w:val="1"/>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UxNGNmMmUyZTIxY2FmM2YyMWFiMjM3Y2U3MzA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D5FE5"/>
    <w:rsid w:val="001E5F55"/>
    <w:rsid w:val="001F24FB"/>
    <w:rsid w:val="00212156"/>
    <w:rsid w:val="00222103"/>
    <w:rsid w:val="00222F3D"/>
    <w:rsid w:val="00234984"/>
    <w:rsid w:val="0025226D"/>
    <w:rsid w:val="0026258F"/>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572D2"/>
    <w:rsid w:val="00C72C23"/>
    <w:rsid w:val="00C7318F"/>
    <w:rsid w:val="00C739F1"/>
    <w:rsid w:val="00C77030"/>
    <w:rsid w:val="00C84697"/>
    <w:rsid w:val="00CA29B3"/>
    <w:rsid w:val="00CA61B2"/>
    <w:rsid w:val="00CC5A3F"/>
    <w:rsid w:val="00CD5B4D"/>
    <w:rsid w:val="00CF0BE2"/>
    <w:rsid w:val="00CF649C"/>
    <w:rsid w:val="00D00BB8"/>
    <w:rsid w:val="00D0611D"/>
    <w:rsid w:val="00D075B3"/>
    <w:rsid w:val="00D26860"/>
    <w:rsid w:val="00D32A47"/>
    <w:rsid w:val="00D40EC9"/>
    <w:rsid w:val="00D4491F"/>
    <w:rsid w:val="00D45233"/>
    <w:rsid w:val="00D463FE"/>
    <w:rsid w:val="00D605A8"/>
    <w:rsid w:val="00D706D5"/>
    <w:rsid w:val="00D70974"/>
    <w:rsid w:val="00D845A5"/>
    <w:rsid w:val="00D91B79"/>
    <w:rsid w:val="00D93E9D"/>
    <w:rsid w:val="00DA2118"/>
    <w:rsid w:val="00DB61E0"/>
    <w:rsid w:val="00DC3699"/>
    <w:rsid w:val="00DC5480"/>
    <w:rsid w:val="00DD6C9C"/>
    <w:rsid w:val="00DE2B03"/>
    <w:rsid w:val="00DE356A"/>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8C13C8"/>
    <w:rsid w:val="031158C7"/>
    <w:rsid w:val="035060C8"/>
    <w:rsid w:val="03A53916"/>
    <w:rsid w:val="050F7C41"/>
    <w:rsid w:val="06655FCC"/>
    <w:rsid w:val="06936FD0"/>
    <w:rsid w:val="08FA7E41"/>
    <w:rsid w:val="091D3BD5"/>
    <w:rsid w:val="0BFA3EA9"/>
    <w:rsid w:val="0CA83D5E"/>
    <w:rsid w:val="0CEA1FBF"/>
    <w:rsid w:val="0DB406CD"/>
    <w:rsid w:val="0E396218"/>
    <w:rsid w:val="0EE76CFB"/>
    <w:rsid w:val="101C613B"/>
    <w:rsid w:val="11E15880"/>
    <w:rsid w:val="11FE6C69"/>
    <w:rsid w:val="13A42ECD"/>
    <w:rsid w:val="163800C9"/>
    <w:rsid w:val="18482C3A"/>
    <w:rsid w:val="18DD6D07"/>
    <w:rsid w:val="19DD52EC"/>
    <w:rsid w:val="1A063956"/>
    <w:rsid w:val="1A5B5714"/>
    <w:rsid w:val="1D906252"/>
    <w:rsid w:val="1DB10597"/>
    <w:rsid w:val="1E543774"/>
    <w:rsid w:val="1EEC5F1F"/>
    <w:rsid w:val="1FB5426C"/>
    <w:rsid w:val="224C25C1"/>
    <w:rsid w:val="22F31550"/>
    <w:rsid w:val="23554D03"/>
    <w:rsid w:val="24E24F53"/>
    <w:rsid w:val="25665B84"/>
    <w:rsid w:val="26366DDC"/>
    <w:rsid w:val="28395EBC"/>
    <w:rsid w:val="28C064AD"/>
    <w:rsid w:val="28EB14F7"/>
    <w:rsid w:val="29037894"/>
    <w:rsid w:val="299B7DC6"/>
    <w:rsid w:val="29ED237C"/>
    <w:rsid w:val="2A84085A"/>
    <w:rsid w:val="2ACD0D74"/>
    <w:rsid w:val="2ADF6228"/>
    <w:rsid w:val="2AE40519"/>
    <w:rsid w:val="2B490967"/>
    <w:rsid w:val="2BB60EE7"/>
    <w:rsid w:val="2D0A13E9"/>
    <w:rsid w:val="2D0A5BF5"/>
    <w:rsid w:val="2F8F217B"/>
    <w:rsid w:val="2F9130A0"/>
    <w:rsid w:val="30AC6958"/>
    <w:rsid w:val="30C776F3"/>
    <w:rsid w:val="31553C95"/>
    <w:rsid w:val="31CF3C0F"/>
    <w:rsid w:val="32D16C5C"/>
    <w:rsid w:val="330264F0"/>
    <w:rsid w:val="33C76A3A"/>
    <w:rsid w:val="341F659E"/>
    <w:rsid w:val="352C3460"/>
    <w:rsid w:val="35D443B2"/>
    <w:rsid w:val="367479D5"/>
    <w:rsid w:val="36A04B73"/>
    <w:rsid w:val="370C2303"/>
    <w:rsid w:val="376B075D"/>
    <w:rsid w:val="38677946"/>
    <w:rsid w:val="390053EE"/>
    <w:rsid w:val="3913381F"/>
    <w:rsid w:val="39316051"/>
    <w:rsid w:val="3A845288"/>
    <w:rsid w:val="3A874DFA"/>
    <w:rsid w:val="3CA02BC6"/>
    <w:rsid w:val="3CBF1EF5"/>
    <w:rsid w:val="3CFC1C86"/>
    <w:rsid w:val="3DEE2A12"/>
    <w:rsid w:val="3E465454"/>
    <w:rsid w:val="3ED80551"/>
    <w:rsid w:val="3F243990"/>
    <w:rsid w:val="40A14808"/>
    <w:rsid w:val="40D46C82"/>
    <w:rsid w:val="41126768"/>
    <w:rsid w:val="41517290"/>
    <w:rsid w:val="419C46E6"/>
    <w:rsid w:val="422E3A38"/>
    <w:rsid w:val="424F432E"/>
    <w:rsid w:val="425841AF"/>
    <w:rsid w:val="45325314"/>
    <w:rsid w:val="45C81AEB"/>
    <w:rsid w:val="46EA3A86"/>
    <w:rsid w:val="478424CC"/>
    <w:rsid w:val="47DC187E"/>
    <w:rsid w:val="482079BC"/>
    <w:rsid w:val="483A0D83"/>
    <w:rsid w:val="49367F99"/>
    <w:rsid w:val="4A257073"/>
    <w:rsid w:val="4B096BFE"/>
    <w:rsid w:val="4B506195"/>
    <w:rsid w:val="4C037D94"/>
    <w:rsid w:val="4C0F2222"/>
    <w:rsid w:val="4D117EAF"/>
    <w:rsid w:val="4D482619"/>
    <w:rsid w:val="4DD96B8E"/>
    <w:rsid w:val="4F2C2030"/>
    <w:rsid w:val="50CB28C3"/>
    <w:rsid w:val="50CB55DE"/>
    <w:rsid w:val="520A7A55"/>
    <w:rsid w:val="524D28B3"/>
    <w:rsid w:val="531C5A26"/>
    <w:rsid w:val="53A91369"/>
    <w:rsid w:val="53E45164"/>
    <w:rsid w:val="54025339"/>
    <w:rsid w:val="54AA0D71"/>
    <w:rsid w:val="54E029AD"/>
    <w:rsid w:val="54EA4D5F"/>
    <w:rsid w:val="559A547B"/>
    <w:rsid w:val="55D346A2"/>
    <w:rsid w:val="56DC1833"/>
    <w:rsid w:val="58387E39"/>
    <w:rsid w:val="58D073A5"/>
    <w:rsid w:val="595F3D47"/>
    <w:rsid w:val="5A2101BA"/>
    <w:rsid w:val="5ABB5ED1"/>
    <w:rsid w:val="5AF847D6"/>
    <w:rsid w:val="5BDB5C7C"/>
    <w:rsid w:val="5CB27A65"/>
    <w:rsid w:val="5CC26E3C"/>
    <w:rsid w:val="5E541D16"/>
    <w:rsid w:val="60D93EF7"/>
    <w:rsid w:val="62380E16"/>
    <w:rsid w:val="62F16AC3"/>
    <w:rsid w:val="63AB5A73"/>
    <w:rsid w:val="64373C6C"/>
    <w:rsid w:val="670D2DDD"/>
    <w:rsid w:val="686F6D95"/>
    <w:rsid w:val="68A40B37"/>
    <w:rsid w:val="69141461"/>
    <w:rsid w:val="6A1F0A75"/>
    <w:rsid w:val="6ADB330F"/>
    <w:rsid w:val="6BF9414D"/>
    <w:rsid w:val="6D940955"/>
    <w:rsid w:val="6DEC6D14"/>
    <w:rsid w:val="6E6E06F7"/>
    <w:rsid w:val="6EE76E86"/>
    <w:rsid w:val="6FAC1AE5"/>
    <w:rsid w:val="708A757C"/>
    <w:rsid w:val="7151758B"/>
    <w:rsid w:val="71700044"/>
    <w:rsid w:val="71F10209"/>
    <w:rsid w:val="733323D9"/>
    <w:rsid w:val="73506D16"/>
    <w:rsid w:val="7557241A"/>
    <w:rsid w:val="76C10625"/>
    <w:rsid w:val="76E26800"/>
    <w:rsid w:val="77333075"/>
    <w:rsid w:val="786D1EFA"/>
    <w:rsid w:val="7A660689"/>
    <w:rsid w:val="7BD21C71"/>
    <w:rsid w:val="7F8226E2"/>
    <w:rsid w:val="7F847DC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link w:val="24"/>
    <w:qFormat/>
    <w:uiPriority w:val="99"/>
    <w:pPr>
      <w:widowControl/>
      <w:spacing w:line="600" w:lineRule="exact"/>
      <w:outlineLvl w:val="0"/>
    </w:pPr>
    <w:rPr>
      <w:rFonts w:ascii="Times New Roman" w:hAnsi="Times New Roman" w:cs="Times New Roman"/>
      <w:b/>
      <w:bCs/>
      <w:kern w:val="36"/>
      <w:sz w:val="28"/>
      <w:szCs w:val="28"/>
    </w:rPr>
  </w:style>
  <w:style w:type="paragraph" w:styleId="4">
    <w:name w:val="heading 2"/>
    <w:basedOn w:val="1"/>
    <w:next w:val="1"/>
    <w:link w:val="25"/>
    <w:qFormat/>
    <w:uiPriority w:val="99"/>
    <w:pPr>
      <w:keepNext/>
      <w:keepLines/>
      <w:spacing w:line="600" w:lineRule="exact"/>
      <w:outlineLvl w:val="1"/>
    </w:pPr>
    <w:rPr>
      <w:rFonts w:ascii="Times New Roman" w:hAnsi="Times New Roman" w:cs="Times New Roman"/>
      <w:b/>
      <w:bCs/>
      <w:kern w:val="0"/>
      <w:sz w:val="28"/>
      <w:szCs w:val="28"/>
    </w:rPr>
  </w:style>
  <w:style w:type="paragraph" w:styleId="5">
    <w:name w:val="heading 3"/>
    <w:basedOn w:val="1"/>
    <w:next w:val="1"/>
    <w:link w:val="26"/>
    <w:qFormat/>
    <w:uiPriority w:val="99"/>
    <w:pPr>
      <w:keepNext/>
      <w:keepLines/>
      <w:spacing w:line="600" w:lineRule="exact"/>
      <w:outlineLvl w:val="2"/>
    </w:pPr>
    <w:rPr>
      <w:b/>
      <w:bCs/>
      <w:kern w:val="0"/>
      <w:sz w:val="32"/>
      <w:szCs w:val="32"/>
    </w:rPr>
  </w:style>
  <w:style w:type="character" w:default="1" w:styleId="21">
    <w:name w:val="Default Paragraph Font"/>
    <w:semiHidden/>
    <w:qFormat/>
    <w:uiPriority w:val="99"/>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locked/>
    <w:uiPriority w:val="99"/>
    <w:pPr>
      <w:adjustRightInd w:val="0"/>
      <w:snapToGrid w:val="0"/>
      <w:spacing w:line="360" w:lineRule="auto"/>
    </w:pPr>
    <w:rPr>
      <w:sz w:val="24"/>
    </w:rPr>
  </w:style>
  <w:style w:type="paragraph" w:styleId="6">
    <w:name w:val="annotation text"/>
    <w:basedOn w:val="1"/>
    <w:link w:val="30"/>
    <w:semiHidden/>
    <w:qFormat/>
    <w:uiPriority w:val="99"/>
    <w:pPr>
      <w:jc w:val="left"/>
    </w:pPr>
  </w:style>
  <w:style w:type="paragraph" w:styleId="7">
    <w:name w:val="Body Text 3"/>
    <w:basedOn w:val="1"/>
    <w:link w:val="31"/>
    <w:qFormat/>
    <w:uiPriority w:val="99"/>
    <w:pPr>
      <w:spacing w:after="120"/>
    </w:pPr>
    <w:rPr>
      <w:rFonts w:ascii="Times New Roman" w:hAnsi="Times New Roman" w:cs="Times New Roman"/>
      <w:sz w:val="16"/>
      <w:szCs w:val="16"/>
    </w:rPr>
  </w:style>
  <w:style w:type="paragraph" w:styleId="8">
    <w:name w:val="Body Text"/>
    <w:basedOn w:val="1"/>
    <w:next w:val="1"/>
    <w:link w:val="29"/>
    <w:qFormat/>
    <w:uiPriority w:val="99"/>
    <w:pPr>
      <w:widowControl/>
      <w:spacing w:before="100" w:beforeAutospacing="1" w:after="100" w:afterAutospacing="1"/>
      <w:jc w:val="left"/>
    </w:pPr>
    <w:rPr>
      <w:kern w:val="0"/>
      <w:sz w:val="20"/>
      <w:szCs w:val="20"/>
    </w:rPr>
  </w:style>
  <w:style w:type="paragraph" w:styleId="9">
    <w:name w:val="Body Text Indent"/>
    <w:basedOn w:val="1"/>
    <w:link w:val="27"/>
    <w:qFormat/>
    <w:uiPriority w:val="99"/>
    <w:pPr>
      <w:spacing w:after="120"/>
      <w:ind w:left="420" w:leftChars="200"/>
    </w:pPr>
    <w:rPr>
      <w:kern w:val="0"/>
      <w:sz w:val="20"/>
      <w:szCs w:val="20"/>
    </w:rPr>
  </w:style>
  <w:style w:type="paragraph" w:styleId="10">
    <w:name w:val="Plain Text"/>
    <w:basedOn w:val="1"/>
    <w:link w:val="32"/>
    <w:qFormat/>
    <w:uiPriority w:val="99"/>
    <w:rPr>
      <w:rFonts w:ascii="宋体" w:hAnsi="Courier New" w:cs="宋体"/>
    </w:rPr>
  </w:style>
  <w:style w:type="paragraph" w:styleId="11">
    <w:name w:val="Body Text Indent 2"/>
    <w:basedOn w:val="1"/>
    <w:link w:val="33"/>
    <w:qFormat/>
    <w:uiPriority w:val="99"/>
    <w:pPr>
      <w:ind w:firstLine="570"/>
    </w:pPr>
    <w:rPr>
      <w:kern w:val="0"/>
      <w:sz w:val="20"/>
      <w:szCs w:val="20"/>
    </w:rPr>
  </w:style>
  <w:style w:type="paragraph" w:styleId="12">
    <w:name w:val="footer"/>
    <w:basedOn w:val="1"/>
    <w:next w:val="13"/>
    <w:link w:val="34"/>
    <w:qFormat/>
    <w:uiPriority w:val="99"/>
    <w:pPr>
      <w:tabs>
        <w:tab w:val="center" w:pos="4153"/>
        <w:tab w:val="right" w:pos="8306"/>
      </w:tabs>
      <w:snapToGrid w:val="0"/>
      <w:jc w:val="left"/>
    </w:pPr>
    <w:rPr>
      <w:kern w:val="0"/>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header"/>
    <w:basedOn w:val="1"/>
    <w:link w:val="35"/>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semiHidden/>
    <w:qFormat/>
    <w:uiPriority w:val="99"/>
  </w:style>
  <w:style w:type="paragraph" w:styleId="16">
    <w:name w:val="index heading"/>
    <w:basedOn w:val="1"/>
    <w:next w:val="17"/>
    <w:semiHidden/>
    <w:qFormat/>
    <w:uiPriority w:val="99"/>
    <w:pPr>
      <w:spacing w:before="120" w:after="120"/>
      <w:jc w:val="left"/>
    </w:pPr>
    <w:rPr>
      <w:b/>
      <w:bCs/>
      <w:i/>
      <w:iCs/>
    </w:rPr>
  </w:style>
  <w:style w:type="paragraph" w:styleId="17">
    <w:name w:val="index 1"/>
    <w:basedOn w:val="1"/>
    <w:next w:val="1"/>
    <w:semiHidden/>
    <w:qFormat/>
    <w:uiPriority w:val="99"/>
    <w:pPr>
      <w:ind w:left="210" w:hanging="210"/>
      <w:jc w:val="left"/>
    </w:pPr>
  </w:style>
  <w:style w:type="paragraph" w:styleId="18">
    <w:name w:val="toc 2"/>
    <w:basedOn w:val="1"/>
    <w:next w:val="1"/>
    <w:semiHidden/>
    <w:qFormat/>
    <w:uiPriority w:val="99"/>
    <w:pPr>
      <w:ind w:left="420" w:leftChars="200"/>
    </w:pPr>
  </w:style>
  <w:style w:type="paragraph" w:styleId="19">
    <w:name w:val="Body Text First Indent 2"/>
    <w:basedOn w:val="8"/>
    <w:next w:val="1"/>
    <w:link w:val="2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character" w:styleId="22">
    <w:name w:val="page number"/>
    <w:basedOn w:val="21"/>
    <w:qFormat/>
    <w:uiPriority w:val="99"/>
  </w:style>
  <w:style w:type="character" w:styleId="23">
    <w:name w:val="Hyperlink"/>
    <w:basedOn w:val="21"/>
    <w:qFormat/>
    <w:uiPriority w:val="99"/>
    <w:rPr>
      <w:color w:val="auto"/>
      <w:u w:val="single"/>
    </w:rPr>
  </w:style>
  <w:style w:type="character" w:customStyle="1" w:styleId="24">
    <w:name w:val="Heading 1 Char"/>
    <w:basedOn w:val="21"/>
    <w:link w:val="3"/>
    <w:qFormat/>
    <w:locked/>
    <w:uiPriority w:val="99"/>
    <w:rPr>
      <w:rFonts w:ascii="Times New Roman" w:hAnsi="Times New Roman" w:eastAsia="宋体" w:cs="Times New Roman"/>
      <w:b/>
      <w:bCs/>
      <w:kern w:val="36"/>
      <w:sz w:val="28"/>
      <w:szCs w:val="28"/>
    </w:rPr>
  </w:style>
  <w:style w:type="character" w:customStyle="1" w:styleId="25">
    <w:name w:val="Heading 2 Char"/>
    <w:basedOn w:val="21"/>
    <w:link w:val="4"/>
    <w:qFormat/>
    <w:locked/>
    <w:uiPriority w:val="99"/>
    <w:rPr>
      <w:rFonts w:ascii="Times New Roman" w:hAnsi="Times New Roman" w:eastAsia="宋体" w:cs="Times New Roman"/>
      <w:b/>
      <w:bCs/>
      <w:sz w:val="28"/>
      <w:szCs w:val="28"/>
    </w:rPr>
  </w:style>
  <w:style w:type="character" w:customStyle="1" w:styleId="26">
    <w:name w:val="Heading 3 Char"/>
    <w:basedOn w:val="21"/>
    <w:link w:val="5"/>
    <w:semiHidden/>
    <w:qFormat/>
    <w:locked/>
    <w:uiPriority w:val="99"/>
    <w:rPr>
      <w:rFonts w:ascii="Calibri" w:hAnsi="Calibri" w:cs="Calibri"/>
      <w:b/>
      <w:bCs/>
      <w:sz w:val="32"/>
      <w:szCs w:val="32"/>
    </w:rPr>
  </w:style>
  <w:style w:type="character" w:customStyle="1" w:styleId="27">
    <w:name w:val="Body Text Indent Char"/>
    <w:basedOn w:val="21"/>
    <w:link w:val="9"/>
    <w:semiHidden/>
    <w:qFormat/>
    <w:locked/>
    <w:uiPriority w:val="99"/>
    <w:rPr>
      <w:rFonts w:ascii="Calibri" w:hAnsi="Calibri" w:cs="Calibri"/>
      <w:sz w:val="21"/>
      <w:szCs w:val="21"/>
    </w:rPr>
  </w:style>
  <w:style w:type="character" w:customStyle="1" w:styleId="28">
    <w:name w:val="Body Text First Indent 2 Char"/>
    <w:basedOn w:val="27"/>
    <w:link w:val="19"/>
    <w:semiHidden/>
    <w:qFormat/>
    <w:uiPriority w:val="99"/>
  </w:style>
  <w:style w:type="character" w:customStyle="1" w:styleId="29">
    <w:name w:val="Body Text Char"/>
    <w:basedOn w:val="21"/>
    <w:link w:val="8"/>
    <w:semiHidden/>
    <w:qFormat/>
    <w:locked/>
    <w:uiPriority w:val="99"/>
    <w:rPr>
      <w:rFonts w:ascii="Calibri" w:hAnsi="Calibri" w:cs="Calibri"/>
      <w:sz w:val="21"/>
      <w:szCs w:val="21"/>
    </w:rPr>
  </w:style>
  <w:style w:type="character" w:customStyle="1" w:styleId="30">
    <w:name w:val="Comment Text Char"/>
    <w:basedOn w:val="21"/>
    <w:link w:val="6"/>
    <w:semiHidden/>
    <w:qFormat/>
    <w:uiPriority w:val="99"/>
    <w:rPr>
      <w:rFonts w:ascii="Calibri" w:hAnsi="Calibri" w:cs="Calibri"/>
      <w:szCs w:val="21"/>
    </w:rPr>
  </w:style>
  <w:style w:type="character" w:customStyle="1" w:styleId="31">
    <w:name w:val="Body Text 3 Char"/>
    <w:basedOn w:val="21"/>
    <w:link w:val="7"/>
    <w:qFormat/>
    <w:locked/>
    <w:uiPriority w:val="99"/>
    <w:rPr>
      <w:kern w:val="2"/>
      <w:sz w:val="16"/>
      <w:szCs w:val="16"/>
    </w:rPr>
  </w:style>
  <w:style w:type="character" w:customStyle="1" w:styleId="32">
    <w:name w:val="Plain Text Char"/>
    <w:basedOn w:val="21"/>
    <w:link w:val="10"/>
    <w:semiHidden/>
    <w:qFormat/>
    <w:uiPriority w:val="99"/>
    <w:rPr>
      <w:rFonts w:ascii="宋体" w:hAnsi="Courier New" w:cs="Courier New"/>
      <w:szCs w:val="21"/>
    </w:rPr>
  </w:style>
  <w:style w:type="character" w:customStyle="1" w:styleId="33">
    <w:name w:val="Body Text Indent 2 Char"/>
    <w:basedOn w:val="21"/>
    <w:link w:val="11"/>
    <w:semiHidden/>
    <w:qFormat/>
    <w:locked/>
    <w:uiPriority w:val="99"/>
    <w:rPr>
      <w:rFonts w:ascii="Calibri" w:hAnsi="Calibri" w:cs="Calibri"/>
      <w:sz w:val="21"/>
      <w:szCs w:val="21"/>
    </w:rPr>
  </w:style>
  <w:style w:type="character" w:customStyle="1" w:styleId="34">
    <w:name w:val="Footer Char"/>
    <w:basedOn w:val="21"/>
    <w:link w:val="12"/>
    <w:semiHidden/>
    <w:qFormat/>
    <w:locked/>
    <w:uiPriority w:val="99"/>
    <w:rPr>
      <w:rFonts w:ascii="Calibri" w:hAnsi="Calibri" w:cs="Calibri"/>
      <w:sz w:val="18"/>
      <w:szCs w:val="18"/>
    </w:rPr>
  </w:style>
  <w:style w:type="character" w:customStyle="1" w:styleId="35">
    <w:name w:val="Header Char"/>
    <w:basedOn w:val="21"/>
    <w:link w:val="14"/>
    <w:semiHidden/>
    <w:qFormat/>
    <w:locked/>
    <w:uiPriority w:val="99"/>
    <w:rPr>
      <w:rFonts w:ascii="Calibri" w:hAnsi="Calibri" w:cs="Calibri"/>
      <w:sz w:val="18"/>
      <w:szCs w:val="18"/>
    </w:rPr>
  </w:style>
  <w:style w:type="paragraph" w:customStyle="1" w:styleId="36">
    <w:name w:val="样式 标题 2"/>
    <w:basedOn w:val="4"/>
    <w:qFormat/>
    <w:uiPriority w:val="99"/>
    <w:pPr>
      <w:adjustRightInd w:val="0"/>
      <w:snapToGrid w:val="0"/>
      <w:spacing w:before="120" w:after="120" w:line="240" w:lineRule="auto"/>
      <w:textAlignment w:val="baseline"/>
    </w:pPr>
    <w:rPr>
      <w:rFonts w:ascii="Arial" w:hAnsi="Arial" w:cs="Arial"/>
    </w:rPr>
  </w:style>
  <w:style w:type="paragraph" w:customStyle="1" w:styleId="3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38">
    <w:name w:val="Default1"/>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39">
    <w:name w:val="question-title2"/>
    <w:basedOn w:val="21"/>
    <w:qFormat/>
    <w:uiPriority w:val="99"/>
  </w:style>
  <w:style w:type="paragraph" w:customStyle="1" w:styleId="40">
    <w:name w:val="Char Char1 Char Char Char Char Char Char Char Char Char Char Char Char Char Char Char1 Char1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41">
    <w:name w:val="Default11"/>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styleId="42">
    <w:name w:val="List Paragraph"/>
    <w:basedOn w:val="1"/>
    <w:qFormat/>
    <w:uiPriority w:val="99"/>
    <w:pPr>
      <w:ind w:firstLine="420" w:firstLineChars="200"/>
    </w:pPr>
  </w:style>
  <w:style w:type="paragraph" w:customStyle="1" w:styleId="43">
    <w:name w:val="Char"/>
    <w:basedOn w:val="1"/>
    <w:qFormat/>
    <w:uiPriority w:val="99"/>
    <w:pPr>
      <w:spacing w:line="360" w:lineRule="auto"/>
      <w:ind w:firstLine="200" w:firstLineChars="200"/>
    </w:pPr>
    <w:rPr>
      <w:rFonts w:ascii="宋体" w:hAnsi="宋体" w:cs="宋体"/>
      <w:sz w:val="24"/>
      <w:szCs w:val="24"/>
    </w:rPr>
  </w:style>
  <w:style w:type="paragraph" w:customStyle="1" w:styleId="44">
    <w:name w:val="Default"/>
    <w:next w:val="45"/>
    <w:qFormat/>
    <w:uiPriority w:val="99"/>
    <w:pPr>
      <w:widowControl w:val="0"/>
      <w:autoSpaceDE w:val="0"/>
      <w:autoSpaceDN w:val="0"/>
      <w:adjustRightInd w:val="0"/>
    </w:pPr>
    <w:rPr>
      <w:rFonts w:ascii="Arial" w:hAnsi="Arial" w:eastAsia="宋体" w:cs="Arial"/>
      <w:color w:val="000000"/>
      <w:kern w:val="0"/>
      <w:sz w:val="24"/>
      <w:szCs w:val="24"/>
      <w:lang w:val="en-US" w:eastAsia="zh-CN" w:bidi="ar-SA"/>
    </w:rPr>
  </w:style>
  <w:style w:type="paragraph" w:customStyle="1" w:styleId="45">
    <w:name w:val="样式1"/>
    <w:basedOn w:val="16"/>
    <w:next w:val="1"/>
    <w:qFormat/>
    <w:uiPriority w:val="99"/>
    <w:pPr>
      <w:spacing w:line="620" w:lineRule="exact"/>
      <w:ind w:firstLine="880" w:firstLineChars="200"/>
    </w:pPr>
    <w:rPr>
      <w:rFonts w:ascii="Times New Roman" w:hAnsi="Times New Roman" w:cs="Times New Roman"/>
      <w:kern w:val="0"/>
      <w:sz w:val="28"/>
      <w:szCs w:val="28"/>
    </w:rPr>
  </w:style>
  <w:style w:type="paragraph" w:styleId="46">
    <w:name w:val="No Spacing"/>
    <w:qFormat/>
    <w:uiPriority w:val="99"/>
    <w:rPr>
      <w:rFonts w:ascii="Times New Roman" w:hAnsi="Times New Roman" w:eastAsia="宋体" w:cs="Times New Roman"/>
      <w:kern w:val="0"/>
      <w:sz w:val="22"/>
      <w:szCs w:val="22"/>
      <w:lang w:val="en-US" w:eastAsia="zh-CN" w:bidi="ar-SA"/>
    </w:rPr>
  </w:style>
  <w:style w:type="character" w:customStyle="1" w:styleId="47">
    <w:name w:val="Char Char5"/>
    <w:basedOn w:val="21"/>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wmf"/><Relationship Id="rId16" Type="http://schemas.openxmlformats.org/officeDocument/2006/relationships/image" Target="media/image7.wmf"/><Relationship Id="rId15" Type="http://schemas.openxmlformats.org/officeDocument/2006/relationships/image" Target="media/image6.wmf"/><Relationship Id="rId14" Type="http://schemas.openxmlformats.org/officeDocument/2006/relationships/oleObject" Target="embeddings/oleObject1.bin"/><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8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90</Pages>
  <Words>54868</Words>
  <Characters>60215</Characters>
  <Lines>0</Lines>
  <Paragraphs>0</Paragraphs>
  <TotalTime>3</TotalTime>
  <ScaleCrop>false</ScaleCrop>
  <LinksUpToDate>false</LinksUpToDate>
  <CharactersWithSpaces>61423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长青藤</cp:lastModifiedBy>
  <cp:lastPrinted>2023-03-17T01:50:00Z</cp:lastPrinted>
  <dcterms:modified xsi:type="dcterms:W3CDTF">2023-07-07T02:37:16Z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16B0297A69774D1199B261D6820E9CD9_13</vt:lpwstr>
  </property>
</Properties>
</file>