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1D4996">
      <w:pPr>
        <w:widowControl/>
        <w:ind w:firstLine="0" w:firstLineChars="0"/>
        <w:jc w:val="left"/>
        <w:rPr>
          <w:rFonts w:cs="宋体"/>
          <w:color w:val="auto"/>
          <w:kern w:val="0"/>
          <w:sz w:val="24"/>
        </w:rPr>
      </w:pPr>
      <w:bookmarkStart w:id="0" w:name="_Toc226281082"/>
      <w:bookmarkStart w:id="1" w:name="_Toc226281691"/>
      <w:bookmarkStart w:id="2" w:name="_Toc274752112"/>
      <w:bookmarkStart w:id="3" w:name="_Toc274758297"/>
      <w:bookmarkStart w:id="4" w:name="_Toc218222924"/>
      <w:bookmarkStart w:id="5" w:name="_Toc200534897"/>
      <w:bookmarkStart w:id="6" w:name="_Toc225062526"/>
      <w:bookmarkStart w:id="7" w:name="_Toc338762949"/>
    </w:p>
    <w:p w14:paraId="64464182">
      <w:pPr>
        <w:spacing w:after="120" w:afterLines="50" w:line="360" w:lineRule="auto"/>
        <w:ind w:firstLine="883"/>
        <w:jc w:val="center"/>
        <w:rPr>
          <w:b/>
          <w:color w:val="auto"/>
          <w:sz w:val="44"/>
          <w:szCs w:val="44"/>
        </w:rPr>
      </w:pPr>
    </w:p>
    <w:p w14:paraId="0F4889FB">
      <w:pPr>
        <w:pStyle w:val="9"/>
        <w:rPr>
          <w:color w:val="auto"/>
        </w:rPr>
      </w:pPr>
    </w:p>
    <w:p w14:paraId="791333A2">
      <w:pPr>
        <w:spacing w:line="800" w:lineRule="exact"/>
        <w:ind w:firstLine="0" w:firstLineChars="0"/>
        <w:jc w:val="center"/>
        <w:rPr>
          <w:rFonts w:hint="eastAsia" w:ascii="Times New Roman" w:hAnsi="Times New Roman" w:eastAsia="宋体"/>
          <w:b/>
          <w:color w:val="auto"/>
          <w:spacing w:val="-20"/>
          <w:sz w:val="44"/>
          <w:szCs w:val="44"/>
          <w:lang w:eastAsia="zh-CN"/>
        </w:rPr>
      </w:pPr>
      <w:r>
        <w:rPr>
          <w:rFonts w:hint="eastAsia" w:ascii="Times New Roman" w:hAnsi="Times New Roman"/>
          <w:b/>
          <w:color w:val="auto"/>
          <w:spacing w:val="-20"/>
          <w:sz w:val="44"/>
          <w:szCs w:val="44"/>
          <w:lang w:eastAsia="zh-CN"/>
        </w:rPr>
        <w:t>凤县绿能诚睿矿业有限公司</w:t>
      </w:r>
    </w:p>
    <w:p w14:paraId="7224BA57">
      <w:pPr>
        <w:spacing w:line="800" w:lineRule="exact"/>
        <w:ind w:firstLine="0" w:firstLineChars="0"/>
        <w:jc w:val="center"/>
        <w:rPr>
          <w:rFonts w:cs="宋体"/>
          <w:b/>
          <w:color w:val="auto"/>
          <w:w w:val="90"/>
          <w:sz w:val="44"/>
          <w:szCs w:val="44"/>
        </w:rPr>
      </w:pPr>
      <w:r>
        <w:rPr>
          <w:rFonts w:hint="eastAsia" w:cs="宋体"/>
          <w:b/>
          <w:color w:val="auto"/>
          <w:w w:val="90"/>
          <w:sz w:val="44"/>
          <w:szCs w:val="44"/>
          <w:lang w:eastAsia="zh-CN"/>
        </w:rPr>
        <w:t>陕西省</w:t>
      </w:r>
      <w:r>
        <w:rPr>
          <w:rFonts w:hint="eastAsia" w:cs="宋体"/>
          <w:b/>
          <w:color w:val="auto"/>
          <w:w w:val="90"/>
          <w:sz w:val="44"/>
          <w:szCs w:val="44"/>
          <w:lang w:val="en-US" w:eastAsia="zh-CN"/>
        </w:rPr>
        <w:t>凤县</w:t>
      </w:r>
      <w:r>
        <w:rPr>
          <w:rFonts w:hint="eastAsia" w:cs="宋体"/>
          <w:b/>
          <w:color w:val="auto"/>
          <w:w w:val="90"/>
          <w:sz w:val="44"/>
          <w:szCs w:val="44"/>
          <w:lang w:eastAsia="zh-CN"/>
        </w:rPr>
        <w:t>李家庄方解石矿地下开采建设项目</w:t>
      </w:r>
    </w:p>
    <w:p w14:paraId="4CA924FD">
      <w:pPr>
        <w:spacing w:line="800" w:lineRule="exact"/>
        <w:ind w:firstLine="0" w:firstLineChars="0"/>
        <w:jc w:val="center"/>
        <w:rPr>
          <w:rFonts w:ascii="黑体" w:hAnsi="Times New Roman" w:eastAsia="黑体"/>
          <w:b/>
          <w:color w:val="auto"/>
          <w:sz w:val="52"/>
          <w:szCs w:val="52"/>
        </w:rPr>
      </w:pPr>
      <w:r>
        <w:rPr>
          <w:rFonts w:hint="eastAsia" w:ascii="黑体" w:hAnsi="Times New Roman" w:eastAsia="黑体"/>
          <w:b/>
          <w:color w:val="auto"/>
          <w:sz w:val="52"/>
          <w:szCs w:val="52"/>
        </w:rPr>
        <w:t>安全预评价报告</w:t>
      </w:r>
    </w:p>
    <w:p w14:paraId="7740E82A">
      <w:pPr>
        <w:spacing w:line="240" w:lineRule="auto"/>
        <w:ind w:firstLine="0" w:firstLineChars="0"/>
        <w:jc w:val="center"/>
        <w:rPr>
          <w:rFonts w:ascii="Times New Roman" w:hAnsi="Times New Roman"/>
          <w:color w:val="auto"/>
          <w:sz w:val="21"/>
        </w:rPr>
      </w:pPr>
    </w:p>
    <w:p w14:paraId="684C106C">
      <w:pPr>
        <w:spacing w:line="240" w:lineRule="auto"/>
        <w:ind w:firstLine="0" w:firstLineChars="0"/>
        <w:jc w:val="center"/>
        <w:rPr>
          <w:rFonts w:ascii="Times New Roman" w:hAnsi="Times New Roman"/>
          <w:color w:val="auto"/>
          <w:szCs w:val="28"/>
        </w:rPr>
      </w:pPr>
    </w:p>
    <w:p w14:paraId="0778303A">
      <w:pPr>
        <w:spacing w:line="240" w:lineRule="auto"/>
        <w:ind w:firstLine="0" w:firstLineChars="0"/>
        <w:jc w:val="center"/>
        <w:rPr>
          <w:rFonts w:ascii="Times New Roman" w:hAnsi="Times New Roman"/>
          <w:color w:val="auto"/>
          <w:sz w:val="21"/>
        </w:rPr>
      </w:pPr>
    </w:p>
    <w:p w14:paraId="3C2D1D4D">
      <w:pPr>
        <w:spacing w:line="240" w:lineRule="auto"/>
        <w:ind w:firstLine="0" w:firstLineChars="0"/>
        <w:jc w:val="center"/>
        <w:rPr>
          <w:rFonts w:ascii="Times New Roman" w:hAnsi="Times New Roman"/>
          <w:color w:val="auto"/>
          <w:sz w:val="21"/>
        </w:rPr>
      </w:pPr>
    </w:p>
    <w:p w14:paraId="7430502C">
      <w:pPr>
        <w:spacing w:line="240" w:lineRule="auto"/>
        <w:ind w:firstLine="0" w:firstLineChars="0"/>
        <w:jc w:val="center"/>
        <w:rPr>
          <w:rFonts w:ascii="Times New Roman" w:hAnsi="Times New Roman"/>
          <w:color w:val="auto"/>
          <w:sz w:val="21"/>
        </w:rPr>
      </w:pPr>
    </w:p>
    <w:p w14:paraId="5E0E8AFC">
      <w:pPr>
        <w:spacing w:line="240" w:lineRule="auto"/>
        <w:ind w:firstLine="0" w:firstLineChars="0"/>
        <w:jc w:val="center"/>
        <w:rPr>
          <w:rFonts w:ascii="Times New Roman" w:hAnsi="Times New Roman"/>
          <w:color w:val="auto"/>
          <w:sz w:val="21"/>
        </w:rPr>
      </w:pPr>
    </w:p>
    <w:p w14:paraId="14B0468B">
      <w:pPr>
        <w:spacing w:line="240" w:lineRule="auto"/>
        <w:ind w:firstLine="0" w:firstLineChars="0"/>
        <w:jc w:val="center"/>
        <w:rPr>
          <w:rFonts w:ascii="Times New Roman" w:hAnsi="Times New Roman"/>
          <w:color w:val="auto"/>
          <w:sz w:val="21"/>
        </w:rPr>
      </w:pPr>
    </w:p>
    <w:p w14:paraId="79C0A74D">
      <w:pPr>
        <w:ind w:firstLine="0" w:firstLineChars="0"/>
        <w:rPr>
          <w:color w:val="auto"/>
        </w:rPr>
      </w:pPr>
    </w:p>
    <w:p w14:paraId="4D7A31A8">
      <w:pPr>
        <w:ind w:firstLine="0" w:firstLineChars="0"/>
        <w:rPr>
          <w:color w:val="auto"/>
        </w:rPr>
      </w:pPr>
    </w:p>
    <w:p w14:paraId="69D2F9DE">
      <w:pPr>
        <w:ind w:firstLine="0" w:firstLineChars="0"/>
        <w:rPr>
          <w:color w:val="auto"/>
        </w:rPr>
      </w:pPr>
    </w:p>
    <w:p w14:paraId="1482A642">
      <w:pPr>
        <w:spacing w:line="240" w:lineRule="auto"/>
        <w:ind w:firstLine="0" w:firstLineChars="0"/>
        <w:jc w:val="center"/>
        <w:rPr>
          <w:rFonts w:ascii="Times New Roman" w:hAnsi="Times New Roman"/>
          <w:color w:val="auto"/>
          <w:sz w:val="21"/>
        </w:rPr>
      </w:pPr>
    </w:p>
    <w:p w14:paraId="08AA76FB">
      <w:pPr>
        <w:spacing w:line="240" w:lineRule="auto"/>
        <w:ind w:firstLine="0" w:firstLineChars="0"/>
        <w:jc w:val="center"/>
        <w:rPr>
          <w:rFonts w:ascii="Times New Roman" w:hAnsi="Times New Roman"/>
          <w:color w:val="auto"/>
          <w:sz w:val="21"/>
        </w:rPr>
      </w:pPr>
    </w:p>
    <w:p w14:paraId="2A43FECD">
      <w:pPr>
        <w:spacing w:line="240" w:lineRule="auto"/>
        <w:ind w:firstLine="0" w:firstLineChars="0"/>
        <w:jc w:val="center"/>
        <w:rPr>
          <w:rFonts w:ascii="Times New Roman" w:hAnsi="Times New Roman"/>
          <w:color w:val="auto"/>
          <w:sz w:val="21"/>
        </w:rPr>
      </w:pPr>
    </w:p>
    <w:p w14:paraId="01BF82E3">
      <w:pPr>
        <w:spacing w:line="240" w:lineRule="auto"/>
        <w:ind w:firstLine="0" w:firstLineChars="0"/>
        <w:jc w:val="center"/>
        <w:rPr>
          <w:rFonts w:ascii="Times New Roman" w:hAnsi="Times New Roman"/>
          <w:color w:val="auto"/>
          <w:sz w:val="21"/>
        </w:rPr>
      </w:pPr>
    </w:p>
    <w:p w14:paraId="5BDE2A4F">
      <w:pPr>
        <w:spacing w:line="240" w:lineRule="auto"/>
        <w:ind w:firstLine="0" w:firstLineChars="0"/>
        <w:jc w:val="center"/>
        <w:rPr>
          <w:rFonts w:ascii="Times New Roman" w:hAnsi="Times New Roman"/>
          <w:color w:val="auto"/>
          <w:sz w:val="21"/>
        </w:rPr>
      </w:pPr>
    </w:p>
    <w:p w14:paraId="526B4A45">
      <w:pPr>
        <w:spacing w:line="240" w:lineRule="auto"/>
        <w:ind w:firstLine="0" w:firstLineChars="0"/>
        <w:jc w:val="center"/>
        <w:rPr>
          <w:rFonts w:ascii="Times New Roman" w:hAnsi="Times New Roman"/>
          <w:color w:val="auto"/>
          <w:sz w:val="21"/>
        </w:rPr>
      </w:pPr>
    </w:p>
    <w:p w14:paraId="73F6DF94">
      <w:pPr>
        <w:spacing w:line="240" w:lineRule="auto"/>
        <w:ind w:firstLine="0" w:firstLineChars="0"/>
        <w:jc w:val="center"/>
        <w:rPr>
          <w:rFonts w:ascii="Times New Roman" w:hAnsi="Times New Roman"/>
          <w:color w:val="auto"/>
          <w:sz w:val="21"/>
        </w:rPr>
      </w:pPr>
    </w:p>
    <w:p w14:paraId="608B0C88">
      <w:pPr>
        <w:spacing w:line="240" w:lineRule="auto"/>
        <w:ind w:firstLine="0" w:firstLineChars="0"/>
        <w:jc w:val="center"/>
        <w:rPr>
          <w:rFonts w:ascii="Times New Roman" w:hAnsi="Times New Roman"/>
          <w:color w:val="auto"/>
          <w:sz w:val="21"/>
        </w:rPr>
      </w:pPr>
    </w:p>
    <w:p w14:paraId="5E4156A6">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b/>
          <w:bCs/>
          <w:color w:val="auto"/>
          <w:spacing w:val="60"/>
          <w:sz w:val="44"/>
          <w:szCs w:val="44"/>
        </w:rPr>
      </w:pPr>
      <w:r>
        <w:rPr>
          <w:rFonts w:hint="eastAsia" w:ascii="宋体" w:hAnsi="宋体" w:eastAsia="宋体" w:cs="宋体"/>
          <w:b/>
          <w:color w:val="auto"/>
          <w:kern w:val="0"/>
          <w:sz w:val="44"/>
          <w:szCs w:val="44"/>
          <w:highlight w:val="none"/>
          <w:lang w:eastAsia="zh-CN"/>
        </w:rPr>
        <w:t>江西赣安安全生产科学技术咨询服务中心</w:t>
      </w:r>
    </w:p>
    <w:p w14:paraId="1D51850A">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b/>
          <w:color w:val="auto"/>
          <w:sz w:val="32"/>
          <w:szCs w:val="32"/>
        </w:rPr>
      </w:pPr>
      <w:r>
        <w:rPr>
          <w:rFonts w:hint="eastAsia" w:ascii="宋体" w:hAnsi="宋体" w:cs="宋体"/>
          <w:b/>
          <w:bCs/>
          <w:color w:val="auto"/>
          <w:kern w:val="0"/>
          <w:sz w:val="32"/>
          <w:szCs w:val="32"/>
        </w:rPr>
        <w:t>资质证书编号：APJ-</w:t>
      </w:r>
      <w:r>
        <w:rPr>
          <w:rFonts w:hint="eastAsia" w:ascii="宋体" w:hAnsi="宋体" w:cs="宋体"/>
          <w:b/>
          <w:bCs/>
          <w:color w:val="auto"/>
          <w:kern w:val="0"/>
          <w:sz w:val="32"/>
          <w:szCs w:val="32"/>
          <w:lang w:eastAsia="zh-CN"/>
        </w:rPr>
        <w:t>(赣)</w:t>
      </w:r>
      <w:r>
        <w:rPr>
          <w:rFonts w:hint="eastAsia" w:ascii="宋体" w:hAnsi="宋体" w:cs="宋体"/>
          <w:b/>
          <w:bCs/>
          <w:color w:val="auto"/>
          <w:kern w:val="0"/>
          <w:sz w:val="32"/>
          <w:szCs w:val="32"/>
        </w:rPr>
        <w:t>-0</w:t>
      </w:r>
      <w:r>
        <w:rPr>
          <w:rFonts w:hint="eastAsia" w:ascii="宋体" w:hAnsi="宋体" w:cs="宋体"/>
          <w:b/>
          <w:bCs/>
          <w:color w:val="auto"/>
          <w:kern w:val="0"/>
          <w:sz w:val="32"/>
          <w:szCs w:val="32"/>
          <w:lang w:val="en-US" w:eastAsia="zh-CN"/>
        </w:rPr>
        <w:t>0</w:t>
      </w:r>
      <w:r>
        <w:rPr>
          <w:rFonts w:hint="eastAsia" w:ascii="宋体" w:hAnsi="宋体" w:cs="宋体"/>
          <w:b/>
          <w:bCs/>
          <w:color w:val="auto"/>
          <w:kern w:val="0"/>
          <w:sz w:val="32"/>
          <w:szCs w:val="32"/>
        </w:rPr>
        <w:t>2</w:t>
      </w:r>
    </w:p>
    <w:p w14:paraId="52C96813">
      <w:pPr>
        <w:keepNext w:val="0"/>
        <w:keepLines w:val="0"/>
        <w:pageBreakBefore w:val="0"/>
        <w:widowControl w:val="0"/>
        <w:kinsoku/>
        <w:wordWrap/>
        <w:overflowPunct/>
        <w:topLinePunct w:val="0"/>
        <w:autoSpaceDE/>
        <w:autoSpaceDN/>
        <w:bidi w:val="0"/>
        <w:adjustRightInd/>
        <w:snapToGrid/>
        <w:spacing w:before="157" w:beforeLines="50" w:line="240" w:lineRule="auto"/>
        <w:ind w:firstLine="0" w:firstLineChars="0"/>
        <w:jc w:val="center"/>
        <w:textAlignment w:val="auto"/>
        <w:rPr>
          <w:b/>
          <w:color w:val="auto"/>
          <w:sz w:val="32"/>
          <w:szCs w:val="32"/>
        </w:rPr>
      </w:pPr>
      <w:r>
        <w:rPr>
          <w:rFonts w:hint="eastAsia" w:ascii="宋体" w:hAnsi="宋体" w:cs="宋体"/>
          <w:b/>
          <w:color w:val="auto"/>
          <w:kern w:val="0"/>
          <w:sz w:val="32"/>
          <w:szCs w:val="32"/>
        </w:rPr>
        <w:t>二○二五年</w:t>
      </w:r>
      <w:r>
        <w:rPr>
          <w:rFonts w:hint="eastAsia" w:cs="宋体"/>
          <w:b/>
          <w:color w:val="auto"/>
          <w:kern w:val="0"/>
          <w:sz w:val="32"/>
          <w:szCs w:val="32"/>
          <w:lang w:val="en-US" w:eastAsia="zh-CN"/>
        </w:rPr>
        <w:t>十一</w:t>
      </w:r>
      <w:r>
        <w:rPr>
          <w:rFonts w:hint="eastAsia" w:ascii="宋体" w:hAnsi="宋体" w:cs="宋体"/>
          <w:b/>
          <w:color w:val="auto"/>
          <w:kern w:val="0"/>
          <w:sz w:val="32"/>
          <w:szCs w:val="32"/>
        </w:rPr>
        <w:t>月</w:t>
      </w:r>
    </w:p>
    <w:p w14:paraId="325D9307">
      <w:pPr>
        <w:ind w:firstLine="562"/>
        <w:jc w:val="right"/>
        <w:rPr>
          <w:b/>
          <w:color w:val="auto"/>
          <w:szCs w:val="28"/>
        </w:rPr>
      </w:pPr>
    </w:p>
    <w:p w14:paraId="07416E78">
      <w:pPr>
        <w:ind w:firstLine="562"/>
        <w:jc w:val="right"/>
        <w:rPr>
          <w:b/>
          <w:color w:val="auto"/>
          <w:szCs w:val="28"/>
        </w:rPr>
      </w:pPr>
    </w:p>
    <w:p w14:paraId="3260962F">
      <w:pPr>
        <w:ind w:firstLine="562"/>
        <w:jc w:val="right"/>
        <w:rPr>
          <w:b/>
          <w:color w:val="auto"/>
          <w:szCs w:val="28"/>
        </w:rPr>
      </w:pPr>
    </w:p>
    <w:p w14:paraId="1F2B21E0">
      <w:pPr>
        <w:ind w:firstLine="562"/>
        <w:jc w:val="right"/>
        <w:rPr>
          <w:b/>
          <w:color w:val="auto"/>
          <w:szCs w:val="28"/>
        </w:rPr>
        <w:sectPr>
          <w:headerReference r:id="rId7" w:type="first"/>
          <w:footerReference r:id="rId9" w:type="first"/>
          <w:headerReference r:id="rId5" w:type="default"/>
          <w:footerReference r:id="rId8" w:type="default"/>
          <w:headerReference r:id="rId6" w:type="even"/>
          <w:pgSz w:w="11906" w:h="16838"/>
          <w:pgMar w:top="1417" w:right="1304" w:bottom="1417" w:left="1588" w:header="1134" w:footer="964" w:gutter="0"/>
          <w:pgBorders>
            <w:top w:val="none" w:sz="0" w:space="0"/>
            <w:left w:val="none" w:sz="0" w:space="0"/>
            <w:bottom w:val="none" w:sz="0" w:space="0"/>
            <w:right w:val="none" w:sz="0" w:space="0"/>
          </w:pgBorders>
          <w:pgNumType w:fmt="upperRoman" w:start="1"/>
          <w:cols w:space="720" w:num="1"/>
          <w:docGrid w:linePitch="312" w:charSpace="0"/>
        </w:sectPr>
      </w:pPr>
    </w:p>
    <w:p w14:paraId="2B845785">
      <w:pPr>
        <w:ind w:firstLine="562"/>
        <w:jc w:val="right"/>
        <w:rPr>
          <w:b/>
          <w:color w:val="auto"/>
          <w:szCs w:val="28"/>
        </w:rPr>
      </w:pPr>
    </w:p>
    <w:p w14:paraId="41F0301E">
      <w:pPr>
        <w:ind w:firstLine="562"/>
        <w:jc w:val="right"/>
        <w:rPr>
          <w:rFonts w:hint="default" w:eastAsia="宋体"/>
          <w:b/>
          <w:color w:val="auto"/>
          <w:szCs w:val="28"/>
          <w:lang w:val="en-US" w:eastAsia="zh-CN"/>
        </w:rPr>
      </w:pPr>
    </w:p>
    <w:p w14:paraId="77864A47">
      <w:pPr>
        <w:spacing w:line="240" w:lineRule="auto"/>
        <w:ind w:firstLine="0" w:firstLineChars="0"/>
        <w:jc w:val="center"/>
        <w:rPr>
          <w:b/>
          <w:color w:val="auto"/>
          <w:sz w:val="32"/>
          <w:szCs w:val="32"/>
        </w:rPr>
      </w:pPr>
    </w:p>
    <w:p w14:paraId="094D3BC5">
      <w:pPr>
        <w:spacing w:line="240" w:lineRule="auto"/>
        <w:ind w:firstLine="0" w:firstLineChars="0"/>
        <w:jc w:val="center"/>
        <w:rPr>
          <w:b/>
          <w:color w:val="auto"/>
          <w:sz w:val="32"/>
          <w:szCs w:val="32"/>
        </w:rPr>
      </w:pPr>
    </w:p>
    <w:p w14:paraId="5B8830C8">
      <w:pPr>
        <w:spacing w:line="700" w:lineRule="exact"/>
        <w:ind w:firstLine="0" w:firstLineChars="0"/>
        <w:jc w:val="center"/>
        <w:rPr>
          <w:rFonts w:hint="eastAsia" w:eastAsia="宋体"/>
          <w:b/>
          <w:color w:val="auto"/>
          <w:sz w:val="32"/>
          <w:szCs w:val="32"/>
          <w:lang w:eastAsia="zh-CN"/>
        </w:rPr>
      </w:pPr>
      <w:r>
        <w:rPr>
          <w:rFonts w:hint="eastAsia"/>
          <w:b/>
          <w:color w:val="auto"/>
          <w:sz w:val="32"/>
          <w:szCs w:val="32"/>
          <w:lang w:eastAsia="zh-CN"/>
        </w:rPr>
        <w:t>凤县绿能诚睿矿业有限公司</w:t>
      </w:r>
    </w:p>
    <w:p w14:paraId="4AD36E15">
      <w:pPr>
        <w:spacing w:line="700" w:lineRule="exact"/>
        <w:ind w:firstLine="0" w:firstLineChars="0"/>
        <w:jc w:val="center"/>
        <w:rPr>
          <w:b/>
          <w:color w:val="auto"/>
          <w:sz w:val="32"/>
          <w:szCs w:val="32"/>
        </w:rPr>
      </w:pPr>
      <w:r>
        <w:rPr>
          <w:rFonts w:hint="eastAsia"/>
          <w:b/>
          <w:color w:val="auto"/>
          <w:sz w:val="32"/>
          <w:szCs w:val="32"/>
          <w:lang w:eastAsia="zh-CN"/>
        </w:rPr>
        <w:t>陕西省</w:t>
      </w:r>
      <w:r>
        <w:rPr>
          <w:rFonts w:hint="eastAsia"/>
          <w:b/>
          <w:color w:val="auto"/>
          <w:sz w:val="32"/>
          <w:szCs w:val="32"/>
          <w:lang w:val="en-US" w:eastAsia="zh-CN"/>
        </w:rPr>
        <w:t>凤县</w:t>
      </w:r>
      <w:r>
        <w:rPr>
          <w:rFonts w:hint="eastAsia"/>
          <w:b/>
          <w:color w:val="auto"/>
          <w:sz w:val="32"/>
          <w:szCs w:val="32"/>
          <w:lang w:eastAsia="zh-CN"/>
        </w:rPr>
        <w:t>李家庄方解石矿地下开采建设项目</w:t>
      </w:r>
    </w:p>
    <w:p w14:paraId="7B0BE627">
      <w:pPr>
        <w:spacing w:line="700" w:lineRule="exact"/>
        <w:ind w:firstLine="0" w:firstLineChars="0"/>
        <w:jc w:val="center"/>
        <w:rPr>
          <w:b/>
          <w:color w:val="auto"/>
          <w:sz w:val="44"/>
          <w:szCs w:val="44"/>
        </w:rPr>
      </w:pPr>
      <w:r>
        <w:rPr>
          <w:rFonts w:hint="eastAsia"/>
          <w:b/>
          <w:color w:val="auto"/>
          <w:sz w:val="44"/>
          <w:szCs w:val="44"/>
        </w:rPr>
        <w:t>安全预评价报告</w:t>
      </w:r>
    </w:p>
    <w:p w14:paraId="790A7AEA">
      <w:pPr>
        <w:spacing w:line="240" w:lineRule="auto"/>
        <w:ind w:firstLine="0" w:firstLineChars="0"/>
        <w:jc w:val="center"/>
        <w:rPr>
          <w:rFonts w:ascii="Times New Roman" w:hAnsi="Times New Roman"/>
          <w:color w:val="auto"/>
          <w:szCs w:val="28"/>
        </w:rPr>
      </w:pPr>
    </w:p>
    <w:p w14:paraId="4AE2D4A5">
      <w:pPr>
        <w:spacing w:line="240" w:lineRule="auto"/>
        <w:ind w:firstLine="0" w:firstLineChars="0"/>
        <w:jc w:val="center"/>
        <w:rPr>
          <w:b/>
          <w:color w:val="auto"/>
          <w:sz w:val="32"/>
          <w:szCs w:val="32"/>
        </w:rPr>
      </w:pPr>
    </w:p>
    <w:p w14:paraId="49B250B7">
      <w:pPr>
        <w:spacing w:line="240" w:lineRule="auto"/>
        <w:ind w:firstLine="0" w:firstLineChars="0"/>
        <w:jc w:val="center"/>
        <w:rPr>
          <w:b/>
          <w:color w:val="auto"/>
          <w:sz w:val="32"/>
          <w:szCs w:val="32"/>
        </w:rPr>
      </w:pPr>
    </w:p>
    <w:p w14:paraId="616A1AAB">
      <w:pPr>
        <w:spacing w:line="240" w:lineRule="auto"/>
        <w:ind w:firstLine="0" w:firstLineChars="0"/>
        <w:jc w:val="center"/>
        <w:rPr>
          <w:b/>
          <w:color w:val="auto"/>
          <w:sz w:val="32"/>
          <w:szCs w:val="32"/>
        </w:rPr>
      </w:pPr>
    </w:p>
    <w:p w14:paraId="286CD215">
      <w:pPr>
        <w:spacing w:line="240" w:lineRule="auto"/>
        <w:ind w:firstLine="0" w:firstLineChars="0"/>
        <w:jc w:val="both"/>
        <w:rPr>
          <w:b/>
          <w:color w:val="auto"/>
          <w:sz w:val="32"/>
          <w:szCs w:val="32"/>
        </w:rPr>
      </w:pPr>
    </w:p>
    <w:p w14:paraId="51AE2977">
      <w:pPr>
        <w:keepNext w:val="0"/>
        <w:keepLines w:val="0"/>
        <w:pageBreakBefore w:val="0"/>
        <w:widowControl w:val="0"/>
        <w:kinsoku/>
        <w:wordWrap/>
        <w:overflowPunct/>
        <w:topLinePunct w:val="0"/>
        <w:autoSpaceDE/>
        <w:autoSpaceDN/>
        <w:bidi w:val="0"/>
        <w:adjustRightInd/>
        <w:snapToGrid/>
        <w:spacing w:line="700" w:lineRule="exact"/>
        <w:ind w:firstLine="560" w:firstLineChars="200"/>
        <w:jc w:val="left"/>
        <w:textAlignment w:val="auto"/>
        <w:rPr>
          <w:rFonts w:hint="eastAsia"/>
          <w:bCs/>
          <w:color w:val="auto"/>
          <w:sz w:val="28"/>
          <w:szCs w:val="28"/>
        </w:rPr>
      </w:pPr>
      <w:r>
        <w:rPr>
          <w:rFonts w:hint="eastAsia"/>
          <w:bCs/>
          <w:color w:val="auto"/>
          <w:sz w:val="28"/>
          <w:szCs w:val="28"/>
        </w:rPr>
        <w:t>评价机构名称：江西赣安安全生产科学技术咨询服务中心</w:t>
      </w:r>
    </w:p>
    <w:p w14:paraId="4731B784">
      <w:pPr>
        <w:keepNext w:val="0"/>
        <w:keepLines w:val="0"/>
        <w:pageBreakBefore w:val="0"/>
        <w:widowControl w:val="0"/>
        <w:kinsoku/>
        <w:wordWrap/>
        <w:overflowPunct/>
        <w:topLinePunct w:val="0"/>
        <w:autoSpaceDE/>
        <w:autoSpaceDN/>
        <w:bidi w:val="0"/>
        <w:adjustRightInd/>
        <w:snapToGrid/>
        <w:spacing w:line="700" w:lineRule="exact"/>
        <w:ind w:firstLine="560" w:firstLineChars="200"/>
        <w:jc w:val="left"/>
        <w:textAlignment w:val="auto"/>
        <w:rPr>
          <w:rFonts w:hint="eastAsia"/>
          <w:bCs/>
          <w:color w:val="auto"/>
          <w:sz w:val="28"/>
          <w:szCs w:val="28"/>
        </w:rPr>
      </w:pPr>
      <w:r>
        <w:rPr>
          <w:rFonts w:hint="eastAsia"/>
          <w:bCs/>
          <w:color w:val="auto"/>
          <w:sz w:val="28"/>
          <w:szCs w:val="28"/>
        </w:rPr>
        <w:t>资质证书编号：APJ-</w:t>
      </w:r>
      <w:r>
        <w:rPr>
          <w:rFonts w:hint="eastAsia"/>
          <w:bCs/>
          <w:color w:val="auto"/>
          <w:sz w:val="28"/>
          <w:szCs w:val="28"/>
          <w:lang w:eastAsia="zh-CN"/>
        </w:rPr>
        <w:t>(</w:t>
      </w:r>
      <w:r>
        <w:rPr>
          <w:rFonts w:hint="eastAsia"/>
          <w:bCs/>
          <w:color w:val="auto"/>
          <w:sz w:val="28"/>
          <w:szCs w:val="28"/>
        </w:rPr>
        <w:t>赣)-002</w:t>
      </w:r>
    </w:p>
    <w:p w14:paraId="3E1FF5E3">
      <w:pPr>
        <w:keepNext w:val="0"/>
        <w:keepLines w:val="0"/>
        <w:pageBreakBefore w:val="0"/>
        <w:widowControl w:val="0"/>
        <w:kinsoku/>
        <w:wordWrap/>
        <w:overflowPunct/>
        <w:topLinePunct w:val="0"/>
        <w:autoSpaceDE/>
        <w:autoSpaceDN/>
        <w:bidi w:val="0"/>
        <w:adjustRightInd/>
        <w:snapToGrid/>
        <w:spacing w:line="700" w:lineRule="exact"/>
        <w:ind w:firstLine="560" w:firstLineChars="200"/>
        <w:jc w:val="left"/>
        <w:textAlignment w:val="auto"/>
        <w:rPr>
          <w:rFonts w:hint="eastAsia"/>
          <w:bCs/>
          <w:color w:val="auto"/>
          <w:sz w:val="28"/>
          <w:szCs w:val="28"/>
        </w:rPr>
      </w:pPr>
      <w:r>
        <w:rPr>
          <w:rFonts w:hint="eastAsia"/>
          <w:bCs/>
          <w:color w:val="auto"/>
          <w:sz w:val="28"/>
          <w:szCs w:val="28"/>
        </w:rPr>
        <w:t>法定代表人：应宏</w:t>
      </w:r>
    </w:p>
    <w:p w14:paraId="337BB6FD">
      <w:pPr>
        <w:keepNext w:val="0"/>
        <w:keepLines w:val="0"/>
        <w:pageBreakBefore w:val="0"/>
        <w:widowControl w:val="0"/>
        <w:kinsoku/>
        <w:wordWrap/>
        <w:overflowPunct/>
        <w:topLinePunct w:val="0"/>
        <w:autoSpaceDE/>
        <w:autoSpaceDN/>
        <w:bidi w:val="0"/>
        <w:adjustRightInd/>
        <w:snapToGrid/>
        <w:spacing w:line="700" w:lineRule="exact"/>
        <w:ind w:firstLine="560" w:firstLineChars="200"/>
        <w:jc w:val="left"/>
        <w:textAlignment w:val="auto"/>
        <w:rPr>
          <w:rFonts w:hint="eastAsia"/>
          <w:bCs/>
          <w:color w:val="auto"/>
          <w:sz w:val="28"/>
          <w:szCs w:val="28"/>
        </w:rPr>
      </w:pPr>
      <w:r>
        <w:rPr>
          <w:rFonts w:hint="eastAsia" w:ascii="Times New Roman" w:hAnsi="Times New Roman" w:eastAsia="宋体" w:cs="Times New Roman"/>
          <w:bCs/>
          <w:color w:val="auto"/>
          <w:sz w:val="28"/>
          <w:szCs w:val="28"/>
        </w:rPr>
        <w:t>审核定稿人：</w:t>
      </w:r>
      <w:r>
        <w:rPr>
          <w:rFonts w:hint="eastAsia"/>
          <w:bCs/>
          <w:color w:val="auto"/>
          <w:sz w:val="28"/>
          <w:szCs w:val="28"/>
          <w:lang w:val="en-US" w:eastAsia="zh-CN"/>
        </w:rPr>
        <w:t>段萌</w:t>
      </w:r>
    </w:p>
    <w:p w14:paraId="05F339C3">
      <w:pPr>
        <w:keepNext w:val="0"/>
        <w:keepLines w:val="0"/>
        <w:pageBreakBefore w:val="0"/>
        <w:widowControl w:val="0"/>
        <w:kinsoku/>
        <w:wordWrap/>
        <w:overflowPunct/>
        <w:topLinePunct w:val="0"/>
        <w:autoSpaceDE/>
        <w:autoSpaceDN/>
        <w:bidi w:val="0"/>
        <w:adjustRightInd/>
        <w:snapToGrid/>
        <w:spacing w:line="700" w:lineRule="exact"/>
        <w:ind w:firstLine="560" w:firstLineChars="200"/>
        <w:jc w:val="left"/>
        <w:textAlignment w:val="auto"/>
        <w:rPr>
          <w:rFonts w:hint="default"/>
          <w:bCs/>
          <w:color w:val="auto"/>
          <w:sz w:val="28"/>
          <w:szCs w:val="28"/>
          <w:lang w:val="en-US" w:eastAsia="zh-CN"/>
        </w:rPr>
      </w:pPr>
      <w:r>
        <w:rPr>
          <w:rFonts w:hint="eastAsia" w:ascii="Times New Roman" w:hAnsi="Times New Roman" w:eastAsia="宋体" w:cs="Times New Roman"/>
          <w:bCs/>
          <w:color w:val="auto"/>
          <w:sz w:val="28"/>
          <w:szCs w:val="28"/>
        </w:rPr>
        <w:t>评价负责人：</w:t>
      </w:r>
      <w:r>
        <w:rPr>
          <w:rFonts w:hint="eastAsia"/>
          <w:bCs/>
          <w:color w:val="auto"/>
          <w:sz w:val="28"/>
          <w:szCs w:val="28"/>
          <w:lang w:val="en-US" w:eastAsia="zh-CN"/>
        </w:rPr>
        <w:t>郑强</w:t>
      </w:r>
    </w:p>
    <w:p w14:paraId="19406D80">
      <w:pPr>
        <w:keepNext w:val="0"/>
        <w:keepLines w:val="0"/>
        <w:pageBreakBefore w:val="0"/>
        <w:widowControl w:val="0"/>
        <w:kinsoku/>
        <w:wordWrap/>
        <w:overflowPunct/>
        <w:topLinePunct w:val="0"/>
        <w:autoSpaceDE/>
        <w:autoSpaceDN/>
        <w:bidi w:val="0"/>
        <w:adjustRightInd/>
        <w:snapToGrid/>
        <w:spacing w:line="700" w:lineRule="exact"/>
        <w:ind w:firstLine="560" w:firstLineChars="200"/>
        <w:jc w:val="left"/>
        <w:textAlignment w:val="auto"/>
        <w:rPr>
          <w:rFonts w:hint="eastAsia" w:ascii="宋体" w:hAnsi="宋体" w:eastAsia="宋体"/>
          <w:bCs/>
          <w:color w:val="auto"/>
          <w:sz w:val="28"/>
          <w:szCs w:val="28"/>
        </w:rPr>
      </w:pPr>
      <w:r>
        <w:rPr>
          <w:rFonts w:hint="eastAsia" w:ascii="宋体" w:hAnsi="宋体" w:eastAsia="宋体"/>
          <w:bCs/>
          <w:color w:val="auto"/>
          <w:sz w:val="28"/>
          <w:szCs w:val="28"/>
        </w:rPr>
        <w:t>评价机构联系电话：0791-87379386</w:t>
      </w:r>
    </w:p>
    <w:p w14:paraId="37AA468C">
      <w:pPr>
        <w:spacing w:line="700" w:lineRule="exact"/>
        <w:ind w:firstLine="0" w:firstLineChars="0"/>
        <w:jc w:val="both"/>
        <w:rPr>
          <w:b/>
          <w:bCs/>
          <w:color w:val="auto"/>
          <w:sz w:val="32"/>
        </w:rPr>
      </w:pPr>
    </w:p>
    <w:p w14:paraId="100D18E2">
      <w:pPr>
        <w:spacing w:line="700" w:lineRule="exact"/>
        <w:ind w:firstLine="0" w:firstLineChars="0"/>
        <w:jc w:val="center"/>
        <w:rPr>
          <w:b/>
          <w:bCs/>
          <w:color w:val="auto"/>
          <w:sz w:val="24"/>
        </w:rPr>
      </w:pPr>
      <w:r>
        <w:rPr>
          <w:rFonts w:hint="eastAsia"/>
          <w:b/>
          <w:bCs/>
          <w:color w:val="auto"/>
          <w:sz w:val="24"/>
        </w:rPr>
        <w:t>(安全评价机构公章)</w:t>
      </w:r>
    </w:p>
    <w:p w14:paraId="12FE7BEA">
      <w:pPr>
        <w:spacing w:line="700" w:lineRule="exact"/>
        <w:ind w:firstLine="0" w:firstLineChars="0"/>
        <w:jc w:val="center"/>
        <w:rPr>
          <w:b/>
          <w:bCs/>
          <w:color w:val="auto"/>
          <w:sz w:val="24"/>
        </w:rPr>
      </w:pPr>
      <w:r>
        <w:rPr>
          <w:rFonts w:hint="eastAsia"/>
          <w:b/>
          <w:bCs/>
          <w:color w:val="auto"/>
          <w:sz w:val="24"/>
        </w:rPr>
        <w:t>202</w:t>
      </w:r>
      <w:r>
        <w:rPr>
          <w:rFonts w:hint="eastAsia"/>
          <w:b/>
          <w:bCs/>
          <w:color w:val="auto"/>
          <w:sz w:val="24"/>
          <w:lang w:val="en-US" w:eastAsia="zh-CN"/>
        </w:rPr>
        <w:t>5</w:t>
      </w:r>
      <w:r>
        <w:rPr>
          <w:rFonts w:hint="eastAsia"/>
          <w:b/>
          <w:bCs/>
          <w:color w:val="auto"/>
          <w:sz w:val="24"/>
        </w:rPr>
        <w:t>年</w:t>
      </w:r>
      <w:r>
        <w:rPr>
          <w:rFonts w:hint="eastAsia"/>
          <w:b/>
          <w:bCs/>
          <w:color w:val="auto"/>
          <w:sz w:val="24"/>
          <w:lang w:val="en-US" w:eastAsia="zh-CN"/>
        </w:rPr>
        <w:t>11</w:t>
      </w:r>
      <w:r>
        <w:rPr>
          <w:rFonts w:hint="eastAsia"/>
          <w:b/>
          <w:bCs/>
          <w:color w:val="auto"/>
          <w:sz w:val="24"/>
        </w:rPr>
        <w:t>月</w:t>
      </w:r>
    </w:p>
    <w:p w14:paraId="60D043DA">
      <w:pPr>
        <w:ind w:firstLine="0" w:firstLineChars="0"/>
        <w:jc w:val="center"/>
        <w:rPr>
          <w:b/>
          <w:color w:val="auto"/>
          <w:sz w:val="24"/>
        </w:rPr>
      </w:pPr>
    </w:p>
    <w:p w14:paraId="132BE461">
      <w:pPr>
        <w:ind w:firstLine="560"/>
        <w:rPr>
          <w:color w:val="auto"/>
        </w:rPr>
      </w:pPr>
    </w:p>
    <w:p w14:paraId="34AC3975">
      <w:pPr>
        <w:ind w:firstLine="560"/>
        <w:rPr>
          <w:color w:val="auto"/>
        </w:rPr>
      </w:pPr>
    </w:p>
    <w:p w14:paraId="537EC8CE">
      <w:pPr>
        <w:ind w:firstLine="560"/>
        <w:rPr>
          <w:color w:val="auto"/>
        </w:rPr>
        <w:sectPr>
          <w:headerReference r:id="rId10" w:type="default"/>
          <w:footerReference r:id="rId11" w:type="default"/>
          <w:type w:val="oddPage"/>
          <w:pgSz w:w="11906" w:h="16838"/>
          <w:pgMar w:top="1417" w:right="1304" w:bottom="1417" w:left="1588" w:header="1134" w:footer="964" w:gutter="0"/>
          <w:pgBorders>
            <w:top w:val="none" w:sz="0" w:space="0"/>
            <w:left w:val="none" w:sz="0" w:space="0"/>
            <w:bottom w:val="none" w:sz="0" w:space="0"/>
            <w:right w:val="none" w:sz="0" w:space="0"/>
          </w:pgBorders>
          <w:pgNumType w:fmt="upperRoman" w:start="1"/>
          <w:cols w:space="720" w:num="1"/>
          <w:docGrid w:linePitch="312" w:charSpace="0"/>
        </w:sectPr>
      </w:pPr>
    </w:p>
    <w:p w14:paraId="43F5066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auto"/>
          <w:sz w:val="28"/>
          <w:szCs w:val="28"/>
          <w:highlight w:val="none"/>
          <w:lang w:eastAsia="zh-CN"/>
        </w:rPr>
      </w:pPr>
      <w:r>
        <w:rPr>
          <w:rFonts w:hint="eastAsia" w:ascii="宋体" w:hAnsi="宋体" w:eastAsia="宋体" w:cs="宋体"/>
          <w:b/>
          <w:bCs/>
          <w:color w:val="auto"/>
          <w:sz w:val="28"/>
          <w:szCs w:val="28"/>
          <w:highlight w:val="none"/>
          <w:lang w:eastAsia="zh-CN"/>
        </w:rPr>
        <w:t>凤县绿能诚睿矿业有限公司</w:t>
      </w:r>
    </w:p>
    <w:p w14:paraId="485293C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auto"/>
          <w:sz w:val="28"/>
          <w:szCs w:val="28"/>
          <w:highlight w:val="none"/>
        </w:rPr>
      </w:pPr>
      <w:r>
        <w:rPr>
          <w:rFonts w:hint="eastAsia"/>
          <w:b/>
          <w:color w:val="auto"/>
          <w:sz w:val="32"/>
          <w:szCs w:val="32"/>
          <w:lang w:eastAsia="zh-CN"/>
        </w:rPr>
        <w:t>陕西省</w:t>
      </w:r>
      <w:r>
        <w:rPr>
          <w:rFonts w:hint="eastAsia"/>
          <w:b/>
          <w:color w:val="auto"/>
          <w:sz w:val="32"/>
          <w:szCs w:val="32"/>
          <w:lang w:val="en-US" w:eastAsia="zh-CN"/>
        </w:rPr>
        <w:t>凤县</w:t>
      </w:r>
      <w:r>
        <w:rPr>
          <w:rFonts w:hint="eastAsia"/>
          <w:b/>
          <w:color w:val="auto"/>
          <w:sz w:val="32"/>
          <w:szCs w:val="32"/>
          <w:lang w:eastAsia="zh-CN"/>
        </w:rPr>
        <w:t>李家庄方解石矿地</w:t>
      </w:r>
      <w:r>
        <w:rPr>
          <w:rFonts w:hint="eastAsia" w:ascii="宋体" w:hAnsi="宋体" w:eastAsia="宋体"/>
          <w:b/>
          <w:color w:val="auto"/>
          <w:sz w:val="32"/>
          <w:szCs w:val="32"/>
          <w:lang w:eastAsia="zh-CN"/>
        </w:rPr>
        <w:t>下开采建设项目安全预评价报告</w:t>
      </w:r>
    </w:p>
    <w:p w14:paraId="26181FE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auto"/>
          <w:sz w:val="28"/>
          <w:szCs w:val="28"/>
          <w:highlight w:val="none"/>
          <w:lang w:eastAsia="zh-CN"/>
        </w:rPr>
      </w:pPr>
      <w:r>
        <w:rPr>
          <w:rFonts w:hint="eastAsia" w:ascii="黑体" w:hAnsi="Times New Roman" w:eastAsia="黑体" w:cs="Times New Roman"/>
          <w:color w:val="auto"/>
          <w:sz w:val="28"/>
          <w:szCs w:val="28"/>
          <w:highlight w:val="none"/>
          <w:lang w:val="en-US" w:eastAsia="zh-CN"/>
        </w:rPr>
        <w:t>评价人员</w:t>
      </w:r>
    </w:p>
    <w:tbl>
      <w:tblPr>
        <w:tblStyle w:val="24"/>
        <w:tblW w:w="5108" w:type="pct"/>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573"/>
        <w:gridCol w:w="974"/>
        <w:gridCol w:w="2903"/>
        <w:gridCol w:w="1189"/>
        <w:gridCol w:w="1446"/>
        <w:gridCol w:w="1346"/>
      </w:tblGrid>
      <w:tr w14:paraId="0FAFB07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115" w:hRule="exact"/>
          <w:jc w:val="center"/>
        </w:trPr>
        <w:tc>
          <w:tcPr>
            <w:tcW w:w="833" w:type="pct"/>
            <w:noWrap w:val="0"/>
            <w:vAlign w:val="center"/>
          </w:tcPr>
          <w:p w14:paraId="0A12582D">
            <w:pPr>
              <w:keepNext w:val="0"/>
              <w:keepLines w:val="0"/>
              <w:suppressLineNumbers w:val="0"/>
              <w:spacing w:before="0" w:beforeAutospacing="0" w:after="0" w:afterAutospacing="0" w:line="240" w:lineRule="auto"/>
              <w:ind w:left="0" w:right="0" w:firstLine="0" w:firstLineChars="0"/>
              <w:jc w:val="center"/>
              <w:rPr>
                <w:rFonts w:hint="eastAsia"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分类</w:t>
            </w:r>
          </w:p>
        </w:tc>
        <w:tc>
          <w:tcPr>
            <w:tcW w:w="516" w:type="pct"/>
            <w:noWrap w:val="0"/>
            <w:vAlign w:val="center"/>
          </w:tcPr>
          <w:p w14:paraId="667E88B3">
            <w:pPr>
              <w:keepNext w:val="0"/>
              <w:keepLines w:val="0"/>
              <w:suppressLineNumbers w:val="0"/>
              <w:spacing w:before="0" w:beforeAutospacing="0" w:after="0" w:afterAutospacing="0" w:line="240" w:lineRule="auto"/>
              <w:ind w:left="0" w:right="0" w:firstLine="0" w:firstLineChars="0"/>
              <w:jc w:val="center"/>
              <w:rPr>
                <w:rFonts w:hint="eastAsia"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姓名</w:t>
            </w:r>
          </w:p>
        </w:tc>
        <w:tc>
          <w:tcPr>
            <w:tcW w:w="1539" w:type="pct"/>
            <w:noWrap w:val="0"/>
            <w:vAlign w:val="center"/>
          </w:tcPr>
          <w:p w14:paraId="17CC2768">
            <w:pPr>
              <w:keepNext w:val="0"/>
              <w:keepLines w:val="0"/>
              <w:suppressLineNumbers w:val="0"/>
              <w:spacing w:before="0" w:beforeAutospacing="0" w:after="0" w:afterAutospacing="0" w:line="240" w:lineRule="auto"/>
              <w:ind w:left="0" w:right="0" w:firstLine="0" w:firstLineChars="0"/>
              <w:jc w:val="center"/>
              <w:rPr>
                <w:rFonts w:hint="eastAsia"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职业资格证书编号</w:t>
            </w:r>
          </w:p>
        </w:tc>
        <w:tc>
          <w:tcPr>
            <w:tcW w:w="630" w:type="pct"/>
            <w:noWrap w:val="0"/>
            <w:vAlign w:val="center"/>
          </w:tcPr>
          <w:p w14:paraId="1D4BED9E">
            <w:pPr>
              <w:keepNext w:val="0"/>
              <w:keepLines w:val="0"/>
              <w:suppressLineNumbers w:val="0"/>
              <w:spacing w:before="0" w:beforeAutospacing="0" w:after="0" w:afterAutospacing="0" w:line="240" w:lineRule="auto"/>
              <w:ind w:left="0" w:right="0" w:firstLine="0" w:firstLineChars="0"/>
              <w:jc w:val="center"/>
              <w:rPr>
                <w:rFonts w:hint="eastAsia"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从业信息</w:t>
            </w:r>
          </w:p>
          <w:p w14:paraId="1A54F65B">
            <w:pPr>
              <w:keepNext w:val="0"/>
              <w:keepLines w:val="0"/>
              <w:suppressLineNumbers w:val="0"/>
              <w:spacing w:before="0" w:beforeAutospacing="0" w:after="0" w:afterAutospacing="0" w:line="240" w:lineRule="auto"/>
              <w:ind w:left="0" w:right="0" w:firstLine="0" w:firstLineChars="0"/>
              <w:jc w:val="center"/>
              <w:rPr>
                <w:rFonts w:hint="eastAsia"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识别卡编号</w:t>
            </w:r>
          </w:p>
        </w:tc>
        <w:tc>
          <w:tcPr>
            <w:tcW w:w="766" w:type="pct"/>
            <w:noWrap w:val="0"/>
            <w:vAlign w:val="center"/>
          </w:tcPr>
          <w:p w14:paraId="664966D9">
            <w:pPr>
              <w:keepNext w:val="0"/>
              <w:keepLines w:val="0"/>
              <w:suppressLineNumbers w:val="0"/>
              <w:spacing w:before="0" w:beforeAutospacing="0" w:after="0" w:afterAutospacing="0" w:line="240" w:lineRule="auto"/>
              <w:ind w:left="0" w:right="0" w:firstLine="0" w:firstLineChars="0"/>
              <w:jc w:val="center"/>
              <w:rPr>
                <w:rFonts w:hint="eastAsia"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专业能力</w:t>
            </w:r>
          </w:p>
        </w:tc>
        <w:tc>
          <w:tcPr>
            <w:tcW w:w="713" w:type="pct"/>
            <w:noWrap w:val="0"/>
            <w:vAlign w:val="center"/>
          </w:tcPr>
          <w:p w14:paraId="6104B0CE">
            <w:pPr>
              <w:keepNext w:val="0"/>
              <w:keepLines w:val="0"/>
              <w:suppressLineNumbers w:val="0"/>
              <w:spacing w:before="0" w:beforeAutospacing="0" w:after="0" w:afterAutospacing="0" w:line="240" w:lineRule="auto"/>
              <w:ind w:left="0" w:right="0" w:firstLine="0" w:firstLineChars="0"/>
              <w:jc w:val="center"/>
              <w:rPr>
                <w:rFonts w:hint="eastAsia"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签字</w:t>
            </w:r>
          </w:p>
        </w:tc>
      </w:tr>
      <w:tr w14:paraId="54F0716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850" w:hRule="exact"/>
          <w:jc w:val="center"/>
        </w:trPr>
        <w:tc>
          <w:tcPr>
            <w:tcW w:w="833" w:type="pct"/>
            <w:noWrap w:val="0"/>
            <w:vAlign w:val="center"/>
          </w:tcPr>
          <w:p w14:paraId="68A74747">
            <w:pPr>
              <w:keepNext w:val="0"/>
              <w:keepLines w:val="0"/>
              <w:suppressLineNumbers w:val="0"/>
              <w:spacing w:before="0" w:beforeAutospacing="0" w:after="0" w:afterAutospacing="0" w:line="240" w:lineRule="auto"/>
              <w:ind w:left="0" w:right="0" w:firstLine="0" w:firstLineChars="0"/>
              <w:jc w:val="center"/>
              <w:rPr>
                <w:rFonts w:hint="eastAsia"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项目负责人</w:t>
            </w:r>
          </w:p>
        </w:tc>
        <w:tc>
          <w:tcPr>
            <w:tcW w:w="516" w:type="pct"/>
            <w:noWrap w:val="0"/>
            <w:vAlign w:val="center"/>
          </w:tcPr>
          <w:p w14:paraId="7835899F">
            <w:pPr>
              <w:keepNext w:val="0"/>
              <w:keepLines w:val="0"/>
              <w:suppressLineNumbers w:val="0"/>
              <w:spacing w:before="0" w:beforeAutospacing="0" w:after="0" w:afterAutospacing="0" w:line="240" w:lineRule="auto"/>
              <w:ind w:left="0" w:leftChars="0" w:right="0" w:rightChars="0" w:firstLine="0" w:firstLineChars="0"/>
              <w:jc w:val="center"/>
              <w:rPr>
                <w:rFonts w:hint="eastAsia"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lang w:val="en-US" w:eastAsia="zh-CN"/>
              </w:rPr>
              <w:t>郑  强</w:t>
            </w:r>
          </w:p>
        </w:tc>
        <w:tc>
          <w:tcPr>
            <w:tcW w:w="1539" w:type="pct"/>
            <w:noWrap w:val="0"/>
            <w:vAlign w:val="center"/>
          </w:tcPr>
          <w:p w14:paraId="42760D16">
            <w:pPr>
              <w:keepNext w:val="0"/>
              <w:keepLines w:val="0"/>
              <w:suppressLineNumbers w:val="0"/>
              <w:spacing w:before="0" w:beforeAutospacing="0" w:after="0" w:afterAutospacing="0" w:line="240" w:lineRule="auto"/>
              <w:ind w:left="0" w:leftChars="0" w:right="0" w:rightChars="0" w:firstLine="0" w:firstLineChars="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0800000000101605</w:t>
            </w:r>
          </w:p>
        </w:tc>
        <w:tc>
          <w:tcPr>
            <w:tcW w:w="630" w:type="pct"/>
            <w:noWrap w:val="0"/>
            <w:vAlign w:val="center"/>
          </w:tcPr>
          <w:p w14:paraId="4792E3A9">
            <w:pPr>
              <w:keepNext w:val="0"/>
              <w:keepLines w:val="0"/>
              <w:suppressLineNumbers w:val="0"/>
              <w:spacing w:before="0" w:beforeAutospacing="0" w:after="0" w:afterAutospacing="0" w:line="240" w:lineRule="auto"/>
              <w:ind w:left="0" w:leftChars="0" w:right="0" w:rightChars="0" w:firstLine="0" w:firstLineChars="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001851</w:t>
            </w:r>
          </w:p>
        </w:tc>
        <w:tc>
          <w:tcPr>
            <w:tcW w:w="766" w:type="pct"/>
            <w:noWrap w:val="0"/>
            <w:vAlign w:val="center"/>
          </w:tcPr>
          <w:p w14:paraId="6BBE9190">
            <w:pPr>
              <w:keepNext w:val="0"/>
              <w:keepLines w:val="0"/>
              <w:suppressLineNumbers w:val="0"/>
              <w:spacing w:before="0" w:beforeAutospacing="0" w:after="0" w:afterAutospacing="0" w:line="240" w:lineRule="auto"/>
              <w:ind w:left="0" w:leftChars="0" w:right="0" w:rightChars="0" w:firstLine="0" w:firstLineChars="0"/>
              <w:jc w:val="center"/>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安全</w:t>
            </w:r>
          </w:p>
        </w:tc>
        <w:tc>
          <w:tcPr>
            <w:tcW w:w="713" w:type="pct"/>
            <w:noWrap w:val="0"/>
            <w:vAlign w:val="center"/>
          </w:tcPr>
          <w:p w14:paraId="4DAAB81B">
            <w:pPr>
              <w:keepNext w:val="0"/>
              <w:keepLines w:val="0"/>
              <w:suppressLineNumbers w:val="0"/>
              <w:spacing w:before="0" w:beforeAutospacing="0" w:after="0" w:afterAutospacing="0" w:line="240" w:lineRule="auto"/>
              <w:ind w:left="0" w:right="0" w:firstLine="0" w:firstLineChars="0"/>
              <w:jc w:val="center"/>
              <w:rPr>
                <w:rFonts w:hint="eastAsia" w:ascii="Times New Roman" w:hAnsi="Times New Roman" w:eastAsia="宋体" w:cs="Times New Roman"/>
                <w:color w:val="auto"/>
                <w:sz w:val="24"/>
                <w:szCs w:val="24"/>
                <w:highlight w:val="none"/>
              </w:rPr>
            </w:pPr>
          </w:p>
        </w:tc>
      </w:tr>
      <w:tr w14:paraId="429FFD4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850" w:hRule="exact"/>
          <w:jc w:val="center"/>
        </w:trPr>
        <w:tc>
          <w:tcPr>
            <w:tcW w:w="833" w:type="pct"/>
            <w:vMerge w:val="restart"/>
            <w:noWrap w:val="0"/>
            <w:vAlign w:val="center"/>
          </w:tcPr>
          <w:p w14:paraId="415EAC16">
            <w:pPr>
              <w:keepNext w:val="0"/>
              <w:keepLines w:val="0"/>
              <w:suppressLineNumbers w:val="0"/>
              <w:spacing w:before="0" w:beforeAutospacing="0" w:after="0" w:afterAutospacing="0" w:line="240" w:lineRule="auto"/>
              <w:ind w:left="0" w:right="0" w:firstLine="0" w:firstLineChars="0"/>
              <w:jc w:val="center"/>
              <w:rPr>
                <w:rFonts w:hint="eastAsia"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项目组成员</w:t>
            </w:r>
          </w:p>
        </w:tc>
        <w:tc>
          <w:tcPr>
            <w:tcW w:w="516" w:type="pct"/>
            <w:noWrap w:val="0"/>
            <w:vAlign w:val="center"/>
          </w:tcPr>
          <w:p w14:paraId="488005B1">
            <w:pPr>
              <w:keepNext w:val="0"/>
              <w:keepLines w:val="0"/>
              <w:suppressLineNumbers w:val="0"/>
              <w:spacing w:before="0" w:beforeAutospacing="0" w:after="0" w:afterAutospacing="0" w:line="240" w:lineRule="auto"/>
              <w:ind w:left="0" w:leftChars="0" w:right="0" w:rightChars="0" w:firstLine="0" w:firstLineChars="0"/>
              <w:jc w:val="center"/>
              <w:rPr>
                <w:rFonts w:hint="eastAsia" w:ascii="Times New Roman" w:hAnsi="Times New Roman" w:eastAsia="宋体" w:cs="Times New Roman"/>
                <w:color w:val="auto"/>
                <w:sz w:val="24"/>
                <w:szCs w:val="24"/>
                <w:highlight w:val="none"/>
                <w:lang w:val="en-US" w:eastAsia="zh-CN"/>
              </w:rPr>
            </w:pPr>
            <w:r>
              <w:rPr>
                <w:rFonts w:hint="eastAsia" w:ascii="宋体" w:hAnsi="宋体" w:eastAsia="宋体" w:cs="宋体"/>
                <w:color w:val="auto"/>
                <w:kern w:val="2"/>
                <w:sz w:val="24"/>
                <w:szCs w:val="24"/>
                <w:highlight w:val="none"/>
                <w:lang w:val="en-US" w:eastAsia="zh-CN" w:bidi="ar-SA"/>
              </w:rPr>
              <w:t>朱继科</w:t>
            </w:r>
          </w:p>
        </w:tc>
        <w:tc>
          <w:tcPr>
            <w:tcW w:w="1539" w:type="pct"/>
            <w:noWrap w:val="0"/>
            <w:vAlign w:val="center"/>
          </w:tcPr>
          <w:p w14:paraId="04AAE684">
            <w:pPr>
              <w:keepNext w:val="0"/>
              <w:keepLines w:val="0"/>
              <w:suppressLineNumbers w:val="0"/>
              <w:spacing w:before="0" w:beforeAutospacing="0" w:after="0" w:afterAutospacing="0" w:line="240" w:lineRule="auto"/>
              <w:ind w:left="0" w:leftChars="0" w:right="0" w:rightChars="0" w:firstLine="0" w:firstLineChars="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S011041000110203001270</w:t>
            </w:r>
          </w:p>
        </w:tc>
        <w:tc>
          <w:tcPr>
            <w:tcW w:w="630" w:type="pct"/>
            <w:noWrap w:val="0"/>
            <w:vAlign w:val="center"/>
          </w:tcPr>
          <w:p w14:paraId="5CE585A9">
            <w:pPr>
              <w:keepNext w:val="0"/>
              <w:keepLines w:val="0"/>
              <w:suppressLineNumbers w:val="0"/>
              <w:spacing w:before="0" w:beforeAutospacing="0" w:after="0" w:afterAutospacing="0" w:line="240" w:lineRule="auto"/>
              <w:ind w:left="0" w:leftChars="0" w:right="0" w:rightChars="0" w:firstLine="0" w:firstLineChars="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040820</w:t>
            </w:r>
          </w:p>
        </w:tc>
        <w:tc>
          <w:tcPr>
            <w:tcW w:w="766" w:type="pct"/>
            <w:noWrap w:val="0"/>
            <w:vAlign w:val="center"/>
          </w:tcPr>
          <w:p w14:paraId="1AB32E5F">
            <w:pPr>
              <w:keepNext w:val="0"/>
              <w:keepLines w:val="0"/>
              <w:suppressLineNumbers w:val="0"/>
              <w:spacing w:before="0" w:beforeAutospacing="0" w:after="0" w:afterAutospacing="0" w:line="240" w:lineRule="auto"/>
              <w:ind w:left="0" w:leftChars="0" w:right="0" w:rightChars="0" w:firstLine="0" w:firstLineChars="0"/>
              <w:jc w:val="center"/>
              <w:rPr>
                <w:rFonts w:hint="eastAsia" w:ascii="Times New Roman" w:hAnsi="Times New Roman" w:eastAsia="宋体" w:cs="Times New Roman"/>
                <w:color w:val="auto"/>
                <w:sz w:val="24"/>
                <w:szCs w:val="24"/>
                <w:highlight w:val="none"/>
                <w:lang w:val="en-US" w:eastAsia="zh-CN"/>
              </w:rPr>
            </w:pPr>
            <w:r>
              <w:rPr>
                <w:rFonts w:hint="eastAsia" w:ascii="宋体" w:hAnsi="宋体" w:eastAsia="宋体" w:cs="宋体"/>
                <w:color w:val="auto"/>
                <w:kern w:val="2"/>
                <w:sz w:val="24"/>
                <w:szCs w:val="24"/>
                <w:highlight w:val="none"/>
                <w:lang w:val="en-US" w:eastAsia="zh-CN" w:bidi="ar-SA"/>
              </w:rPr>
              <w:t>机械</w:t>
            </w:r>
          </w:p>
        </w:tc>
        <w:tc>
          <w:tcPr>
            <w:tcW w:w="713" w:type="pct"/>
            <w:noWrap w:val="0"/>
            <w:vAlign w:val="center"/>
          </w:tcPr>
          <w:p w14:paraId="71F8A60A">
            <w:pPr>
              <w:keepNext w:val="0"/>
              <w:keepLines w:val="0"/>
              <w:suppressLineNumbers w:val="0"/>
              <w:spacing w:before="0" w:beforeAutospacing="0" w:after="0" w:afterAutospacing="0" w:line="240" w:lineRule="auto"/>
              <w:ind w:left="0" w:right="0" w:firstLine="0" w:firstLineChars="0"/>
              <w:jc w:val="center"/>
              <w:rPr>
                <w:rFonts w:hint="eastAsia" w:ascii="Times New Roman" w:hAnsi="Times New Roman" w:eastAsia="宋体" w:cs="Times New Roman"/>
                <w:color w:val="auto"/>
                <w:sz w:val="24"/>
                <w:szCs w:val="24"/>
                <w:highlight w:val="none"/>
              </w:rPr>
            </w:pPr>
          </w:p>
        </w:tc>
      </w:tr>
      <w:tr w14:paraId="08EB6D5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850" w:hRule="exact"/>
          <w:jc w:val="center"/>
        </w:trPr>
        <w:tc>
          <w:tcPr>
            <w:tcW w:w="833" w:type="pct"/>
            <w:vMerge w:val="continue"/>
            <w:noWrap w:val="0"/>
            <w:vAlign w:val="center"/>
          </w:tcPr>
          <w:p w14:paraId="5EC496CD">
            <w:pPr>
              <w:keepNext w:val="0"/>
              <w:keepLines w:val="0"/>
              <w:suppressLineNumbers w:val="0"/>
              <w:spacing w:before="0" w:beforeAutospacing="0" w:after="0" w:afterAutospacing="0" w:line="240" w:lineRule="auto"/>
              <w:ind w:left="0" w:right="0" w:firstLine="0" w:firstLineChars="0"/>
              <w:jc w:val="center"/>
              <w:rPr>
                <w:rFonts w:hint="eastAsia" w:ascii="Times New Roman" w:hAnsi="Times New Roman" w:eastAsia="宋体" w:cs="Times New Roman"/>
                <w:color w:val="auto"/>
                <w:sz w:val="24"/>
                <w:szCs w:val="24"/>
                <w:highlight w:val="none"/>
              </w:rPr>
            </w:pPr>
          </w:p>
        </w:tc>
        <w:tc>
          <w:tcPr>
            <w:tcW w:w="516" w:type="pct"/>
            <w:noWrap w:val="0"/>
            <w:vAlign w:val="center"/>
          </w:tcPr>
          <w:p w14:paraId="4CF49017">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应宏</w:t>
            </w:r>
          </w:p>
        </w:tc>
        <w:tc>
          <w:tcPr>
            <w:tcW w:w="1539" w:type="pct"/>
            <w:noWrap w:val="0"/>
            <w:vAlign w:val="center"/>
          </w:tcPr>
          <w:p w14:paraId="1BEF36DA">
            <w:pPr>
              <w:keepNext w:val="0"/>
              <w:keepLines w:val="0"/>
              <w:suppressLineNumbers w:val="0"/>
              <w:spacing w:before="0" w:beforeAutospacing="0" w:after="0" w:afterAutospacing="0" w:line="240" w:lineRule="auto"/>
              <w:ind w:left="0" w:leftChars="0" w:right="0" w:rightChars="0" w:firstLine="0" w:firstLineChars="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0800000000101630</w:t>
            </w:r>
          </w:p>
        </w:tc>
        <w:tc>
          <w:tcPr>
            <w:tcW w:w="630" w:type="pct"/>
            <w:noWrap w:val="0"/>
            <w:vAlign w:val="center"/>
          </w:tcPr>
          <w:p w14:paraId="7A9A13F6">
            <w:pPr>
              <w:keepNext w:val="0"/>
              <w:keepLines w:val="0"/>
              <w:suppressLineNumbers w:val="0"/>
              <w:spacing w:before="0" w:beforeAutospacing="0" w:after="0" w:afterAutospacing="0" w:line="240" w:lineRule="auto"/>
              <w:ind w:left="0" w:leftChars="0" w:right="0" w:rightChars="0" w:firstLine="0" w:firstLineChars="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001630</w:t>
            </w:r>
          </w:p>
        </w:tc>
        <w:tc>
          <w:tcPr>
            <w:tcW w:w="766" w:type="pct"/>
            <w:noWrap w:val="0"/>
            <w:vAlign w:val="center"/>
          </w:tcPr>
          <w:p w14:paraId="25B51FB5">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电气</w:t>
            </w:r>
          </w:p>
        </w:tc>
        <w:tc>
          <w:tcPr>
            <w:tcW w:w="713" w:type="pct"/>
            <w:noWrap w:val="0"/>
            <w:vAlign w:val="center"/>
          </w:tcPr>
          <w:p w14:paraId="1274635C">
            <w:pPr>
              <w:keepNext w:val="0"/>
              <w:keepLines w:val="0"/>
              <w:suppressLineNumbers w:val="0"/>
              <w:spacing w:before="0" w:beforeAutospacing="0" w:after="0" w:afterAutospacing="0" w:line="240" w:lineRule="auto"/>
              <w:ind w:left="0" w:right="0" w:firstLine="0" w:firstLineChars="0"/>
              <w:jc w:val="center"/>
              <w:rPr>
                <w:rFonts w:hint="eastAsia" w:ascii="Times New Roman" w:hAnsi="Times New Roman" w:eastAsia="宋体" w:cs="Times New Roman"/>
                <w:color w:val="auto"/>
                <w:sz w:val="24"/>
                <w:szCs w:val="24"/>
                <w:highlight w:val="none"/>
              </w:rPr>
            </w:pPr>
          </w:p>
        </w:tc>
      </w:tr>
      <w:tr w14:paraId="3546C3A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850" w:hRule="exact"/>
          <w:jc w:val="center"/>
        </w:trPr>
        <w:tc>
          <w:tcPr>
            <w:tcW w:w="833" w:type="pct"/>
            <w:vMerge w:val="continue"/>
            <w:noWrap w:val="0"/>
            <w:vAlign w:val="center"/>
          </w:tcPr>
          <w:p w14:paraId="01E12C2C">
            <w:pPr>
              <w:keepNext w:val="0"/>
              <w:keepLines w:val="0"/>
              <w:suppressLineNumbers w:val="0"/>
              <w:spacing w:before="0" w:beforeAutospacing="0" w:after="0" w:afterAutospacing="0" w:line="240" w:lineRule="auto"/>
              <w:ind w:left="0" w:right="0" w:firstLine="0" w:firstLineChars="0"/>
              <w:jc w:val="center"/>
              <w:rPr>
                <w:rFonts w:hint="eastAsia" w:ascii="Times New Roman" w:hAnsi="Times New Roman" w:eastAsia="宋体" w:cs="Times New Roman"/>
                <w:color w:val="auto"/>
                <w:sz w:val="24"/>
                <w:szCs w:val="24"/>
                <w:highlight w:val="none"/>
              </w:rPr>
            </w:pPr>
          </w:p>
        </w:tc>
        <w:tc>
          <w:tcPr>
            <w:tcW w:w="516" w:type="pct"/>
            <w:noWrap w:val="0"/>
            <w:vAlign w:val="center"/>
          </w:tcPr>
          <w:p w14:paraId="6DEC1D95">
            <w:pPr>
              <w:keepNext w:val="0"/>
              <w:keepLines w:val="0"/>
              <w:suppressLineNumbers w:val="0"/>
              <w:spacing w:before="0" w:beforeAutospacing="0" w:after="0" w:afterAutospacing="0" w:line="240" w:lineRule="auto"/>
              <w:ind w:left="0" w:leftChars="0" w:right="0" w:rightChars="0" w:firstLine="0" w:firstLineChars="0"/>
              <w:jc w:val="center"/>
              <w:rPr>
                <w:rFonts w:hint="eastAsia" w:ascii="Times New Roman" w:hAnsi="Times New Roman" w:cs="Times New Roman"/>
                <w:color w:val="auto"/>
                <w:sz w:val="24"/>
                <w:szCs w:val="24"/>
                <w:highlight w:val="none"/>
                <w:lang w:val="en-US" w:eastAsia="zh-CN"/>
              </w:rPr>
            </w:pPr>
            <w:r>
              <w:rPr>
                <w:rFonts w:hint="eastAsia" w:cs="宋体"/>
                <w:color w:val="auto"/>
                <w:kern w:val="2"/>
                <w:sz w:val="24"/>
                <w:szCs w:val="24"/>
                <w:highlight w:val="none"/>
                <w:lang w:val="en-US" w:eastAsia="zh-CN" w:bidi="ar-SA"/>
              </w:rPr>
              <w:t>黄伯扬</w:t>
            </w:r>
          </w:p>
        </w:tc>
        <w:tc>
          <w:tcPr>
            <w:tcW w:w="1539" w:type="pct"/>
            <w:noWrap w:val="0"/>
            <w:vAlign w:val="center"/>
          </w:tcPr>
          <w:p w14:paraId="256C10CC">
            <w:pPr>
              <w:keepNext w:val="0"/>
              <w:keepLines w:val="0"/>
              <w:suppressLineNumbers w:val="0"/>
              <w:spacing w:before="0" w:beforeAutospacing="0" w:after="0" w:afterAutospacing="0" w:line="240" w:lineRule="auto"/>
              <w:ind w:left="0" w:leftChars="0" w:right="0" w:rightChars="0" w:firstLine="0" w:firstLineChars="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CAWS350000230200232</w:t>
            </w:r>
          </w:p>
        </w:tc>
        <w:tc>
          <w:tcPr>
            <w:tcW w:w="630" w:type="pct"/>
            <w:noWrap w:val="0"/>
            <w:vAlign w:val="center"/>
          </w:tcPr>
          <w:p w14:paraId="5523091B">
            <w:pPr>
              <w:keepNext w:val="0"/>
              <w:keepLines w:val="0"/>
              <w:suppressLineNumbers w:val="0"/>
              <w:spacing w:before="0" w:beforeAutospacing="0" w:after="0" w:afterAutospacing="0" w:line="240" w:lineRule="auto"/>
              <w:ind w:left="0" w:leftChars="0" w:right="0" w:rightChars="0" w:firstLine="0" w:firstLineChars="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032737</w:t>
            </w:r>
          </w:p>
        </w:tc>
        <w:tc>
          <w:tcPr>
            <w:tcW w:w="766" w:type="pct"/>
            <w:noWrap w:val="0"/>
            <w:vAlign w:val="center"/>
          </w:tcPr>
          <w:p w14:paraId="496A5EF5">
            <w:pPr>
              <w:keepNext w:val="0"/>
              <w:keepLines w:val="0"/>
              <w:suppressLineNumbers w:val="0"/>
              <w:spacing w:before="0" w:beforeAutospacing="0" w:after="0" w:afterAutospacing="0" w:line="320" w:lineRule="exact"/>
              <w:ind w:left="0" w:leftChars="0" w:right="0" w:rightChars="0" w:firstLine="0" w:firstLineChars="0"/>
              <w:jc w:val="center"/>
              <w:rPr>
                <w:rFonts w:hint="eastAsia" w:ascii="Times New Roman" w:hAnsi="Times New Roman" w:eastAsia="宋体" w:cs="Times New Roman"/>
                <w:color w:val="auto"/>
                <w:sz w:val="24"/>
                <w:szCs w:val="24"/>
                <w:highlight w:val="none"/>
                <w:lang w:val="en-US" w:eastAsia="zh-CN"/>
              </w:rPr>
            </w:pPr>
            <w:r>
              <w:rPr>
                <w:rFonts w:hint="eastAsia" w:cs="宋体"/>
                <w:color w:val="auto"/>
                <w:kern w:val="2"/>
                <w:sz w:val="24"/>
                <w:szCs w:val="24"/>
                <w:highlight w:val="none"/>
                <w:lang w:val="en-US" w:eastAsia="zh-CN" w:bidi="ar-SA"/>
              </w:rPr>
              <w:t>采矿工程</w:t>
            </w:r>
          </w:p>
        </w:tc>
        <w:tc>
          <w:tcPr>
            <w:tcW w:w="713" w:type="pct"/>
            <w:noWrap w:val="0"/>
            <w:vAlign w:val="center"/>
          </w:tcPr>
          <w:p w14:paraId="5C3DB197">
            <w:pPr>
              <w:keepNext w:val="0"/>
              <w:keepLines w:val="0"/>
              <w:suppressLineNumbers w:val="0"/>
              <w:spacing w:before="0" w:beforeAutospacing="0" w:after="0" w:afterAutospacing="0" w:line="240" w:lineRule="auto"/>
              <w:ind w:left="0" w:right="0" w:firstLine="0" w:firstLineChars="0"/>
              <w:jc w:val="center"/>
              <w:rPr>
                <w:rFonts w:hint="eastAsia" w:ascii="Times New Roman" w:hAnsi="Times New Roman" w:eastAsia="宋体" w:cs="Times New Roman"/>
                <w:color w:val="auto"/>
                <w:sz w:val="24"/>
                <w:szCs w:val="24"/>
                <w:highlight w:val="none"/>
              </w:rPr>
            </w:pPr>
          </w:p>
        </w:tc>
      </w:tr>
      <w:tr w14:paraId="4A3D647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850" w:hRule="exact"/>
          <w:jc w:val="center"/>
        </w:trPr>
        <w:tc>
          <w:tcPr>
            <w:tcW w:w="833" w:type="pct"/>
            <w:vMerge w:val="continue"/>
            <w:noWrap w:val="0"/>
            <w:vAlign w:val="center"/>
          </w:tcPr>
          <w:p w14:paraId="7A84CCAA">
            <w:pPr>
              <w:keepNext w:val="0"/>
              <w:keepLines w:val="0"/>
              <w:suppressLineNumbers w:val="0"/>
              <w:spacing w:before="0" w:beforeAutospacing="0" w:after="0" w:afterAutospacing="0" w:line="240" w:lineRule="auto"/>
              <w:ind w:left="0" w:right="0" w:firstLine="0" w:firstLineChars="0"/>
              <w:jc w:val="center"/>
              <w:rPr>
                <w:rFonts w:hint="eastAsia" w:ascii="Times New Roman" w:hAnsi="Times New Roman" w:eastAsia="宋体" w:cs="Times New Roman"/>
                <w:color w:val="auto"/>
                <w:sz w:val="24"/>
                <w:szCs w:val="24"/>
                <w:highlight w:val="none"/>
              </w:rPr>
            </w:pPr>
          </w:p>
        </w:tc>
        <w:tc>
          <w:tcPr>
            <w:tcW w:w="516" w:type="pct"/>
            <w:noWrap w:val="0"/>
            <w:vAlign w:val="center"/>
          </w:tcPr>
          <w:p w14:paraId="7C1A232A">
            <w:pPr>
              <w:keepNext w:val="0"/>
              <w:keepLines w:val="0"/>
              <w:suppressLineNumbers w:val="0"/>
              <w:spacing w:before="0" w:beforeAutospacing="0" w:after="0" w:afterAutospacing="0" w:line="240" w:lineRule="auto"/>
              <w:ind w:left="0" w:leftChars="0" w:right="0" w:rightChars="0" w:firstLine="0" w:firstLineChars="0"/>
              <w:jc w:val="center"/>
              <w:rPr>
                <w:rFonts w:hint="eastAsia"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李景龙</w:t>
            </w:r>
          </w:p>
        </w:tc>
        <w:tc>
          <w:tcPr>
            <w:tcW w:w="1539" w:type="pct"/>
            <w:noWrap w:val="0"/>
            <w:vAlign w:val="center"/>
          </w:tcPr>
          <w:p w14:paraId="6D3E6718">
            <w:pPr>
              <w:keepNext w:val="0"/>
              <w:keepLines w:val="0"/>
              <w:suppressLineNumbers w:val="0"/>
              <w:spacing w:before="0" w:beforeAutospacing="0" w:after="0" w:afterAutospacing="0" w:line="240" w:lineRule="auto"/>
              <w:ind w:left="0" w:leftChars="0" w:right="0" w:rightChars="0" w:firstLine="0" w:firstLineChars="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20231004636000000141</w:t>
            </w:r>
          </w:p>
        </w:tc>
        <w:tc>
          <w:tcPr>
            <w:tcW w:w="630" w:type="pct"/>
            <w:noWrap w:val="0"/>
            <w:vAlign w:val="center"/>
          </w:tcPr>
          <w:p w14:paraId="1B7E407E">
            <w:pPr>
              <w:keepNext w:val="0"/>
              <w:keepLines w:val="0"/>
              <w:suppressLineNumbers w:val="0"/>
              <w:spacing w:before="0" w:beforeAutospacing="0" w:after="0" w:afterAutospacing="0" w:line="240" w:lineRule="auto"/>
              <w:ind w:left="0" w:leftChars="0" w:right="0" w:rightChars="0" w:firstLine="0" w:firstLineChars="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36250406364</w:t>
            </w:r>
          </w:p>
        </w:tc>
        <w:tc>
          <w:tcPr>
            <w:tcW w:w="766" w:type="pct"/>
            <w:noWrap w:val="0"/>
            <w:vAlign w:val="center"/>
          </w:tcPr>
          <w:p w14:paraId="6350BE08">
            <w:pPr>
              <w:keepNext w:val="0"/>
              <w:keepLines w:val="0"/>
              <w:suppressLineNumbers w:val="0"/>
              <w:spacing w:before="0" w:beforeAutospacing="0" w:after="0" w:afterAutospacing="0" w:line="240" w:lineRule="auto"/>
              <w:ind w:left="0" w:leftChars="0" w:right="0" w:rightChars="0" w:firstLine="0" w:firstLineChars="0"/>
              <w:jc w:val="center"/>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通风</w:t>
            </w:r>
          </w:p>
        </w:tc>
        <w:tc>
          <w:tcPr>
            <w:tcW w:w="713" w:type="pct"/>
            <w:noWrap w:val="0"/>
            <w:vAlign w:val="center"/>
          </w:tcPr>
          <w:p w14:paraId="3B89F541">
            <w:pPr>
              <w:keepNext w:val="0"/>
              <w:keepLines w:val="0"/>
              <w:suppressLineNumbers w:val="0"/>
              <w:spacing w:before="0" w:beforeAutospacing="0" w:after="0" w:afterAutospacing="0" w:line="240" w:lineRule="auto"/>
              <w:ind w:left="0" w:right="0" w:firstLine="0" w:firstLineChars="0"/>
              <w:jc w:val="center"/>
              <w:rPr>
                <w:rFonts w:hint="eastAsia" w:ascii="Times New Roman" w:hAnsi="Times New Roman" w:eastAsia="宋体" w:cs="Times New Roman"/>
                <w:color w:val="auto"/>
                <w:sz w:val="24"/>
                <w:szCs w:val="24"/>
                <w:highlight w:val="none"/>
              </w:rPr>
            </w:pPr>
          </w:p>
        </w:tc>
      </w:tr>
      <w:tr w14:paraId="25B3DC5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850" w:hRule="exact"/>
          <w:jc w:val="center"/>
        </w:trPr>
        <w:tc>
          <w:tcPr>
            <w:tcW w:w="833" w:type="pct"/>
            <w:vMerge w:val="continue"/>
            <w:noWrap w:val="0"/>
            <w:vAlign w:val="center"/>
          </w:tcPr>
          <w:p w14:paraId="0C77A47C">
            <w:pPr>
              <w:keepNext w:val="0"/>
              <w:keepLines w:val="0"/>
              <w:suppressLineNumbers w:val="0"/>
              <w:spacing w:before="0" w:beforeAutospacing="0" w:after="0" w:afterAutospacing="0" w:line="240" w:lineRule="auto"/>
              <w:ind w:left="0" w:right="0" w:firstLine="0" w:firstLineChars="0"/>
              <w:jc w:val="center"/>
              <w:rPr>
                <w:rFonts w:hint="eastAsia" w:ascii="Times New Roman" w:hAnsi="Times New Roman" w:eastAsia="宋体" w:cs="Times New Roman"/>
                <w:color w:val="auto"/>
                <w:sz w:val="24"/>
                <w:szCs w:val="24"/>
                <w:highlight w:val="none"/>
              </w:rPr>
            </w:pPr>
          </w:p>
        </w:tc>
        <w:tc>
          <w:tcPr>
            <w:tcW w:w="516" w:type="pct"/>
            <w:noWrap w:val="0"/>
            <w:vAlign w:val="center"/>
          </w:tcPr>
          <w:p w14:paraId="17096CEA">
            <w:pPr>
              <w:keepNext w:val="0"/>
              <w:keepLines w:val="0"/>
              <w:suppressLineNumbers w:val="0"/>
              <w:spacing w:before="0" w:beforeAutospacing="0" w:after="0" w:afterAutospacing="0" w:line="240" w:lineRule="auto"/>
              <w:ind w:left="0" w:leftChars="0" w:right="0" w:rightChars="0" w:firstLine="0" w:firstLineChars="0"/>
              <w:jc w:val="center"/>
              <w:rPr>
                <w:rFonts w:hint="eastAsia" w:ascii="Times New Roman" w:hAnsi="Times New Roman"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王纪鹏</w:t>
            </w:r>
          </w:p>
        </w:tc>
        <w:tc>
          <w:tcPr>
            <w:tcW w:w="1539" w:type="pct"/>
            <w:noWrap w:val="0"/>
            <w:vAlign w:val="center"/>
          </w:tcPr>
          <w:p w14:paraId="4734BB41">
            <w:pPr>
              <w:keepNext w:val="0"/>
              <w:keepLines w:val="0"/>
              <w:suppressLineNumbers w:val="0"/>
              <w:spacing w:before="0" w:beforeAutospacing="0" w:after="0" w:afterAutospacing="0" w:line="240" w:lineRule="auto"/>
              <w:ind w:left="0" w:leftChars="0" w:right="0" w:rightChars="0" w:firstLine="0" w:firstLineChars="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S011035000110192001552</w:t>
            </w:r>
          </w:p>
        </w:tc>
        <w:tc>
          <w:tcPr>
            <w:tcW w:w="630" w:type="pct"/>
            <w:noWrap w:val="0"/>
            <w:vAlign w:val="center"/>
          </w:tcPr>
          <w:p w14:paraId="6129DE7D">
            <w:pPr>
              <w:keepNext w:val="0"/>
              <w:keepLines w:val="0"/>
              <w:suppressLineNumbers w:val="0"/>
              <w:spacing w:before="0" w:beforeAutospacing="0" w:after="0" w:afterAutospacing="0" w:line="240" w:lineRule="auto"/>
              <w:ind w:left="0" w:leftChars="0" w:right="0" w:rightChars="0" w:firstLine="0" w:firstLineChars="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036830</w:t>
            </w:r>
          </w:p>
        </w:tc>
        <w:tc>
          <w:tcPr>
            <w:tcW w:w="766" w:type="pct"/>
            <w:noWrap w:val="0"/>
            <w:vAlign w:val="center"/>
          </w:tcPr>
          <w:p w14:paraId="04C4F6A9">
            <w:pPr>
              <w:keepNext w:val="0"/>
              <w:keepLines w:val="0"/>
              <w:suppressLineNumbers w:val="0"/>
              <w:spacing w:before="0" w:beforeAutospacing="0" w:after="0" w:afterAutospacing="0" w:line="240" w:lineRule="auto"/>
              <w:ind w:left="0" w:leftChars="0" w:right="0" w:rightChars="0" w:firstLine="0" w:firstLineChars="0"/>
              <w:jc w:val="center"/>
              <w:rPr>
                <w:rFonts w:hint="eastAsia" w:ascii="Times New Roman" w:hAnsi="Times New Roman"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地质</w:t>
            </w:r>
          </w:p>
        </w:tc>
        <w:tc>
          <w:tcPr>
            <w:tcW w:w="713" w:type="pct"/>
            <w:noWrap w:val="0"/>
            <w:vAlign w:val="center"/>
          </w:tcPr>
          <w:p w14:paraId="359BBA8C">
            <w:pPr>
              <w:keepNext w:val="0"/>
              <w:keepLines w:val="0"/>
              <w:suppressLineNumbers w:val="0"/>
              <w:spacing w:before="0" w:beforeAutospacing="0" w:after="0" w:afterAutospacing="0" w:line="240" w:lineRule="auto"/>
              <w:ind w:left="0" w:right="0" w:firstLine="0" w:firstLineChars="0"/>
              <w:jc w:val="center"/>
              <w:rPr>
                <w:rFonts w:hint="eastAsia" w:ascii="Times New Roman" w:hAnsi="Times New Roman" w:eastAsia="宋体" w:cs="Times New Roman"/>
                <w:color w:val="auto"/>
                <w:sz w:val="24"/>
                <w:szCs w:val="24"/>
                <w:highlight w:val="none"/>
              </w:rPr>
            </w:pPr>
          </w:p>
        </w:tc>
      </w:tr>
      <w:tr w14:paraId="58BC978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850" w:hRule="exact"/>
          <w:jc w:val="center"/>
        </w:trPr>
        <w:tc>
          <w:tcPr>
            <w:tcW w:w="833" w:type="pct"/>
            <w:vMerge w:val="restart"/>
            <w:noWrap w:val="0"/>
            <w:vAlign w:val="center"/>
          </w:tcPr>
          <w:p w14:paraId="6ADD8E51">
            <w:pPr>
              <w:keepNext w:val="0"/>
              <w:keepLines w:val="0"/>
              <w:suppressLineNumbers w:val="0"/>
              <w:spacing w:before="0" w:beforeAutospacing="0" w:after="0" w:afterAutospacing="0" w:line="240" w:lineRule="auto"/>
              <w:ind w:left="0" w:right="0" w:firstLine="0" w:firstLineChars="0"/>
              <w:jc w:val="center"/>
              <w:rPr>
                <w:rFonts w:hint="eastAsia"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报告编制人</w:t>
            </w:r>
          </w:p>
        </w:tc>
        <w:tc>
          <w:tcPr>
            <w:tcW w:w="516" w:type="pct"/>
            <w:shd w:val="clear" w:color="auto" w:fill="auto"/>
            <w:noWrap w:val="0"/>
            <w:vAlign w:val="center"/>
          </w:tcPr>
          <w:p w14:paraId="52E0EAE8">
            <w:pPr>
              <w:keepNext w:val="0"/>
              <w:keepLines w:val="0"/>
              <w:suppressLineNumbers w:val="0"/>
              <w:spacing w:before="0" w:beforeAutospacing="0" w:after="0" w:afterAutospacing="0" w:line="240" w:lineRule="auto"/>
              <w:ind w:left="0" w:leftChars="0" w:right="0" w:rightChars="0" w:firstLine="0" w:firstLineChars="0"/>
              <w:jc w:val="center"/>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sz w:val="24"/>
                <w:szCs w:val="24"/>
                <w:highlight w:val="none"/>
                <w:lang w:val="en-US" w:eastAsia="zh-CN"/>
              </w:rPr>
              <w:t>郑  强</w:t>
            </w:r>
          </w:p>
        </w:tc>
        <w:tc>
          <w:tcPr>
            <w:tcW w:w="1539" w:type="pct"/>
            <w:shd w:val="clear" w:color="auto" w:fill="auto"/>
            <w:noWrap w:val="0"/>
            <w:vAlign w:val="center"/>
          </w:tcPr>
          <w:p w14:paraId="4FC5C702">
            <w:pPr>
              <w:keepNext w:val="0"/>
              <w:keepLines w:val="0"/>
              <w:suppressLineNumbers w:val="0"/>
              <w:spacing w:before="0" w:beforeAutospacing="0" w:after="0" w:afterAutospacing="0" w:line="240" w:lineRule="auto"/>
              <w:ind w:left="0" w:leftChars="0" w:right="0" w:rightChars="0" w:firstLine="0" w:firstLineChars="0"/>
              <w:jc w:val="center"/>
              <w:rPr>
                <w:rFonts w:hint="eastAsia" w:ascii="Times New Roman" w:hAnsi="Times New Roman" w:eastAsia="宋体" w:cs="Times New Roman"/>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0800000000101605</w:t>
            </w:r>
          </w:p>
        </w:tc>
        <w:tc>
          <w:tcPr>
            <w:tcW w:w="630" w:type="pct"/>
            <w:shd w:val="clear" w:color="auto" w:fill="auto"/>
            <w:noWrap w:val="0"/>
            <w:vAlign w:val="center"/>
          </w:tcPr>
          <w:p w14:paraId="221EC737">
            <w:pPr>
              <w:keepNext w:val="0"/>
              <w:keepLines w:val="0"/>
              <w:suppressLineNumbers w:val="0"/>
              <w:spacing w:before="0" w:beforeAutospacing="0" w:after="0" w:afterAutospacing="0" w:line="240" w:lineRule="auto"/>
              <w:ind w:left="0" w:leftChars="0" w:right="0" w:rightChars="0" w:firstLine="0" w:firstLineChars="0"/>
              <w:jc w:val="center"/>
              <w:rPr>
                <w:rFonts w:hint="eastAsia" w:ascii="Times New Roman" w:hAnsi="Times New Roman" w:eastAsia="宋体" w:cs="Times New Roman"/>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001851</w:t>
            </w:r>
          </w:p>
        </w:tc>
        <w:tc>
          <w:tcPr>
            <w:tcW w:w="766" w:type="pct"/>
            <w:shd w:val="clear" w:color="auto" w:fill="auto"/>
            <w:noWrap w:val="0"/>
            <w:vAlign w:val="center"/>
          </w:tcPr>
          <w:p w14:paraId="74D7D84B">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cs="Times New Roman"/>
                <w:color w:val="auto"/>
                <w:sz w:val="24"/>
                <w:szCs w:val="24"/>
                <w:highlight w:val="none"/>
                <w:lang w:val="en-US" w:eastAsia="zh-CN"/>
              </w:rPr>
              <w:t>安全</w:t>
            </w:r>
          </w:p>
        </w:tc>
        <w:tc>
          <w:tcPr>
            <w:tcW w:w="713" w:type="pct"/>
            <w:noWrap w:val="0"/>
            <w:vAlign w:val="center"/>
          </w:tcPr>
          <w:p w14:paraId="644BB6C3">
            <w:pPr>
              <w:keepNext w:val="0"/>
              <w:keepLines w:val="0"/>
              <w:suppressLineNumbers w:val="0"/>
              <w:spacing w:before="0" w:beforeAutospacing="0" w:after="0" w:afterAutospacing="0" w:line="240" w:lineRule="auto"/>
              <w:ind w:left="0" w:right="0" w:firstLine="0" w:firstLineChars="0"/>
              <w:jc w:val="center"/>
              <w:rPr>
                <w:rFonts w:hint="eastAsia" w:ascii="Times New Roman" w:hAnsi="Times New Roman" w:eastAsia="宋体" w:cs="Times New Roman"/>
                <w:color w:val="auto"/>
                <w:sz w:val="24"/>
                <w:szCs w:val="24"/>
                <w:highlight w:val="none"/>
              </w:rPr>
            </w:pPr>
          </w:p>
        </w:tc>
      </w:tr>
      <w:tr w14:paraId="4FDD747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850" w:hRule="exact"/>
          <w:jc w:val="center"/>
        </w:trPr>
        <w:tc>
          <w:tcPr>
            <w:tcW w:w="833" w:type="pct"/>
            <w:vMerge w:val="continue"/>
            <w:noWrap w:val="0"/>
            <w:vAlign w:val="center"/>
          </w:tcPr>
          <w:p w14:paraId="769212B6">
            <w:pPr>
              <w:keepNext w:val="0"/>
              <w:keepLines w:val="0"/>
              <w:suppressLineNumbers w:val="0"/>
              <w:spacing w:before="0" w:beforeAutospacing="0" w:after="0" w:afterAutospacing="0" w:line="240" w:lineRule="auto"/>
              <w:ind w:left="0" w:right="0" w:firstLine="0" w:firstLineChars="0"/>
              <w:jc w:val="center"/>
              <w:rPr>
                <w:rFonts w:hint="eastAsia" w:ascii="Times New Roman" w:hAnsi="Times New Roman" w:eastAsia="宋体" w:cs="Times New Roman"/>
                <w:color w:val="auto"/>
                <w:sz w:val="24"/>
                <w:szCs w:val="24"/>
                <w:highlight w:val="none"/>
              </w:rPr>
            </w:pPr>
          </w:p>
        </w:tc>
        <w:tc>
          <w:tcPr>
            <w:tcW w:w="516" w:type="pct"/>
            <w:shd w:val="clear" w:color="auto" w:fill="auto"/>
            <w:noWrap w:val="0"/>
            <w:vAlign w:val="center"/>
          </w:tcPr>
          <w:p w14:paraId="67EE1437">
            <w:pPr>
              <w:keepNext w:val="0"/>
              <w:keepLines w:val="0"/>
              <w:suppressLineNumbers w:val="0"/>
              <w:spacing w:before="0" w:beforeAutospacing="0" w:after="0" w:afterAutospacing="0" w:line="240" w:lineRule="auto"/>
              <w:ind w:left="0" w:leftChars="0" w:right="0" w:rightChars="0" w:firstLine="0" w:firstLineChars="0"/>
              <w:jc w:val="center"/>
              <w:rPr>
                <w:rFonts w:hint="eastAsia" w:ascii="Times New Roman" w:hAnsi="Times New Roman" w:eastAsia="宋体" w:cs="Times New Roman"/>
                <w:color w:val="auto"/>
                <w:sz w:val="24"/>
                <w:szCs w:val="24"/>
                <w:highlight w:val="none"/>
                <w:lang w:val="en-US" w:eastAsia="zh-CN"/>
              </w:rPr>
            </w:pPr>
            <w:r>
              <w:rPr>
                <w:rFonts w:hint="eastAsia" w:ascii="宋体" w:hAnsi="宋体" w:eastAsia="宋体" w:cs="宋体"/>
                <w:color w:val="auto"/>
                <w:kern w:val="2"/>
                <w:sz w:val="24"/>
                <w:szCs w:val="24"/>
                <w:highlight w:val="none"/>
                <w:lang w:val="en-US" w:eastAsia="zh-CN" w:bidi="ar-SA"/>
              </w:rPr>
              <w:t>朱继科</w:t>
            </w:r>
          </w:p>
        </w:tc>
        <w:tc>
          <w:tcPr>
            <w:tcW w:w="1539" w:type="pct"/>
            <w:shd w:val="clear" w:color="auto" w:fill="auto"/>
            <w:noWrap w:val="0"/>
            <w:vAlign w:val="center"/>
          </w:tcPr>
          <w:p w14:paraId="62DA7B07">
            <w:pPr>
              <w:keepNext w:val="0"/>
              <w:keepLines w:val="0"/>
              <w:suppressLineNumbers w:val="0"/>
              <w:spacing w:before="0" w:beforeAutospacing="0" w:after="0" w:afterAutospacing="0" w:line="240" w:lineRule="auto"/>
              <w:ind w:left="0" w:leftChars="0" w:right="0" w:rightChars="0" w:firstLine="0" w:firstLineChars="0"/>
              <w:jc w:val="center"/>
              <w:rPr>
                <w:rFonts w:hint="eastAsia" w:ascii="Times New Roman" w:hAnsi="Times New Roman" w:eastAsia="宋体" w:cs="Times New Roman"/>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S011041000110203001270</w:t>
            </w:r>
          </w:p>
        </w:tc>
        <w:tc>
          <w:tcPr>
            <w:tcW w:w="630" w:type="pct"/>
            <w:shd w:val="clear" w:color="auto" w:fill="auto"/>
            <w:noWrap w:val="0"/>
            <w:vAlign w:val="center"/>
          </w:tcPr>
          <w:p w14:paraId="1E6AE82E">
            <w:pPr>
              <w:keepNext w:val="0"/>
              <w:keepLines w:val="0"/>
              <w:suppressLineNumbers w:val="0"/>
              <w:spacing w:before="0" w:beforeAutospacing="0" w:after="0" w:afterAutospacing="0" w:line="240" w:lineRule="auto"/>
              <w:ind w:left="0" w:leftChars="0" w:right="0" w:rightChars="0" w:firstLine="0" w:firstLineChars="0"/>
              <w:jc w:val="center"/>
              <w:rPr>
                <w:rFonts w:hint="eastAsia" w:ascii="Times New Roman" w:hAnsi="Times New Roman" w:eastAsia="宋体" w:cs="Times New Roman"/>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040820</w:t>
            </w:r>
          </w:p>
        </w:tc>
        <w:tc>
          <w:tcPr>
            <w:tcW w:w="766" w:type="pct"/>
            <w:shd w:val="clear" w:color="auto" w:fill="auto"/>
            <w:noWrap w:val="0"/>
            <w:vAlign w:val="center"/>
          </w:tcPr>
          <w:p w14:paraId="425039DC">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4"/>
                <w:szCs w:val="24"/>
                <w:highlight w:val="none"/>
                <w:lang w:val="en-US" w:eastAsia="zh-CN"/>
              </w:rPr>
            </w:pPr>
            <w:r>
              <w:rPr>
                <w:rFonts w:hint="eastAsia" w:ascii="宋体" w:hAnsi="宋体" w:eastAsia="宋体" w:cs="宋体"/>
                <w:color w:val="auto"/>
                <w:kern w:val="2"/>
                <w:sz w:val="24"/>
                <w:szCs w:val="24"/>
                <w:highlight w:val="none"/>
                <w:lang w:val="en-US" w:eastAsia="zh-CN" w:bidi="ar-SA"/>
              </w:rPr>
              <w:t>机械</w:t>
            </w:r>
          </w:p>
        </w:tc>
        <w:tc>
          <w:tcPr>
            <w:tcW w:w="713" w:type="pct"/>
            <w:noWrap w:val="0"/>
            <w:vAlign w:val="center"/>
          </w:tcPr>
          <w:p w14:paraId="77283CFC">
            <w:pPr>
              <w:keepNext w:val="0"/>
              <w:keepLines w:val="0"/>
              <w:suppressLineNumbers w:val="0"/>
              <w:spacing w:before="0" w:beforeAutospacing="0" w:after="0" w:afterAutospacing="0" w:line="240" w:lineRule="auto"/>
              <w:ind w:left="0" w:right="0" w:firstLine="0" w:firstLineChars="0"/>
              <w:jc w:val="center"/>
              <w:rPr>
                <w:rFonts w:hint="eastAsia" w:ascii="Times New Roman" w:hAnsi="Times New Roman" w:eastAsia="宋体" w:cs="Times New Roman"/>
                <w:color w:val="auto"/>
                <w:sz w:val="24"/>
                <w:szCs w:val="24"/>
                <w:highlight w:val="none"/>
              </w:rPr>
            </w:pPr>
          </w:p>
        </w:tc>
      </w:tr>
      <w:tr w14:paraId="6982384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942" w:hRule="exact"/>
          <w:jc w:val="center"/>
        </w:trPr>
        <w:tc>
          <w:tcPr>
            <w:tcW w:w="833" w:type="pct"/>
            <w:vMerge w:val="continue"/>
            <w:noWrap w:val="0"/>
            <w:vAlign w:val="center"/>
          </w:tcPr>
          <w:p w14:paraId="71B7DF91">
            <w:pPr>
              <w:keepNext w:val="0"/>
              <w:keepLines w:val="0"/>
              <w:suppressLineNumbers w:val="0"/>
              <w:spacing w:before="0" w:beforeAutospacing="0" w:after="0" w:afterAutospacing="0" w:line="240" w:lineRule="auto"/>
              <w:ind w:left="0" w:right="0" w:firstLine="0" w:firstLineChars="0"/>
              <w:jc w:val="center"/>
              <w:rPr>
                <w:rFonts w:hint="eastAsia" w:ascii="Times New Roman" w:hAnsi="Times New Roman" w:eastAsia="宋体" w:cs="Times New Roman"/>
                <w:color w:val="auto"/>
                <w:sz w:val="24"/>
                <w:szCs w:val="24"/>
                <w:highlight w:val="none"/>
              </w:rPr>
            </w:pPr>
          </w:p>
        </w:tc>
        <w:tc>
          <w:tcPr>
            <w:tcW w:w="516" w:type="pct"/>
            <w:shd w:val="clear" w:color="auto" w:fill="auto"/>
            <w:noWrap w:val="0"/>
            <w:vAlign w:val="center"/>
          </w:tcPr>
          <w:p w14:paraId="427BDE21">
            <w:pPr>
              <w:keepNext w:val="0"/>
              <w:keepLines w:val="0"/>
              <w:suppressLineNumbers w:val="0"/>
              <w:spacing w:before="0" w:beforeAutospacing="0" w:after="0" w:afterAutospacing="0" w:line="240" w:lineRule="auto"/>
              <w:ind w:left="0" w:leftChars="0" w:right="0" w:rightChars="0" w:firstLine="0" w:firstLineChars="0"/>
              <w:jc w:val="center"/>
              <w:rPr>
                <w:rFonts w:hint="eastAsia" w:ascii="宋体" w:hAnsi="宋体" w:eastAsia="宋体" w:cs="宋体"/>
                <w:color w:val="auto"/>
                <w:kern w:val="2"/>
                <w:sz w:val="24"/>
                <w:szCs w:val="24"/>
                <w:highlight w:val="none"/>
                <w:lang w:val="en-US" w:eastAsia="zh-CN" w:bidi="ar-SA"/>
              </w:rPr>
            </w:pPr>
            <w:r>
              <w:rPr>
                <w:rFonts w:hint="eastAsia" w:ascii="Times New Roman" w:hAnsi="Times New Roman" w:eastAsia="宋体" w:cs="Times New Roman"/>
                <w:color w:val="auto"/>
                <w:sz w:val="24"/>
                <w:szCs w:val="24"/>
                <w:highlight w:val="none"/>
                <w:lang w:val="en-US" w:eastAsia="zh-CN"/>
              </w:rPr>
              <w:t>王纪鹏</w:t>
            </w:r>
          </w:p>
        </w:tc>
        <w:tc>
          <w:tcPr>
            <w:tcW w:w="1539" w:type="pct"/>
            <w:shd w:val="clear" w:color="auto" w:fill="auto"/>
            <w:noWrap w:val="0"/>
            <w:vAlign w:val="center"/>
          </w:tcPr>
          <w:p w14:paraId="0D5D3E20">
            <w:pPr>
              <w:keepNext w:val="0"/>
              <w:keepLines w:val="0"/>
              <w:suppressLineNumbers w:val="0"/>
              <w:spacing w:before="0" w:beforeAutospacing="0" w:after="0" w:afterAutospacing="0" w:line="240" w:lineRule="auto"/>
              <w:ind w:left="0" w:leftChars="0" w:right="0" w:rightChars="0" w:firstLine="0" w:firstLineChars="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S011035000110192001552</w:t>
            </w:r>
          </w:p>
        </w:tc>
        <w:tc>
          <w:tcPr>
            <w:tcW w:w="630" w:type="pct"/>
            <w:shd w:val="clear" w:color="auto" w:fill="auto"/>
            <w:noWrap w:val="0"/>
            <w:vAlign w:val="center"/>
          </w:tcPr>
          <w:p w14:paraId="564ACE6D">
            <w:pPr>
              <w:keepNext w:val="0"/>
              <w:keepLines w:val="0"/>
              <w:suppressLineNumbers w:val="0"/>
              <w:spacing w:before="0" w:beforeAutospacing="0" w:after="0" w:afterAutospacing="0" w:line="240" w:lineRule="auto"/>
              <w:ind w:left="0" w:leftChars="0" w:right="0" w:rightChars="0" w:firstLine="0" w:firstLineChars="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036830</w:t>
            </w:r>
          </w:p>
        </w:tc>
        <w:tc>
          <w:tcPr>
            <w:tcW w:w="766" w:type="pct"/>
            <w:shd w:val="clear" w:color="auto" w:fill="auto"/>
            <w:noWrap w:val="0"/>
            <w:vAlign w:val="center"/>
          </w:tcPr>
          <w:p w14:paraId="73985FCD">
            <w:pPr>
              <w:keepNext w:val="0"/>
              <w:keepLines w:val="0"/>
              <w:suppressLineNumbers w:val="0"/>
              <w:spacing w:before="0" w:beforeAutospacing="0" w:after="0" w:afterAutospacing="0" w:line="240" w:lineRule="auto"/>
              <w:ind w:left="0" w:leftChars="0" w:right="0" w:rightChars="0" w:firstLine="0" w:firstLineChars="0"/>
              <w:jc w:val="center"/>
              <w:rPr>
                <w:rFonts w:hint="eastAsia" w:ascii="宋体" w:hAnsi="宋体" w:eastAsia="宋体" w:cs="宋体"/>
                <w:color w:val="auto"/>
                <w:kern w:val="2"/>
                <w:sz w:val="24"/>
                <w:szCs w:val="24"/>
                <w:highlight w:val="none"/>
                <w:lang w:val="en-US" w:eastAsia="zh-CN" w:bidi="ar-SA"/>
              </w:rPr>
            </w:pPr>
            <w:r>
              <w:rPr>
                <w:rFonts w:hint="eastAsia" w:ascii="Times New Roman" w:hAnsi="Times New Roman" w:eastAsia="宋体" w:cs="Times New Roman"/>
                <w:color w:val="auto"/>
                <w:sz w:val="24"/>
                <w:szCs w:val="24"/>
                <w:highlight w:val="none"/>
                <w:lang w:val="en-US" w:eastAsia="zh-CN"/>
              </w:rPr>
              <w:t>地质</w:t>
            </w:r>
          </w:p>
        </w:tc>
        <w:tc>
          <w:tcPr>
            <w:tcW w:w="713" w:type="pct"/>
            <w:noWrap w:val="0"/>
            <w:vAlign w:val="center"/>
          </w:tcPr>
          <w:p w14:paraId="21E2956B">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color w:val="auto"/>
                <w:kern w:val="2"/>
                <w:sz w:val="24"/>
                <w:szCs w:val="24"/>
                <w:highlight w:val="none"/>
                <w:lang w:val="en-US" w:eastAsia="zh-CN" w:bidi="ar-SA"/>
              </w:rPr>
            </w:pPr>
          </w:p>
        </w:tc>
      </w:tr>
      <w:tr w14:paraId="596B773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850" w:hRule="exact"/>
          <w:jc w:val="center"/>
        </w:trPr>
        <w:tc>
          <w:tcPr>
            <w:tcW w:w="833" w:type="pct"/>
            <w:noWrap w:val="0"/>
            <w:vAlign w:val="center"/>
          </w:tcPr>
          <w:p w14:paraId="1654F677">
            <w:pPr>
              <w:keepNext w:val="0"/>
              <w:keepLines w:val="0"/>
              <w:suppressLineNumbers w:val="0"/>
              <w:spacing w:before="0" w:beforeAutospacing="0" w:after="0" w:afterAutospacing="0" w:line="240" w:lineRule="auto"/>
              <w:ind w:left="0" w:right="0" w:firstLine="0" w:firstLineChars="0"/>
              <w:jc w:val="center"/>
              <w:rPr>
                <w:rFonts w:hint="eastAsia"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报告审核人</w:t>
            </w:r>
          </w:p>
        </w:tc>
        <w:tc>
          <w:tcPr>
            <w:tcW w:w="516" w:type="pct"/>
            <w:shd w:val="clear" w:color="auto" w:fill="auto"/>
            <w:noWrap w:val="0"/>
            <w:vAlign w:val="center"/>
          </w:tcPr>
          <w:p w14:paraId="0A631B2C">
            <w:pPr>
              <w:keepNext w:val="0"/>
              <w:keepLines w:val="0"/>
              <w:suppressLineNumbers w:val="0"/>
              <w:spacing w:before="0" w:beforeAutospacing="0" w:after="0" w:afterAutospacing="0" w:line="240" w:lineRule="auto"/>
              <w:ind w:left="0" w:leftChars="0" w:right="0" w:rightChars="0" w:firstLine="0" w:firstLineChars="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段  萌</w:t>
            </w:r>
          </w:p>
        </w:tc>
        <w:tc>
          <w:tcPr>
            <w:tcW w:w="1539" w:type="pct"/>
            <w:shd w:val="clear" w:color="auto" w:fill="auto"/>
            <w:noWrap w:val="0"/>
            <w:vAlign w:val="center"/>
          </w:tcPr>
          <w:p w14:paraId="429FC296">
            <w:pPr>
              <w:keepNext w:val="0"/>
              <w:keepLines w:val="0"/>
              <w:suppressLineNumbers w:val="0"/>
              <w:spacing w:before="0" w:beforeAutospacing="0" w:after="0" w:afterAutospacing="0" w:line="240" w:lineRule="auto"/>
              <w:ind w:left="0" w:leftChars="0" w:right="0" w:rightChars="0" w:firstLine="0" w:firstLineChars="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S011013000110193000285</w:t>
            </w:r>
          </w:p>
        </w:tc>
        <w:tc>
          <w:tcPr>
            <w:tcW w:w="630" w:type="pct"/>
            <w:shd w:val="clear" w:color="auto" w:fill="auto"/>
            <w:noWrap w:val="0"/>
            <w:vAlign w:val="center"/>
          </w:tcPr>
          <w:p w14:paraId="7D5C5C6E">
            <w:pPr>
              <w:keepNext w:val="0"/>
              <w:keepLines w:val="0"/>
              <w:suppressLineNumbers w:val="0"/>
              <w:spacing w:before="0" w:beforeAutospacing="0" w:after="0" w:afterAutospacing="0" w:line="240" w:lineRule="auto"/>
              <w:ind w:left="0" w:leftChars="0" w:right="0" w:rightChars="0" w:firstLine="0" w:firstLineChars="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036250</w:t>
            </w:r>
          </w:p>
        </w:tc>
        <w:tc>
          <w:tcPr>
            <w:tcW w:w="766" w:type="pct"/>
            <w:shd w:val="clear" w:color="auto" w:fill="auto"/>
            <w:noWrap w:val="0"/>
            <w:vAlign w:val="center"/>
          </w:tcPr>
          <w:p w14:paraId="43754831">
            <w:pPr>
              <w:keepNext w:val="0"/>
              <w:keepLines w:val="0"/>
              <w:suppressLineNumbers w:val="0"/>
              <w:spacing w:before="0" w:beforeAutospacing="0" w:after="0" w:afterAutospacing="0" w:line="240" w:lineRule="auto"/>
              <w:ind w:left="0" w:leftChars="0" w:right="0" w:rightChars="0" w:firstLine="0" w:firstLineChars="0"/>
              <w:jc w:val="center"/>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电气</w:t>
            </w:r>
          </w:p>
        </w:tc>
        <w:tc>
          <w:tcPr>
            <w:tcW w:w="713" w:type="pct"/>
            <w:noWrap w:val="0"/>
            <w:vAlign w:val="center"/>
          </w:tcPr>
          <w:p w14:paraId="3530C341">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color w:val="auto"/>
                <w:kern w:val="2"/>
                <w:sz w:val="24"/>
                <w:szCs w:val="24"/>
                <w:highlight w:val="none"/>
                <w:lang w:val="en-US" w:eastAsia="zh-CN" w:bidi="ar-SA"/>
              </w:rPr>
            </w:pPr>
          </w:p>
        </w:tc>
      </w:tr>
      <w:tr w14:paraId="1354FAB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850" w:hRule="exact"/>
          <w:jc w:val="center"/>
        </w:trPr>
        <w:tc>
          <w:tcPr>
            <w:tcW w:w="833" w:type="pct"/>
            <w:noWrap w:val="0"/>
            <w:vAlign w:val="center"/>
          </w:tcPr>
          <w:p w14:paraId="3BAA8125">
            <w:pPr>
              <w:keepNext w:val="0"/>
              <w:keepLines w:val="0"/>
              <w:suppressLineNumbers w:val="0"/>
              <w:spacing w:before="0" w:beforeAutospacing="0" w:after="0" w:afterAutospacing="0" w:line="320" w:lineRule="exact"/>
              <w:ind w:left="0" w:right="0" w:firstLine="0" w:firstLineChars="0"/>
              <w:jc w:val="center"/>
              <w:rPr>
                <w:rFonts w:hint="eastAsia"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过程控制负责人</w:t>
            </w:r>
          </w:p>
        </w:tc>
        <w:tc>
          <w:tcPr>
            <w:tcW w:w="516" w:type="pct"/>
            <w:shd w:val="clear" w:color="auto" w:fill="auto"/>
            <w:noWrap w:val="0"/>
            <w:vAlign w:val="center"/>
          </w:tcPr>
          <w:p w14:paraId="0840F7E2">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黄香港</w:t>
            </w:r>
          </w:p>
        </w:tc>
        <w:tc>
          <w:tcPr>
            <w:tcW w:w="1539" w:type="pct"/>
            <w:shd w:val="clear" w:color="auto" w:fill="auto"/>
            <w:noWrap w:val="0"/>
            <w:vAlign w:val="center"/>
          </w:tcPr>
          <w:p w14:paraId="571317DF">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S011035000110191000617</w:t>
            </w:r>
          </w:p>
        </w:tc>
        <w:tc>
          <w:tcPr>
            <w:tcW w:w="630" w:type="pct"/>
            <w:shd w:val="clear" w:color="auto" w:fill="auto"/>
            <w:noWrap w:val="0"/>
            <w:vAlign w:val="center"/>
          </w:tcPr>
          <w:p w14:paraId="57D4E660">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024436</w:t>
            </w:r>
          </w:p>
        </w:tc>
        <w:tc>
          <w:tcPr>
            <w:tcW w:w="766" w:type="pct"/>
            <w:shd w:val="clear" w:color="auto" w:fill="auto"/>
            <w:noWrap w:val="0"/>
            <w:vAlign w:val="center"/>
          </w:tcPr>
          <w:p w14:paraId="14A7653C">
            <w:pPr>
              <w:keepNext w:val="0"/>
              <w:keepLines w:val="0"/>
              <w:suppressLineNumbers w:val="0"/>
              <w:spacing w:before="0" w:beforeAutospacing="0" w:after="0" w:afterAutospacing="0" w:line="240" w:lineRule="auto"/>
              <w:ind w:left="0" w:right="0" w:firstLine="0" w:firstLineChars="0"/>
              <w:jc w:val="center"/>
              <w:rPr>
                <w:rFonts w:hint="default" w:ascii="宋体" w:hAnsi="宋体" w:eastAsia="宋体" w:cs="宋体"/>
                <w:color w:val="auto"/>
                <w:kern w:val="2"/>
                <w:sz w:val="24"/>
                <w:szCs w:val="24"/>
                <w:highlight w:val="none"/>
                <w:lang w:val="en-US" w:eastAsia="zh-CN" w:bidi="ar-SA"/>
              </w:rPr>
            </w:pPr>
            <w:r>
              <w:rPr>
                <w:rFonts w:hint="eastAsia" w:cs="宋体"/>
                <w:color w:val="auto"/>
                <w:kern w:val="2"/>
                <w:sz w:val="24"/>
                <w:szCs w:val="24"/>
                <w:highlight w:val="none"/>
                <w:lang w:val="en-US" w:eastAsia="zh-CN" w:bidi="ar-SA"/>
              </w:rPr>
              <w:t>化学工程与工艺</w:t>
            </w:r>
          </w:p>
        </w:tc>
        <w:tc>
          <w:tcPr>
            <w:tcW w:w="713" w:type="pct"/>
            <w:noWrap w:val="0"/>
            <w:vAlign w:val="center"/>
          </w:tcPr>
          <w:p w14:paraId="2ACEDF5D">
            <w:pPr>
              <w:keepNext w:val="0"/>
              <w:keepLines w:val="0"/>
              <w:suppressLineNumbers w:val="0"/>
              <w:spacing w:before="0" w:beforeAutospacing="0" w:after="0" w:afterAutospacing="0" w:line="240" w:lineRule="auto"/>
              <w:ind w:left="0" w:right="0" w:firstLine="0" w:firstLineChars="0"/>
              <w:jc w:val="center"/>
              <w:rPr>
                <w:rFonts w:hint="eastAsia" w:ascii="Times New Roman" w:hAnsi="Times New Roman" w:eastAsia="宋体" w:cs="Times New Roman"/>
                <w:color w:val="auto"/>
                <w:sz w:val="24"/>
                <w:szCs w:val="24"/>
                <w:highlight w:val="none"/>
              </w:rPr>
            </w:pPr>
          </w:p>
        </w:tc>
      </w:tr>
      <w:tr w14:paraId="0D3DAB3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850" w:hRule="exact"/>
          <w:jc w:val="center"/>
        </w:trPr>
        <w:tc>
          <w:tcPr>
            <w:tcW w:w="833" w:type="pct"/>
            <w:noWrap w:val="0"/>
            <w:vAlign w:val="center"/>
          </w:tcPr>
          <w:p w14:paraId="4270292B">
            <w:pPr>
              <w:keepNext w:val="0"/>
              <w:keepLines w:val="0"/>
              <w:suppressLineNumbers w:val="0"/>
              <w:spacing w:before="0" w:beforeAutospacing="0" w:after="0" w:afterAutospacing="0" w:line="240" w:lineRule="auto"/>
              <w:ind w:left="0" w:right="0" w:firstLine="0" w:firstLineChars="0"/>
              <w:jc w:val="center"/>
              <w:rPr>
                <w:rFonts w:hint="eastAsia"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技术负责人</w:t>
            </w:r>
          </w:p>
        </w:tc>
        <w:tc>
          <w:tcPr>
            <w:tcW w:w="516" w:type="pct"/>
            <w:noWrap w:val="0"/>
            <w:vAlign w:val="center"/>
          </w:tcPr>
          <w:p w14:paraId="3E446C42">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管自强</w:t>
            </w:r>
          </w:p>
        </w:tc>
        <w:tc>
          <w:tcPr>
            <w:tcW w:w="1539" w:type="pct"/>
            <w:noWrap w:val="0"/>
            <w:vAlign w:val="center"/>
          </w:tcPr>
          <w:p w14:paraId="3231EEFB">
            <w:pPr>
              <w:keepNext w:val="0"/>
              <w:keepLines w:val="0"/>
              <w:suppressLineNumbers w:val="0"/>
              <w:spacing w:before="0" w:beforeAutospacing="0" w:after="0" w:afterAutospacing="0"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S011035000110191000614</w:t>
            </w:r>
          </w:p>
        </w:tc>
        <w:tc>
          <w:tcPr>
            <w:tcW w:w="630" w:type="pct"/>
            <w:noWrap w:val="0"/>
            <w:vAlign w:val="center"/>
          </w:tcPr>
          <w:p w14:paraId="30A24CE6">
            <w:pPr>
              <w:keepNext w:val="0"/>
              <w:keepLines w:val="0"/>
              <w:suppressLineNumbers w:val="0"/>
              <w:spacing w:before="0" w:beforeAutospacing="0" w:after="0" w:afterAutospacing="0" w:line="240" w:lineRule="auto"/>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020516</w:t>
            </w:r>
          </w:p>
        </w:tc>
        <w:tc>
          <w:tcPr>
            <w:tcW w:w="766" w:type="pct"/>
            <w:noWrap w:val="0"/>
            <w:vAlign w:val="center"/>
          </w:tcPr>
          <w:p w14:paraId="0D7D1DA9">
            <w:pPr>
              <w:keepNext w:val="0"/>
              <w:keepLines w:val="0"/>
              <w:suppressLineNumbers w:val="0"/>
              <w:spacing w:before="0" w:beforeAutospacing="0" w:after="0" w:afterAutospacing="0" w:line="240" w:lineRule="auto"/>
              <w:ind w:left="0" w:leftChars="0" w:right="0" w:rightChars="0" w:firstLine="0" w:firstLineChars="0"/>
              <w:jc w:val="center"/>
              <w:rPr>
                <w:rFonts w:hint="default" w:ascii="宋体" w:hAnsi="宋体" w:eastAsia="宋体" w:cs="宋体"/>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水工结构</w:t>
            </w:r>
          </w:p>
        </w:tc>
        <w:tc>
          <w:tcPr>
            <w:tcW w:w="713" w:type="pct"/>
            <w:noWrap w:val="0"/>
            <w:vAlign w:val="center"/>
          </w:tcPr>
          <w:p w14:paraId="33DA21BB">
            <w:pPr>
              <w:keepNext w:val="0"/>
              <w:keepLines w:val="0"/>
              <w:suppressLineNumbers w:val="0"/>
              <w:spacing w:before="0" w:beforeAutospacing="0" w:after="0" w:afterAutospacing="0" w:line="240" w:lineRule="auto"/>
              <w:ind w:left="0" w:right="0" w:firstLine="0" w:firstLineChars="0"/>
              <w:jc w:val="center"/>
              <w:rPr>
                <w:rFonts w:hint="eastAsia" w:ascii="Times New Roman" w:hAnsi="Times New Roman" w:eastAsia="宋体" w:cs="Times New Roman"/>
                <w:color w:val="auto"/>
                <w:sz w:val="24"/>
                <w:szCs w:val="24"/>
                <w:highlight w:val="none"/>
              </w:rPr>
            </w:pPr>
          </w:p>
        </w:tc>
      </w:tr>
    </w:tbl>
    <w:p w14:paraId="7CD32DE4">
      <w:pPr>
        <w:spacing w:after="156" w:afterLines="50" w:line="360" w:lineRule="auto"/>
        <w:ind w:left="0" w:leftChars="0" w:right="560" w:firstLine="0" w:firstLineChars="0"/>
        <w:rPr>
          <w:rFonts w:hint="eastAsia" w:ascii="黑体" w:eastAsia="黑体"/>
          <w:color w:val="auto"/>
          <w:szCs w:val="28"/>
        </w:rPr>
      </w:pPr>
    </w:p>
    <w:p w14:paraId="3B0E717A">
      <w:pPr>
        <w:spacing w:after="156" w:afterLines="50" w:line="360" w:lineRule="auto"/>
        <w:ind w:right="560" w:firstLine="5180" w:firstLineChars="1850"/>
        <w:rPr>
          <w:rFonts w:hint="eastAsia" w:ascii="黑体" w:eastAsia="黑体"/>
          <w:color w:val="auto"/>
          <w:szCs w:val="28"/>
        </w:rPr>
        <w:sectPr>
          <w:footerReference r:id="rId12" w:type="default"/>
          <w:footerReference r:id="rId13" w:type="even"/>
          <w:type w:val="oddPage"/>
          <w:pgSz w:w="11906" w:h="16838"/>
          <w:pgMar w:top="1417" w:right="1304" w:bottom="1417" w:left="1587" w:header="851" w:footer="992" w:gutter="0"/>
          <w:pgBorders>
            <w:top w:val="none" w:sz="0" w:space="0"/>
            <w:left w:val="none" w:sz="0" w:space="0"/>
            <w:bottom w:val="none" w:sz="0" w:space="0"/>
            <w:right w:val="none" w:sz="0" w:space="0"/>
          </w:pgBorders>
          <w:pgNumType w:fmt="upperRoman" w:start="1"/>
          <w:cols w:space="425" w:num="1"/>
          <w:docGrid w:type="lines" w:linePitch="312" w:charSpace="0"/>
        </w:sectPr>
      </w:pPr>
    </w:p>
    <w:p w14:paraId="1C0F7B09">
      <w:pPr>
        <w:keepNext w:val="0"/>
        <w:keepLines w:val="0"/>
        <w:pageBreakBefore w:val="0"/>
        <w:widowControl w:val="0"/>
        <w:kinsoku/>
        <w:wordWrap/>
        <w:overflowPunct/>
        <w:topLinePunct w:val="0"/>
        <w:autoSpaceDE/>
        <w:autoSpaceDN/>
        <w:bidi w:val="0"/>
        <w:adjustRightInd/>
        <w:snapToGrid/>
        <w:spacing w:after="120" w:line="240" w:lineRule="auto"/>
        <w:ind w:firstLine="0" w:firstLineChars="0"/>
        <w:jc w:val="center"/>
        <w:textAlignment w:val="auto"/>
        <w:rPr>
          <w:rFonts w:hint="eastAsia" w:ascii="宋体" w:hAnsi="宋体" w:eastAsia="宋体" w:cs="宋体"/>
          <w:b/>
          <w:bCs/>
          <w:color w:val="auto"/>
          <w:sz w:val="28"/>
          <w:szCs w:val="28"/>
          <w:highlight w:val="none"/>
          <w:lang w:eastAsia="zh-CN"/>
        </w:rPr>
      </w:pPr>
      <w:r>
        <w:rPr>
          <w:rFonts w:hint="eastAsia" w:ascii="宋体" w:hAnsi="宋体" w:eastAsia="宋体" w:cs="宋体"/>
          <w:b/>
          <w:bCs/>
          <w:color w:val="auto"/>
          <w:sz w:val="28"/>
          <w:szCs w:val="28"/>
          <w:highlight w:val="none"/>
          <w:lang w:eastAsia="zh-CN"/>
        </w:rPr>
        <w:t>凤县绿能诚睿矿业有限公司</w:t>
      </w:r>
    </w:p>
    <w:p w14:paraId="02CF8128">
      <w:pPr>
        <w:snapToGrid w:val="0"/>
        <w:spacing w:after="120" w:line="360" w:lineRule="auto"/>
        <w:jc w:val="center"/>
        <w:rPr>
          <w:rFonts w:hint="eastAsia" w:ascii="宋体" w:hAnsi="宋体" w:eastAsia="宋体"/>
          <w:b/>
          <w:color w:val="auto"/>
          <w:sz w:val="32"/>
          <w:szCs w:val="32"/>
          <w:lang w:eastAsia="zh-CN"/>
        </w:rPr>
      </w:pPr>
      <w:r>
        <w:rPr>
          <w:rFonts w:hint="eastAsia"/>
          <w:b/>
          <w:color w:val="auto"/>
          <w:sz w:val="32"/>
          <w:szCs w:val="32"/>
          <w:lang w:eastAsia="zh-CN"/>
        </w:rPr>
        <w:t>陕西省</w:t>
      </w:r>
      <w:r>
        <w:rPr>
          <w:rFonts w:hint="eastAsia"/>
          <w:b/>
          <w:color w:val="auto"/>
          <w:sz w:val="32"/>
          <w:szCs w:val="32"/>
          <w:lang w:val="en-US" w:eastAsia="zh-CN"/>
        </w:rPr>
        <w:t>凤县</w:t>
      </w:r>
      <w:r>
        <w:rPr>
          <w:rFonts w:hint="eastAsia"/>
          <w:b/>
          <w:color w:val="auto"/>
          <w:sz w:val="32"/>
          <w:szCs w:val="32"/>
          <w:lang w:eastAsia="zh-CN"/>
        </w:rPr>
        <w:t>李家庄方解石矿地</w:t>
      </w:r>
      <w:r>
        <w:rPr>
          <w:rFonts w:hint="eastAsia" w:ascii="宋体" w:hAnsi="宋体" w:eastAsia="宋体"/>
          <w:b/>
          <w:color w:val="auto"/>
          <w:sz w:val="32"/>
          <w:szCs w:val="32"/>
          <w:lang w:eastAsia="zh-CN"/>
        </w:rPr>
        <w:t>下开采建设项目</w:t>
      </w:r>
    </w:p>
    <w:p w14:paraId="71D3EA9E">
      <w:pPr>
        <w:snapToGrid w:val="0"/>
        <w:spacing w:after="120" w:line="360" w:lineRule="auto"/>
        <w:jc w:val="center"/>
        <w:rPr>
          <w:rFonts w:ascii="宋体" w:hAnsi="宋体" w:cs="宋体"/>
          <w:b/>
          <w:bCs/>
          <w:color w:val="auto"/>
          <w:kern w:val="0"/>
          <w:sz w:val="36"/>
          <w:szCs w:val="36"/>
          <w:highlight w:val="none"/>
        </w:rPr>
      </w:pPr>
      <w:r>
        <w:rPr>
          <w:rFonts w:hint="eastAsia" w:ascii="宋体" w:hAnsi="宋体" w:eastAsia="宋体" w:cs="宋体"/>
          <w:b/>
          <w:bCs/>
          <w:color w:val="auto"/>
          <w:kern w:val="0"/>
          <w:sz w:val="36"/>
          <w:szCs w:val="36"/>
          <w:highlight w:val="none"/>
        </w:rPr>
        <w:t>安全</w:t>
      </w:r>
      <w:r>
        <w:rPr>
          <w:rFonts w:hint="eastAsia" w:ascii="宋体" w:hAnsi="宋体" w:eastAsia="宋体" w:cs="宋体"/>
          <w:b/>
          <w:bCs/>
          <w:color w:val="auto"/>
          <w:kern w:val="0"/>
          <w:sz w:val="36"/>
          <w:szCs w:val="36"/>
          <w:highlight w:val="none"/>
          <w:lang w:val="en-US" w:eastAsia="zh-CN"/>
        </w:rPr>
        <w:t>预评</w:t>
      </w:r>
      <w:r>
        <w:rPr>
          <w:rFonts w:hint="eastAsia" w:ascii="宋体" w:hAnsi="宋体" w:cs="宋体"/>
          <w:b/>
          <w:bCs/>
          <w:color w:val="auto"/>
          <w:kern w:val="0"/>
          <w:sz w:val="36"/>
          <w:szCs w:val="36"/>
          <w:highlight w:val="none"/>
        </w:rPr>
        <w:t>价技术服务承诺书</w:t>
      </w:r>
    </w:p>
    <w:p w14:paraId="4E988248">
      <w:pPr>
        <w:widowControl/>
        <w:wordWrap w:val="0"/>
        <w:spacing w:line="425" w:lineRule="auto"/>
        <w:ind w:firstLine="640" w:firstLineChars="200"/>
        <w:jc w:val="left"/>
        <w:rPr>
          <w:color w:val="auto"/>
          <w:kern w:val="0"/>
          <w:sz w:val="32"/>
          <w:szCs w:val="32"/>
          <w:highlight w:val="none"/>
        </w:rPr>
      </w:pPr>
      <w:r>
        <w:rPr>
          <w:color w:val="auto"/>
          <w:kern w:val="0"/>
          <w:sz w:val="32"/>
          <w:szCs w:val="32"/>
          <w:highlight w:val="none"/>
        </w:rPr>
        <w:t>一、在本项目安全评价活动过程中，我单位严格遵守《安全生产法》及相关法律、法规和标准的要求。</w:t>
      </w:r>
    </w:p>
    <w:p w14:paraId="105304AD">
      <w:pPr>
        <w:widowControl/>
        <w:wordWrap w:val="0"/>
        <w:spacing w:line="425" w:lineRule="auto"/>
        <w:ind w:firstLine="640" w:firstLineChars="200"/>
        <w:jc w:val="left"/>
        <w:rPr>
          <w:color w:val="auto"/>
          <w:kern w:val="0"/>
          <w:sz w:val="32"/>
          <w:szCs w:val="32"/>
          <w:highlight w:val="none"/>
        </w:rPr>
      </w:pPr>
      <w:r>
        <w:rPr>
          <w:color w:val="auto"/>
          <w:kern w:val="0"/>
          <w:sz w:val="32"/>
          <w:szCs w:val="32"/>
          <w:highlight w:val="none"/>
        </w:rPr>
        <w:t>二、在本项目安全评价活动过程中，我单位作为第三方，未受到任何组织和个人的干预和影响，依法独立开展工作，保证了技术服务活动的客观公正性。</w:t>
      </w:r>
    </w:p>
    <w:p w14:paraId="05A92896">
      <w:pPr>
        <w:widowControl/>
        <w:wordWrap w:val="0"/>
        <w:spacing w:line="425" w:lineRule="auto"/>
        <w:ind w:firstLine="640" w:firstLineChars="200"/>
        <w:jc w:val="left"/>
        <w:rPr>
          <w:color w:val="auto"/>
          <w:kern w:val="0"/>
          <w:sz w:val="32"/>
          <w:szCs w:val="32"/>
          <w:highlight w:val="none"/>
        </w:rPr>
      </w:pPr>
      <w:r>
        <w:rPr>
          <w:color w:val="auto"/>
          <w:kern w:val="0"/>
          <w:sz w:val="32"/>
          <w:szCs w:val="32"/>
          <w:highlight w:val="none"/>
        </w:rPr>
        <w:t>三、我单位按照实事求是的原则，对本项目进行安全评价，确保出具的报告均真实有效，报告所提出的措施具有针对性、有效性和可行性。</w:t>
      </w:r>
    </w:p>
    <w:p w14:paraId="081EC55A">
      <w:pPr>
        <w:widowControl/>
        <w:wordWrap w:val="0"/>
        <w:spacing w:line="425" w:lineRule="auto"/>
        <w:ind w:firstLine="640" w:firstLineChars="200"/>
        <w:jc w:val="left"/>
        <w:rPr>
          <w:color w:val="auto"/>
          <w:kern w:val="0"/>
          <w:sz w:val="32"/>
          <w:szCs w:val="32"/>
          <w:highlight w:val="none"/>
        </w:rPr>
      </w:pPr>
      <w:r>
        <w:rPr>
          <w:color w:val="auto"/>
          <w:kern w:val="0"/>
          <w:sz w:val="32"/>
          <w:szCs w:val="32"/>
          <w:highlight w:val="none"/>
        </w:rPr>
        <w:t>四、我单位对本项目安全评价报告中结论性内容承担法律责任。</w:t>
      </w:r>
    </w:p>
    <w:p w14:paraId="4CAC5A91">
      <w:pPr>
        <w:widowControl/>
        <w:wordWrap w:val="0"/>
        <w:snapToGrid w:val="0"/>
        <w:spacing w:line="425" w:lineRule="auto"/>
        <w:ind w:firstLine="600" w:firstLineChars="200"/>
        <w:jc w:val="left"/>
        <w:rPr>
          <w:rFonts w:ascii="宋体" w:hAnsi="宋体" w:cs="宋体"/>
          <w:color w:val="auto"/>
          <w:kern w:val="0"/>
          <w:sz w:val="30"/>
          <w:szCs w:val="30"/>
          <w:highlight w:val="none"/>
        </w:rPr>
      </w:pPr>
    </w:p>
    <w:p w14:paraId="65112597">
      <w:pPr>
        <w:widowControl/>
        <w:jc w:val="right"/>
        <w:rPr>
          <w:rFonts w:hint="eastAsia" w:ascii="宋体" w:hAnsi="宋体" w:cs="宋体"/>
          <w:color w:val="auto"/>
          <w:kern w:val="0"/>
          <w:sz w:val="32"/>
          <w:szCs w:val="32"/>
          <w:highlight w:val="none"/>
        </w:rPr>
      </w:pPr>
      <w:r>
        <w:rPr>
          <w:rFonts w:hint="eastAsia" w:ascii="宋体" w:hAnsi="宋体" w:cs="宋体"/>
          <w:color w:val="auto"/>
          <w:kern w:val="0"/>
          <w:sz w:val="30"/>
          <w:szCs w:val="30"/>
          <w:highlight w:val="none"/>
        </w:rPr>
        <w:t xml:space="preserve">                    江西赣安安全生产科学技术咨询服务中心</w:t>
      </w:r>
    </w:p>
    <w:p w14:paraId="4A6D152F">
      <w:pPr>
        <w:pStyle w:val="18"/>
        <w:keepNext w:val="0"/>
        <w:keepLines w:val="0"/>
        <w:pageBreakBefore w:val="0"/>
        <w:widowControl w:val="0"/>
        <w:tabs>
          <w:tab w:val="right" w:leader="dot" w:pos="8302"/>
        </w:tabs>
        <w:kinsoku/>
        <w:wordWrap/>
        <w:overflowPunct/>
        <w:topLinePunct w:val="0"/>
        <w:autoSpaceDE/>
        <w:autoSpaceDN/>
        <w:bidi w:val="0"/>
        <w:adjustRightInd/>
        <w:snapToGrid/>
        <w:spacing w:before="157" w:beforeLines="50" w:after="157" w:afterLines="50" w:line="560" w:lineRule="exact"/>
        <w:ind w:firstLine="0" w:firstLineChars="0"/>
        <w:jc w:val="center"/>
        <w:textAlignment w:val="auto"/>
        <w:rPr>
          <w:rFonts w:hint="eastAsia" w:ascii="宋体" w:hAnsi="宋体" w:cs="宋体"/>
          <w:color w:val="auto"/>
          <w:kern w:val="0"/>
          <w:sz w:val="28"/>
          <w:szCs w:val="28"/>
          <w:highlight w:val="none"/>
        </w:rPr>
      </w:pPr>
      <w:r>
        <w:rPr>
          <w:rFonts w:hint="eastAsia" w:ascii="宋体" w:hAnsi="宋体" w:cs="宋体"/>
          <w:color w:val="auto"/>
          <w:kern w:val="0"/>
          <w:sz w:val="32"/>
          <w:szCs w:val="32"/>
          <w:highlight w:val="none"/>
        </w:rPr>
        <w:t xml:space="preserve">                                      </w:t>
      </w:r>
      <w:r>
        <w:rPr>
          <w:rFonts w:hint="eastAsia" w:ascii="宋体" w:hAnsi="宋体" w:cs="宋体"/>
          <w:color w:val="auto"/>
          <w:kern w:val="0"/>
          <w:sz w:val="28"/>
          <w:szCs w:val="28"/>
          <w:highlight w:val="none"/>
          <w:lang w:val="en-US" w:eastAsia="zh-CN"/>
        </w:rPr>
        <w:t xml:space="preserve">    2025</w:t>
      </w:r>
      <w:r>
        <w:rPr>
          <w:rFonts w:hint="eastAsia" w:ascii="宋体" w:hAnsi="宋体" w:cs="宋体"/>
          <w:color w:val="auto"/>
          <w:kern w:val="0"/>
          <w:sz w:val="28"/>
          <w:szCs w:val="28"/>
          <w:highlight w:val="none"/>
        </w:rPr>
        <w:t>年</w:t>
      </w:r>
      <w:r>
        <w:rPr>
          <w:rFonts w:hint="eastAsia" w:cs="宋体"/>
          <w:color w:val="auto"/>
          <w:kern w:val="0"/>
          <w:sz w:val="28"/>
          <w:szCs w:val="28"/>
          <w:highlight w:val="none"/>
          <w:lang w:val="en-US" w:eastAsia="zh-CN"/>
        </w:rPr>
        <w:t>11</w:t>
      </w:r>
      <w:r>
        <w:rPr>
          <w:rFonts w:hint="eastAsia" w:ascii="宋体" w:hAnsi="宋体" w:cs="宋体"/>
          <w:color w:val="auto"/>
          <w:kern w:val="0"/>
          <w:sz w:val="28"/>
          <w:szCs w:val="28"/>
          <w:highlight w:val="none"/>
        </w:rPr>
        <w:t>月</w:t>
      </w:r>
      <w:r>
        <w:rPr>
          <w:rFonts w:hint="eastAsia" w:cs="宋体"/>
          <w:color w:val="auto"/>
          <w:kern w:val="0"/>
          <w:sz w:val="28"/>
          <w:szCs w:val="28"/>
          <w:highlight w:val="none"/>
          <w:lang w:val="en-US" w:eastAsia="zh-CN"/>
        </w:rPr>
        <w:t>13</w:t>
      </w:r>
      <w:r>
        <w:rPr>
          <w:rFonts w:hint="eastAsia" w:ascii="宋体" w:hAnsi="宋体" w:cs="宋体"/>
          <w:color w:val="auto"/>
          <w:kern w:val="0"/>
          <w:sz w:val="28"/>
          <w:szCs w:val="28"/>
          <w:highlight w:val="none"/>
        </w:rPr>
        <w:t>日</w:t>
      </w:r>
    </w:p>
    <w:p w14:paraId="3822FFB9">
      <w:pPr>
        <w:rPr>
          <w:rFonts w:hint="eastAsia" w:ascii="宋体" w:hAnsi="宋体" w:cs="宋体"/>
          <w:color w:val="auto"/>
          <w:kern w:val="0"/>
          <w:sz w:val="28"/>
          <w:szCs w:val="28"/>
          <w:highlight w:val="none"/>
        </w:rPr>
      </w:pPr>
    </w:p>
    <w:p w14:paraId="072DBE93">
      <w:pPr>
        <w:rPr>
          <w:rFonts w:hint="eastAsia" w:ascii="宋体" w:hAnsi="宋体" w:cs="宋体"/>
          <w:color w:val="auto"/>
          <w:kern w:val="0"/>
          <w:sz w:val="28"/>
          <w:szCs w:val="28"/>
          <w:highlight w:val="none"/>
        </w:rPr>
      </w:pPr>
    </w:p>
    <w:p w14:paraId="7219BCA2">
      <w:pPr>
        <w:pStyle w:val="18"/>
        <w:keepNext w:val="0"/>
        <w:keepLines w:val="0"/>
        <w:pageBreakBefore w:val="0"/>
        <w:widowControl w:val="0"/>
        <w:tabs>
          <w:tab w:val="right" w:leader="dot" w:pos="8302"/>
        </w:tabs>
        <w:kinsoku/>
        <w:wordWrap/>
        <w:overflowPunct/>
        <w:topLinePunct w:val="0"/>
        <w:autoSpaceDE/>
        <w:autoSpaceDN/>
        <w:bidi w:val="0"/>
        <w:adjustRightInd/>
        <w:snapToGrid/>
        <w:spacing w:before="157" w:beforeLines="50" w:after="157" w:afterLines="50" w:line="560" w:lineRule="exact"/>
        <w:ind w:firstLine="0" w:firstLineChars="0"/>
        <w:jc w:val="center"/>
        <w:textAlignment w:val="auto"/>
        <w:rPr>
          <w:rFonts w:hint="eastAsia" w:ascii="黑体" w:eastAsia="黑体"/>
          <w:b w:val="0"/>
          <w:caps w:val="0"/>
          <w:color w:val="auto"/>
          <w:sz w:val="32"/>
          <w:szCs w:val="32"/>
        </w:rPr>
      </w:pPr>
    </w:p>
    <w:p w14:paraId="002BEF70">
      <w:pPr>
        <w:pStyle w:val="18"/>
        <w:keepNext w:val="0"/>
        <w:keepLines w:val="0"/>
        <w:pageBreakBefore w:val="0"/>
        <w:widowControl w:val="0"/>
        <w:tabs>
          <w:tab w:val="right" w:leader="dot" w:pos="8302"/>
        </w:tabs>
        <w:kinsoku/>
        <w:wordWrap/>
        <w:overflowPunct/>
        <w:topLinePunct w:val="0"/>
        <w:autoSpaceDE/>
        <w:autoSpaceDN/>
        <w:bidi w:val="0"/>
        <w:adjustRightInd/>
        <w:snapToGrid/>
        <w:spacing w:before="157" w:beforeLines="50" w:after="157" w:afterLines="50" w:line="560" w:lineRule="exact"/>
        <w:ind w:firstLine="0" w:firstLineChars="0"/>
        <w:jc w:val="center"/>
        <w:textAlignment w:val="auto"/>
        <w:rPr>
          <w:rFonts w:hint="eastAsia" w:ascii="黑体" w:eastAsia="黑体"/>
          <w:b w:val="0"/>
          <w:caps w:val="0"/>
          <w:color w:val="auto"/>
          <w:sz w:val="32"/>
          <w:szCs w:val="32"/>
        </w:rPr>
      </w:pPr>
    </w:p>
    <w:p w14:paraId="69D90DE6">
      <w:pPr>
        <w:rPr>
          <w:rFonts w:hint="eastAsia"/>
          <w:color w:val="auto"/>
        </w:rPr>
      </w:pPr>
    </w:p>
    <w:p w14:paraId="6EBF8941">
      <w:pPr>
        <w:pStyle w:val="18"/>
        <w:keepNext w:val="0"/>
        <w:keepLines w:val="0"/>
        <w:pageBreakBefore w:val="0"/>
        <w:widowControl w:val="0"/>
        <w:tabs>
          <w:tab w:val="right" w:leader="dot" w:pos="8302"/>
        </w:tabs>
        <w:kinsoku/>
        <w:wordWrap/>
        <w:overflowPunct/>
        <w:topLinePunct w:val="0"/>
        <w:autoSpaceDE/>
        <w:autoSpaceDN/>
        <w:bidi w:val="0"/>
        <w:adjustRightInd/>
        <w:snapToGrid/>
        <w:spacing w:before="157" w:beforeLines="50" w:after="157" w:afterLines="50" w:line="560" w:lineRule="exact"/>
        <w:ind w:firstLine="0" w:firstLineChars="0"/>
        <w:jc w:val="center"/>
        <w:textAlignment w:val="auto"/>
        <w:outlineLvl w:val="0"/>
        <w:rPr>
          <w:rFonts w:ascii="黑体" w:eastAsia="黑体"/>
          <w:b w:val="0"/>
          <w:caps w:val="0"/>
          <w:color w:val="auto"/>
          <w:sz w:val="32"/>
          <w:szCs w:val="32"/>
        </w:rPr>
      </w:pPr>
      <w:bookmarkStart w:id="8" w:name="_Toc7767"/>
      <w:r>
        <w:rPr>
          <w:rFonts w:hint="eastAsia" w:ascii="黑体" w:eastAsia="黑体"/>
          <w:b w:val="0"/>
          <w:caps w:val="0"/>
          <w:color w:val="auto"/>
          <w:sz w:val="32"/>
          <w:szCs w:val="32"/>
        </w:rPr>
        <w:t>前  言</w:t>
      </w:r>
      <w:bookmarkEnd w:id="0"/>
      <w:bookmarkEnd w:id="1"/>
      <w:bookmarkEnd w:id="2"/>
      <w:bookmarkEnd w:id="3"/>
      <w:bookmarkEnd w:id="4"/>
      <w:bookmarkEnd w:id="8"/>
    </w:p>
    <w:p w14:paraId="42D0A578">
      <w:pPr>
        <w:ind w:firstLine="560"/>
        <w:rPr>
          <w:rFonts w:hint="eastAsia" w:cs="宋体"/>
          <w:color w:val="auto"/>
          <w:szCs w:val="28"/>
          <w:lang w:eastAsia="zh-CN"/>
        </w:rPr>
      </w:pPr>
      <w:r>
        <w:rPr>
          <w:rFonts w:hint="eastAsia" w:cs="Times New Roman"/>
          <w:color w:val="auto"/>
          <w:sz w:val="28"/>
          <w:szCs w:val="28"/>
        </w:rPr>
        <w:t>凤县绿能诚睿矿业有限公司陕西省凤县李家庄方解石矿采矿权人为凤县绿能诚睿矿业有限公司</w:t>
      </w:r>
      <w:r>
        <w:rPr>
          <w:rFonts w:hint="eastAsia" w:cs="Times New Roman"/>
          <w:color w:val="auto"/>
          <w:sz w:val="28"/>
          <w:szCs w:val="28"/>
          <w:lang w:val="en-US" w:eastAsia="zh-CN"/>
        </w:rPr>
        <w:t>(以下简称</w:t>
      </w:r>
      <w:r>
        <w:rPr>
          <w:rFonts w:hint="eastAsia"/>
          <w:color w:val="auto"/>
          <w:lang w:val="en-US" w:eastAsia="zh-CN"/>
        </w:rPr>
        <w:t>诚睿矿业</w:t>
      </w:r>
      <w:r>
        <w:rPr>
          <w:rFonts w:hint="eastAsia" w:cs="Times New Roman"/>
          <w:color w:val="auto"/>
          <w:sz w:val="28"/>
          <w:szCs w:val="28"/>
          <w:lang w:val="en-US" w:eastAsia="zh-CN"/>
        </w:rPr>
        <w:t>)</w:t>
      </w:r>
      <w:r>
        <w:rPr>
          <w:rFonts w:hint="eastAsia" w:cs="Times New Roman"/>
          <w:color w:val="auto"/>
          <w:sz w:val="28"/>
          <w:szCs w:val="28"/>
          <w:lang w:eastAsia="zh-CN"/>
        </w:rPr>
        <w:t>。</w:t>
      </w:r>
      <w:r>
        <w:rPr>
          <w:rFonts w:hint="eastAsia"/>
          <w:color w:val="auto"/>
          <w:lang w:val="en-US" w:eastAsia="zh-CN"/>
        </w:rPr>
        <w:t>诚睿矿业</w:t>
      </w:r>
      <w:r>
        <w:rPr>
          <w:rFonts w:hint="eastAsia" w:cs="Times New Roman"/>
          <w:color w:val="auto"/>
          <w:sz w:val="28"/>
          <w:szCs w:val="28"/>
        </w:rPr>
        <w:t>成立于</w:t>
      </w:r>
      <w:r>
        <w:rPr>
          <w:rFonts w:hint="eastAsia" w:cs="Times New Roman"/>
          <w:color w:val="auto"/>
          <w:sz w:val="28"/>
          <w:szCs w:val="28"/>
          <w:lang w:val="en-US" w:eastAsia="zh-CN"/>
        </w:rPr>
        <w:t>2022</w:t>
      </w:r>
      <w:r>
        <w:rPr>
          <w:rFonts w:hint="eastAsia" w:cs="Times New Roman"/>
          <w:color w:val="auto"/>
          <w:sz w:val="28"/>
          <w:szCs w:val="28"/>
        </w:rPr>
        <w:t>年0</w:t>
      </w:r>
      <w:r>
        <w:rPr>
          <w:rFonts w:hint="eastAsia" w:cs="Times New Roman"/>
          <w:color w:val="auto"/>
          <w:sz w:val="28"/>
          <w:szCs w:val="28"/>
          <w:lang w:val="en-US" w:eastAsia="zh-CN"/>
        </w:rPr>
        <w:t>9</w:t>
      </w:r>
      <w:r>
        <w:rPr>
          <w:rFonts w:hint="eastAsia" w:cs="Times New Roman"/>
          <w:color w:val="auto"/>
          <w:sz w:val="28"/>
          <w:szCs w:val="28"/>
        </w:rPr>
        <w:t>月0</w:t>
      </w:r>
      <w:r>
        <w:rPr>
          <w:rFonts w:hint="eastAsia" w:cs="Times New Roman"/>
          <w:color w:val="auto"/>
          <w:sz w:val="28"/>
          <w:szCs w:val="28"/>
          <w:lang w:val="en-US" w:eastAsia="zh-CN"/>
        </w:rPr>
        <w:t>9</w:t>
      </w:r>
      <w:r>
        <w:rPr>
          <w:rFonts w:hint="eastAsia" w:cs="Times New Roman"/>
          <w:color w:val="auto"/>
          <w:sz w:val="28"/>
          <w:szCs w:val="28"/>
        </w:rPr>
        <w:t>日，统一社会信用代码</w:t>
      </w:r>
      <w:r>
        <w:rPr>
          <w:rFonts w:hint="eastAsia" w:cs="Times New Roman"/>
          <w:color w:val="auto"/>
          <w:sz w:val="28"/>
          <w:szCs w:val="28"/>
          <w:lang w:val="en-US" w:eastAsia="zh-CN"/>
        </w:rPr>
        <w:t>为</w:t>
      </w:r>
      <w:r>
        <w:rPr>
          <w:rFonts w:hint="eastAsia" w:cs="Times New Roman"/>
          <w:color w:val="auto"/>
          <w:sz w:val="28"/>
          <w:szCs w:val="28"/>
        </w:rPr>
        <w:t>91610330MAC00E4F56</w:t>
      </w:r>
      <w:r>
        <w:rPr>
          <w:rFonts w:hint="eastAsia" w:cs="Times New Roman"/>
          <w:color w:val="auto"/>
          <w:sz w:val="28"/>
          <w:szCs w:val="28"/>
          <w:lang w:eastAsia="zh-CN"/>
        </w:rPr>
        <w:t>，</w:t>
      </w:r>
      <w:r>
        <w:rPr>
          <w:rFonts w:hint="eastAsia" w:cs="Times New Roman"/>
          <w:color w:val="auto"/>
          <w:sz w:val="28"/>
          <w:szCs w:val="28"/>
        </w:rPr>
        <w:t>注册资本为伍佰万元人民币</w:t>
      </w:r>
      <w:r>
        <w:rPr>
          <w:rFonts w:hint="eastAsia" w:cs="Times New Roman"/>
          <w:color w:val="auto"/>
          <w:sz w:val="28"/>
          <w:szCs w:val="28"/>
          <w:lang w:eastAsia="zh-CN"/>
        </w:rPr>
        <w:t>，</w:t>
      </w:r>
      <w:r>
        <w:rPr>
          <w:rFonts w:hint="eastAsia" w:cs="Times New Roman"/>
          <w:color w:val="auto"/>
          <w:sz w:val="28"/>
          <w:szCs w:val="28"/>
          <w:lang w:val="en-US" w:eastAsia="zh-CN"/>
        </w:rPr>
        <w:t>类型为有限责任公司，住所为</w:t>
      </w:r>
      <w:r>
        <w:rPr>
          <w:rFonts w:hint="eastAsia" w:cs="Times New Roman"/>
          <w:color w:val="auto"/>
          <w:sz w:val="28"/>
          <w:szCs w:val="28"/>
        </w:rPr>
        <w:t>陕西省宝鸡市凤县双石铺镇迎宾路1号观景台二楼</w:t>
      </w:r>
      <w:r>
        <w:rPr>
          <w:rFonts w:hint="eastAsia" w:cs="Times New Roman"/>
          <w:color w:val="auto"/>
          <w:sz w:val="28"/>
          <w:szCs w:val="28"/>
          <w:lang w:eastAsia="zh-CN"/>
        </w:rPr>
        <w:t>，</w:t>
      </w:r>
      <w:r>
        <w:rPr>
          <w:rFonts w:hint="eastAsia" w:cs="Times New Roman"/>
          <w:color w:val="auto"/>
          <w:sz w:val="28"/>
          <w:szCs w:val="28"/>
          <w:lang w:val="en-US" w:eastAsia="zh-CN"/>
        </w:rPr>
        <w:t>经营范围为：一般项目：矿物洗选加工；非金属废料和碎屑加工处理；石灰和石膏制造；建筑用石加工；非金属矿物制品制造。许可项目：非煤矿山矿产资源开采</w:t>
      </w:r>
      <w:r>
        <w:rPr>
          <w:rFonts w:hint="eastAsia" w:cs="Times New Roman"/>
          <w:color w:val="auto"/>
          <w:sz w:val="28"/>
          <w:szCs w:val="28"/>
        </w:rPr>
        <w:t>。</w:t>
      </w:r>
    </w:p>
    <w:p w14:paraId="59CEE922">
      <w:pPr>
        <w:ind w:firstLine="560"/>
        <w:rPr>
          <w:rFonts w:hint="eastAsia"/>
          <w:color w:val="auto"/>
        </w:rPr>
      </w:pPr>
      <w:r>
        <w:rPr>
          <w:rFonts w:hint="eastAsia" w:cs="宋体"/>
          <w:color w:val="auto"/>
          <w:szCs w:val="28"/>
          <w:lang w:eastAsia="zh-CN"/>
        </w:rPr>
        <w:t>凤县绿能诚睿矿业有限公司</w:t>
      </w:r>
      <w:r>
        <w:rPr>
          <w:rFonts w:hint="eastAsia"/>
          <w:color w:val="auto"/>
          <w:lang w:eastAsia="zh-CN"/>
        </w:rPr>
        <w:t>陕西省李家庄方解石矿地下开采建设项目</w:t>
      </w:r>
      <w:r>
        <w:rPr>
          <w:color w:val="auto"/>
          <w:szCs w:val="28"/>
        </w:rPr>
        <w:t>位于</w:t>
      </w:r>
      <w:r>
        <w:rPr>
          <w:rFonts w:hint="eastAsia"/>
          <w:color w:val="auto"/>
          <w:szCs w:val="28"/>
        </w:rPr>
        <w:t>陕西省宝鸡市凤县21°方位23</w:t>
      </w:r>
      <w:r>
        <w:rPr>
          <w:rFonts w:hint="eastAsia"/>
          <w:color w:val="auto"/>
          <w:szCs w:val="28"/>
          <w:lang w:val="en-US" w:eastAsia="zh-CN"/>
        </w:rPr>
        <w:t>km</w:t>
      </w:r>
      <w:r>
        <w:rPr>
          <w:rFonts w:hint="eastAsia"/>
          <w:color w:val="auto"/>
          <w:szCs w:val="28"/>
        </w:rPr>
        <w:t>处</w:t>
      </w:r>
      <w:r>
        <w:rPr>
          <w:rFonts w:hint="eastAsia"/>
          <w:color w:val="auto"/>
          <w:szCs w:val="28"/>
          <w:lang w:eastAsia="zh-CN"/>
        </w:rPr>
        <w:t>，</w:t>
      </w:r>
      <w:r>
        <w:rPr>
          <w:rFonts w:hint="eastAsia"/>
          <w:color w:val="auto"/>
          <w:szCs w:val="28"/>
        </w:rPr>
        <w:t>行政区划隶属唐藏镇管辖。矿区内有双-唐-红公路穿过</w:t>
      </w:r>
      <w:r>
        <w:rPr>
          <w:rFonts w:hint="eastAsia"/>
          <w:color w:val="auto"/>
          <w:szCs w:val="28"/>
          <w:lang w:eastAsia="zh-CN"/>
        </w:rPr>
        <w:t>，</w:t>
      </w:r>
      <w:r>
        <w:rPr>
          <w:rFonts w:hint="eastAsia"/>
          <w:color w:val="auto"/>
          <w:szCs w:val="28"/>
        </w:rPr>
        <w:t>南与G342日凤线相接</w:t>
      </w:r>
      <w:r>
        <w:rPr>
          <w:rFonts w:hint="eastAsia"/>
          <w:color w:val="auto"/>
          <w:szCs w:val="28"/>
          <w:lang w:eastAsia="zh-CN"/>
        </w:rPr>
        <w:t>，</w:t>
      </w:r>
      <w:r>
        <w:rPr>
          <w:rFonts w:hint="eastAsia"/>
          <w:color w:val="auto"/>
          <w:szCs w:val="28"/>
        </w:rPr>
        <w:t>北与G310连工线相接，南至凤县(双石铺镇)20余公里，通村水泥路实现全覆盖</w:t>
      </w:r>
      <w:r>
        <w:rPr>
          <w:rFonts w:hint="eastAsia"/>
          <w:color w:val="auto"/>
          <w:szCs w:val="28"/>
          <w:lang w:eastAsia="zh-CN"/>
        </w:rPr>
        <w:t>，</w:t>
      </w:r>
      <w:r>
        <w:rPr>
          <w:rFonts w:hint="eastAsia"/>
          <w:color w:val="auto"/>
          <w:szCs w:val="28"/>
        </w:rPr>
        <w:t>交通</w:t>
      </w:r>
      <w:r>
        <w:rPr>
          <w:rFonts w:hint="eastAsia"/>
          <w:color w:val="auto"/>
          <w:szCs w:val="28"/>
          <w:lang w:val="en-US" w:eastAsia="zh-CN"/>
        </w:rPr>
        <w:t>极</w:t>
      </w:r>
      <w:r>
        <w:rPr>
          <w:rFonts w:hint="eastAsia"/>
          <w:color w:val="auto"/>
          <w:szCs w:val="28"/>
        </w:rPr>
        <w:t>为便利。</w:t>
      </w:r>
    </w:p>
    <w:p w14:paraId="0E38C1E3">
      <w:pPr>
        <w:ind w:firstLine="560"/>
        <w:rPr>
          <w:rFonts w:hint="eastAsia"/>
          <w:color w:val="auto"/>
          <w:lang w:val="en-US" w:eastAsia="zh-CN"/>
        </w:rPr>
      </w:pPr>
      <w:r>
        <w:rPr>
          <w:rFonts w:hint="eastAsia" w:cs="宋体"/>
          <w:color w:val="auto"/>
          <w:szCs w:val="28"/>
          <w:lang w:eastAsia="zh-CN"/>
        </w:rPr>
        <w:t>凤县绿能诚睿矿业有限公司陕西省李家庄方解石矿地下开采建设项目</w:t>
      </w:r>
      <w:r>
        <w:rPr>
          <w:rFonts w:hint="eastAsia"/>
          <w:color w:val="auto"/>
          <w:lang w:val="en-US" w:eastAsia="zh-CN"/>
        </w:rPr>
        <w:t>为新建项目。2023年8月，诚睿矿业委托宝鸡西北有色七一七总队有限公司进行了方解石资源勘查、资源量估算，并提交了《陕西省凤县李家庄方解石矿详查地质报告》。此次勘查共探获了方解石矿552.93万吨。随后诚睿矿业委托宝鸡西北有色七一七总队有限公司于2023年9月编制提交了《陕西省凤县李家庄方解石矿矿产资源开发利用方案》。</w:t>
      </w:r>
    </w:p>
    <w:p w14:paraId="4BC27CE2">
      <w:pPr>
        <w:ind w:firstLine="560"/>
        <w:rPr>
          <w:rFonts w:hint="eastAsia"/>
          <w:color w:val="auto"/>
          <w:lang w:val="en-US" w:eastAsia="zh-CN"/>
        </w:rPr>
      </w:pPr>
      <w:r>
        <w:rPr>
          <w:rFonts w:hint="eastAsia"/>
          <w:color w:val="auto"/>
          <w:lang w:val="en-US" w:eastAsia="zh-CN"/>
        </w:rPr>
        <w:t>诚睿矿业于2024年11月25日取得了宝鸡市自然资源和规划局颁发的《采矿许可证》，证号为C6103002024116110157671，</w:t>
      </w:r>
      <w:r>
        <w:rPr>
          <w:rFonts w:hint="eastAsia"/>
          <w:color w:val="auto"/>
        </w:rPr>
        <w:t>采矿权人</w:t>
      </w:r>
      <w:r>
        <w:rPr>
          <w:rFonts w:hint="eastAsia"/>
          <w:color w:val="auto"/>
          <w:lang w:val="en-US" w:eastAsia="zh-CN"/>
        </w:rPr>
        <w:t>为</w:t>
      </w:r>
      <w:r>
        <w:rPr>
          <w:rFonts w:hint="eastAsia" w:cs="宋体"/>
          <w:color w:val="auto"/>
          <w:szCs w:val="28"/>
          <w:lang w:eastAsia="zh-CN"/>
        </w:rPr>
        <w:t>凤县绿能诚睿矿业有限公司，</w:t>
      </w:r>
      <w:r>
        <w:rPr>
          <w:rFonts w:hint="eastAsia"/>
          <w:color w:val="auto"/>
        </w:rPr>
        <w:t>开采矿种</w:t>
      </w:r>
      <w:r>
        <w:rPr>
          <w:rFonts w:hint="eastAsia"/>
          <w:color w:val="auto"/>
          <w:lang w:val="en-US" w:eastAsia="zh-CN"/>
        </w:rPr>
        <w:t>为方解石</w:t>
      </w:r>
      <w:r>
        <w:rPr>
          <w:rFonts w:hint="eastAsia"/>
          <w:color w:val="auto"/>
          <w:lang w:eastAsia="zh-CN"/>
        </w:rPr>
        <w:t>，</w:t>
      </w:r>
      <w:r>
        <w:rPr>
          <w:rFonts w:hint="eastAsia"/>
          <w:color w:val="auto"/>
        </w:rPr>
        <w:t>开采方式</w:t>
      </w:r>
      <w:r>
        <w:rPr>
          <w:rFonts w:hint="eastAsia"/>
          <w:color w:val="auto"/>
          <w:lang w:val="en-US" w:eastAsia="zh-CN"/>
        </w:rPr>
        <w:t>为</w:t>
      </w:r>
      <w:r>
        <w:rPr>
          <w:rFonts w:hint="eastAsia"/>
          <w:color w:val="auto"/>
        </w:rPr>
        <w:t>地下开采</w:t>
      </w:r>
      <w:r>
        <w:rPr>
          <w:rFonts w:hint="eastAsia"/>
          <w:color w:val="auto"/>
          <w:lang w:eastAsia="zh-CN"/>
        </w:rPr>
        <w:t>，</w:t>
      </w:r>
      <w:r>
        <w:rPr>
          <w:rFonts w:hint="eastAsia"/>
          <w:color w:val="auto"/>
        </w:rPr>
        <w:t>生产规模</w:t>
      </w:r>
      <w:r>
        <w:rPr>
          <w:rFonts w:hint="eastAsia"/>
          <w:color w:val="auto"/>
          <w:lang w:val="en-US" w:eastAsia="zh-CN"/>
        </w:rPr>
        <w:t>为20.00万吨/年</w:t>
      </w:r>
      <w:r>
        <w:rPr>
          <w:rFonts w:hint="eastAsia"/>
          <w:color w:val="auto"/>
          <w:lang w:eastAsia="zh-CN"/>
        </w:rPr>
        <w:t>，</w:t>
      </w:r>
      <w:r>
        <w:rPr>
          <w:rFonts w:hint="eastAsia"/>
          <w:color w:val="auto"/>
          <w:lang w:val="en-US" w:eastAsia="zh-CN"/>
        </w:rPr>
        <w:t>矿区面积为0.34km</w:t>
      </w:r>
      <w:r>
        <w:rPr>
          <w:rFonts w:hint="eastAsia"/>
          <w:color w:val="auto"/>
          <w:vertAlign w:val="superscript"/>
          <w:lang w:val="en-US" w:eastAsia="zh-CN"/>
        </w:rPr>
        <w:t>2</w:t>
      </w:r>
      <w:r>
        <w:rPr>
          <w:rFonts w:hint="eastAsia"/>
          <w:color w:val="auto"/>
          <w:lang w:val="en-US" w:eastAsia="zh-CN"/>
        </w:rPr>
        <w:t>，有效期限：2024年11月25日至2029年11月25日，开采深度：由1325米至1230米标高</w:t>
      </w:r>
      <w:r>
        <w:rPr>
          <w:rFonts w:hint="eastAsia"/>
          <w:color w:val="auto"/>
        </w:rPr>
        <w:t>。</w:t>
      </w:r>
    </w:p>
    <w:p w14:paraId="006E811A">
      <w:pPr>
        <w:ind w:firstLine="560"/>
        <w:rPr>
          <w:rFonts w:hint="eastAsia" w:eastAsia="宋体"/>
          <w:color w:val="auto"/>
          <w:lang w:eastAsia="zh-CN"/>
        </w:rPr>
      </w:pPr>
      <w:r>
        <w:rPr>
          <w:rFonts w:hint="eastAsia"/>
          <w:color w:val="auto"/>
          <w:lang w:val="en-US" w:eastAsia="zh-CN"/>
        </w:rPr>
        <w:t>2025年5月，诚睿矿业委托中国有色金属工业西安勘察设计研究院有限公司编制完成了《凤县绿能诚睿矿业有限公司陕西省李家庄方解石矿地下开采建设项目可行性研究》(以下简称《可研报告》)。《可研报告》拟</w:t>
      </w:r>
      <w:r>
        <w:rPr>
          <w:rFonts w:hint="eastAsia"/>
          <w:color w:val="auto"/>
        </w:rPr>
        <w:t>采用</w:t>
      </w:r>
      <w:r>
        <w:rPr>
          <w:rFonts w:hint="eastAsia"/>
          <w:color w:val="auto"/>
          <w:lang w:eastAsia="zh-CN"/>
        </w:rPr>
        <w:t>平硐</w:t>
      </w:r>
      <w:r>
        <w:rPr>
          <w:rFonts w:hint="eastAsia"/>
          <w:color w:val="auto"/>
        </w:rPr>
        <w:t>+</w:t>
      </w:r>
      <w:r>
        <w:rPr>
          <w:rFonts w:hint="eastAsia"/>
          <w:color w:val="auto"/>
          <w:lang w:val="en-US" w:eastAsia="zh-CN"/>
        </w:rPr>
        <w:t>斜坡道</w:t>
      </w:r>
      <w:r>
        <w:rPr>
          <w:rFonts w:hint="eastAsia"/>
          <w:color w:val="auto"/>
        </w:rPr>
        <w:t>开拓</w:t>
      </w:r>
      <w:r>
        <w:rPr>
          <w:rFonts w:hint="eastAsia"/>
          <w:color w:val="auto"/>
          <w:lang w:eastAsia="zh-CN"/>
        </w:rPr>
        <w:t>方式</w:t>
      </w:r>
      <w:r>
        <w:rPr>
          <w:rFonts w:hint="eastAsia"/>
          <w:color w:val="auto"/>
        </w:rPr>
        <w:t>，</w:t>
      </w:r>
      <w:r>
        <w:rPr>
          <w:rFonts w:hint="eastAsia" w:ascii="宋体" w:hAnsi="宋体" w:eastAsia="宋体" w:cs="宋体"/>
          <w:color w:val="auto"/>
          <w:sz w:val="28"/>
          <w:szCs w:val="28"/>
          <w:lang w:val="zh-CN"/>
        </w:rPr>
        <w:t>采矿方法为</w:t>
      </w:r>
      <w:r>
        <w:rPr>
          <w:rFonts w:hint="eastAsia"/>
          <w:color w:val="auto"/>
          <w:szCs w:val="28"/>
        </w:rPr>
        <w:t>中深孔房柱法</w:t>
      </w:r>
      <w:r>
        <w:rPr>
          <w:rFonts w:hint="eastAsia" w:cs="宋体"/>
          <w:color w:val="auto"/>
          <w:sz w:val="28"/>
          <w:szCs w:val="28"/>
          <w:lang w:val="zh-CN"/>
        </w:rPr>
        <w:t>，</w:t>
      </w:r>
      <w:r>
        <w:rPr>
          <w:rFonts w:hint="eastAsia"/>
          <w:color w:val="auto"/>
        </w:rPr>
        <w:t>采用</w:t>
      </w:r>
      <w:r>
        <w:rPr>
          <w:rFonts w:hint="eastAsia"/>
          <w:color w:val="auto"/>
          <w:szCs w:val="28"/>
        </w:rPr>
        <w:t>单翼对角抽出式通风系统</w:t>
      </w:r>
      <w:r>
        <w:rPr>
          <w:rFonts w:hint="eastAsia" w:ascii="宋体" w:hAnsi="宋体" w:eastAsia="宋体" w:cs="宋体"/>
          <w:color w:val="auto"/>
          <w:sz w:val="28"/>
          <w:szCs w:val="28"/>
        </w:rPr>
        <w:t>，</w:t>
      </w:r>
      <w:r>
        <w:rPr>
          <w:rFonts w:hint="eastAsia" w:cs="宋体"/>
          <w:color w:val="auto"/>
          <w:sz w:val="28"/>
          <w:szCs w:val="28"/>
          <w:lang w:val="en-US" w:eastAsia="zh-CN"/>
        </w:rPr>
        <w:t>1230m主平硐</w:t>
      </w:r>
      <w:r>
        <w:rPr>
          <w:rFonts w:hint="eastAsia" w:ascii="宋体" w:hAnsi="宋体" w:eastAsia="宋体" w:cs="宋体"/>
          <w:color w:val="auto"/>
          <w:sz w:val="28"/>
          <w:szCs w:val="28"/>
        </w:rPr>
        <w:t>进风，</w:t>
      </w:r>
      <w:r>
        <w:rPr>
          <w:rFonts w:hint="eastAsia" w:cs="宋体"/>
          <w:color w:val="auto"/>
          <w:sz w:val="28"/>
          <w:szCs w:val="28"/>
          <w:lang w:val="en-US" w:eastAsia="zh-CN"/>
        </w:rPr>
        <w:t>1305m回风平硐</w:t>
      </w:r>
      <w:r>
        <w:rPr>
          <w:rFonts w:hint="eastAsia" w:ascii="宋体" w:hAnsi="宋体" w:eastAsia="宋体" w:cs="宋体"/>
          <w:color w:val="auto"/>
          <w:sz w:val="28"/>
          <w:szCs w:val="28"/>
        </w:rPr>
        <w:t>回风</w:t>
      </w:r>
      <w:r>
        <w:rPr>
          <w:rFonts w:hint="eastAsia" w:cs="宋体"/>
          <w:color w:val="auto"/>
          <w:sz w:val="28"/>
          <w:szCs w:val="28"/>
          <w:lang w:eastAsia="zh-CN"/>
        </w:rPr>
        <w:t>，建设规模为20万吨/年，服务年限为13年。</w:t>
      </w:r>
    </w:p>
    <w:p w14:paraId="3B7D2534">
      <w:pPr>
        <w:ind w:firstLine="560"/>
        <w:rPr>
          <w:rFonts w:hint="eastAsia" w:ascii="宋体" w:hAnsi="宋体" w:eastAsia="宋体"/>
          <w:color w:val="auto"/>
          <w:lang w:val="en-US" w:eastAsia="zh-CN"/>
        </w:rPr>
      </w:pPr>
      <w:r>
        <w:rPr>
          <w:rFonts w:hint="eastAsia" w:ascii="宋体" w:hAnsi="宋体" w:eastAsia="宋体"/>
          <w:color w:val="auto"/>
          <w:lang w:val="en-US" w:eastAsia="zh-CN"/>
        </w:rPr>
        <w:t>根据《中华人民共和国安全生产法》(中华人民共和国主席令</w:t>
      </w:r>
      <w:r>
        <w:rPr>
          <w:rFonts w:hint="eastAsia" w:ascii="宋体" w:hAnsi="宋体" w:eastAsia="宋体" w:cs="宋体"/>
          <w:color w:val="auto"/>
          <w:lang w:val="en-US" w:eastAsia="zh-CN"/>
        </w:rPr>
        <w:t>〔</w:t>
      </w:r>
      <w:r>
        <w:rPr>
          <w:rFonts w:hint="eastAsia" w:ascii="宋体" w:hAnsi="宋体" w:eastAsia="宋体"/>
          <w:color w:val="auto"/>
          <w:lang w:val="en-US" w:eastAsia="zh-CN"/>
        </w:rPr>
        <w:t>2021</w:t>
      </w:r>
      <w:r>
        <w:rPr>
          <w:rFonts w:hint="eastAsia" w:ascii="宋体" w:hAnsi="宋体" w:eastAsia="宋体" w:cs="宋体"/>
          <w:color w:val="auto"/>
          <w:lang w:val="en-US" w:eastAsia="zh-CN"/>
        </w:rPr>
        <w:t>〕</w:t>
      </w:r>
      <w:r>
        <w:rPr>
          <w:rFonts w:hint="eastAsia" w:ascii="宋体" w:hAnsi="宋体" w:eastAsia="宋体"/>
          <w:color w:val="auto"/>
          <w:lang w:val="en-US" w:eastAsia="zh-CN"/>
        </w:rPr>
        <w:t>第88号)、《建设项目安全设施“三同时”监督管理办法》(国家安监总局令第36号，国家安监总局令第77号修改)规定，为了贯彻执行“安全第一、预防为主、综合治理”的安全工作方针，按照安全设施“三同时”要求做好安全生产工作，规范安全行为，防止和减少安全生产事故发生，确保生产正常运行，受</w:t>
      </w:r>
      <w:r>
        <w:rPr>
          <w:rFonts w:hint="eastAsia" w:cs="宋体"/>
          <w:color w:val="auto"/>
          <w:szCs w:val="28"/>
          <w:lang w:eastAsia="zh-CN"/>
        </w:rPr>
        <w:t>凤县绿能诚睿矿业有限公司</w:t>
      </w:r>
      <w:r>
        <w:rPr>
          <w:rFonts w:hint="eastAsia" w:ascii="宋体" w:hAnsi="宋体" w:eastAsia="宋体"/>
          <w:color w:val="auto"/>
          <w:lang w:val="en-US" w:eastAsia="zh-CN"/>
        </w:rPr>
        <w:t>委托，</w:t>
      </w:r>
      <w:r>
        <w:rPr>
          <w:rFonts w:hint="eastAsia" w:ascii="宋体" w:hAnsi="宋体" w:eastAsia="宋体" w:cs="宋体"/>
          <w:color w:val="auto"/>
          <w:sz w:val="28"/>
          <w:szCs w:val="28"/>
          <w:highlight w:val="none"/>
        </w:rPr>
        <w:t>江西赣安安全生产科学技术咨询服务中心</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rPr>
        <w:t>以下简称</w:t>
      </w:r>
      <w:r>
        <w:rPr>
          <w:rFonts w:hint="eastAsia" w:cs="宋体"/>
          <w:color w:val="auto"/>
          <w:sz w:val="28"/>
          <w:szCs w:val="28"/>
          <w:highlight w:val="none"/>
          <w:lang w:val="en-US" w:eastAsia="zh-CN"/>
        </w:rPr>
        <w:t>赣安中心</w:t>
      </w:r>
      <w:r>
        <w:rPr>
          <w:rFonts w:hint="eastAsia" w:ascii="宋体" w:hAnsi="宋体" w:eastAsia="宋体" w:cs="宋体"/>
          <w:color w:val="auto"/>
          <w:sz w:val="28"/>
          <w:szCs w:val="28"/>
          <w:highlight w:val="none"/>
        </w:rPr>
        <w:t>)</w:t>
      </w:r>
      <w:r>
        <w:rPr>
          <w:rFonts w:hint="eastAsia" w:ascii="宋体" w:hAnsi="宋体" w:eastAsia="宋体"/>
          <w:color w:val="auto"/>
          <w:lang w:val="en-US" w:eastAsia="zh-CN"/>
        </w:rPr>
        <w:t>承担</w:t>
      </w:r>
      <w:r>
        <w:rPr>
          <w:rFonts w:hint="eastAsia"/>
          <w:color w:val="auto"/>
          <w:lang w:val="en-US" w:eastAsia="zh-CN"/>
        </w:rPr>
        <w:t>凤县绿能诚睿矿业有限公司陕西省李家庄方解石矿地下开采建设项目安全预评价</w:t>
      </w:r>
      <w:r>
        <w:rPr>
          <w:rFonts w:hint="eastAsia" w:ascii="宋体" w:hAnsi="宋体" w:eastAsia="宋体"/>
          <w:color w:val="auto"/>
          <w:lang w:val="en-US" w:eastAsia="zh-CN"/>
        </w:rPr>
        <w:t>工作。</w:t>
      </w:r>
    </w:p>
    <w:p w14:paraId="1F955920">
      <w:pPr>
        <w:ind w:firstLine="560"/>
        <w:rPr>
          <w:rFonts w:hint="eastAsia" w:ascii="宋体" w:hAnsi="宋体" w:eastAsia="宋体"/>
          <w:color w:val="auto"/>
          <w:lang w:val="en-US" w:eastAsia="zh-CN"/>
        </w:rPr>
      </w:pPr>
      <w:r>
        <w:rPr>
          <w:rFonts w:hint="eastAsia" w:ascii="宋体" w:hAnsi="宋体" w:eastAsia="宋体"/>
          <w:color w:val="auto"/>
          <w:lang w:val="en-US" w:eastAsia="zh-CN"/>
        </w:rPr>
        <w:t>接受委托后，</w:t>
      </w:r>
      <w:r>
        <w:rPr>
          <w:rFonts w:hint="eastAsia"/>
          <w:color w:val="auto"/>
          <w:lang w:val="en-US" w:eastAsia="zh-CN"/>
        </w:rPr>
        <w:t>赣安中心</w:t>
      </w:r>
      <w:r>
        <w:rPr>
          <w:rFonts w:hint="eastAsia" w:ascii="宋体" w:hAnsi="宋体" w:eastAsia="宋体"/>
          <w:color w:val="auto"/>
          <w:lang w:val="en-US" w:eastAsia="zh-CN"/>
        </w:rPr>
        <w:t>成立了评价项目组，以“科学、公正、合法、自主”为原则，以国家及安全评价的有关方针政策为依据，对该项目进行安全预评价。</w:t>
      </w:r>
    </w:p>
    <w:p w14:paraId="277A0496">
      <w:pPr>
        <w:ind w:firstLine="560"/>
        <w:rPr>
          <w:rFonts w:hint="eastAsia" w:ascii="宋体" w:hAnsi="宋体" w:eastAsia="宋体"/>
          <w:color w:val="auto"/>
          <w:lang w:val="en-US" w:eastAsia="zh-CN"/>
        </w:rPr>
      </w:pPr>
      <w:r>
        <w:rPr>
          <w:rFonts w:hint="eastAsia" w:ascii="宋体" w:hAnsi="宋体" w:eastAsia="宋体"/>
          <w:color w:val="auto"/>
          <w:lang w:val="en-US" w:eastAsia="zh-CN"/>
        </w:rPr>
        <w:t>评价过程中，</w:t>
      </w:r>
      <w:r>
        <w:rPr>
          <w:rFonts w:hint="eastAsia"/>
          <w:color w:val="auto"/>
          <w:lang w:val="en-US" w:eastAsia="zh-CN"/>
        </w:rPr>
        <w:t>赣安中心</w:t>
      </w:r>
      <w:r>
        <w:rPr>
          <w:rFonts w:hint="eastAsia" w:ascii="宋体" w:hAnsi="宋体" w:eastAsia="宋体"/>
          <w:color w:val="auto"/>
          <w:lang w:val="en-US" w:eastAsia="zh-CN"/>
        </w:rPr>
        <w:t>组织有关技术人员，对矿山的矿产资源开发利用、</w:t>
      </w:r>
      <w:r>
        <w:rPr>
          <w:rFonts w:hint="eastAsia"/>
          <w:color w:val="auto"/>
          <w:lang w:val="en-US" w:eastAsia="zh-CN"/>
        </w:rPr>
        <w:t>可行性研究、</w:t>
      </w:r>
      <w:r>
        <w:rPr>
          <w:rFonts w:hint="eastAsia" w:ascii="宋体" w:hAnsi="宋体" w:eastAsia="宋体"/>
          <w:color w:val="auto"/>
          <w:lang w:val="en-US" w:eastAsia="zh-CN"/>
        </w:rPr>
        <w:t>储量报告及其它有关技术资料进行了搜集与分析，结合对现场的实地调查，依据国家有关的法律、法规、规章和技术标准</w:t>
      </w:r>
      <w:r>
        <w:rPr>
          <w:rFonts w:hint="eastAsia"/>
          <w:color w:val="auto"/>
          <w:lang w:val="en-US" w:eastAsia="zh-CN"/>
        </w:rPr>
        <w:t>及规范性文件</w:t>
      </w:r>
      <w:r>
        <w:rPr>
          <w:rFonts w:hint="eastAsia" w:ascii="宋体" w:hAnsi="宋体" w:eastAsia="宋体"/>
          <w:color w:val="auto"/>
          <w:lang w:val="en-US" w:eastAsia="zh-CN"/>
        </w:rPr>
        <w:t>的要求编写了本报告。</w:t>
      </w:r>
    </w:p>
    <w:p w14:paraId="27F2F77B">
      <w:pPr>
        <w:ind w:firstLine="560"/>
        <w:rPr>
          <w:rFonts w:hint="eastAsia" w:ascii="宋体" w:hAnsi="宋体" w:eastAsia="宋体"/>
          <w:color w:val="auto"/>
          <w:lang w:val="en-US" w:eastAsia="zh-CN"/>
        </w:rPr>
      </w:pPr>
      <w:r>
        <w:rPr>
          <w:rFonts w:hint="eastAsia" w:ascii="宋体" w:hAnsi="宋体" w:eastAsia="宋体"/>
          <w:color w:val="auto"/>
          <w:lang w:val="en-US" w:eastAsia="zh-CN"/>
        </w:rPr>
        <w:t>在本报告编写过程中得到了</w:t>
      </w:r>
      <w:r>
        <w:rPr>
          <w:rFonts w:hint="eastAsia"/>
          <w:color w:val="auto"/>
          <w:lang w:val="en-US" w:eastAsia="zh-CN"/>
        </w:rPr>
        <w:t>凤县绿能诚睿矿业有限公司</w:t>
      </w:r>
      <w:r>
        <w:rPr>
          <w:rFonts w:hint="eastAsia" w:ascii="宋体" w:hAnsi="宋体" w:eastAsia="宋体"/>
          <w:color w:val="auto"/>
          <w:lang w:val="en-US" w:eastAsia="zh-CN"/>
        </w:rPr>
        <w:t>领导及技术人员的积极配合，对此表示衷心的感谢。</w:t>
      </w:r>
    </w:p>
    <w:p w14:paraId="2D1DB236">
      <w:pPr>
        <w:ind w:firstLine="560"/>
        <w:rPr>
          <w:rFonts w:hint="eastAsia" w:ascii="宋体" w:hAnsi="宋体" w:eastAsia="宋体"/>
          <w:color w:val="auto"/>
          <w:lang w:val="en-US" w:eastAsia="zh-CN"/>
        </w:rPr>
        <w:sectPr>
          <w:pgSz w:w="11906" w:h="16838"/>
          <w:pgMar w:top="1417" w:right="1304" w:bottom="1417" w:left="1587" w:header="851" w:footer="992" w:gutter="0"/>
          <w:pgBorders>
            <w:top w:val="none" w:sz="0" w:space="0"/>
            <w:left w:val="none" w:sz="0" w:space="0"/>
            <w:bottom w:val="none" w:sz="0" w:space="0"/>
            <w:right w:val="none" w:sz="0" w:space="0"/>
          </w:pgBorders>
          <w:pgNumType w:fmt="upperRoman" w:start="1"/>
          <w:cols w:space="425" w:num="1"/>
          <w:docGrid w:type="lines" w:linePitch="312" w:charSpace="0"/>
        </w:sectPr>
      </w:pPr>
    </w:p>
    <w:p w14:paraId="7C147424">
      <w:pPr>
        <w:pStyle w:val="18"/>
        <w:keepNext w:val="0"/>
        <w:keepLines w:val="0"/>
        <w:pageBreakBefore w:val="0"/>
        <w:widowControl w:val="0"/>
        <w:tabs>
          <w:tab w:val="right" w:leader="dot" w:pos="9060"/>
        </w:tabs>
        <w:kinsoku/>
        <w:wordWrap/>
        <w:overflowPunct/>
        <w:topLinePunct w:val="0"/>
        <w:autoSpaceDE/>
        <w:autoSpaceDN/>
        <w:bidi w:val="0"/>
        <w:adjustRightInd/>
        <w:snapToGrid/>
        <w:spacing w:before="0" w:after="0" w:line="360" w:lineRule="auto"/>
        <w:ind w:left="0" w:leftChars="0" w:firstLine="0" w:firstLineChars="0"/>
        <w:jc w:val="center"/>
        <w:textAlignment w:val="auto"/>
        <w:rPr>
          <w:rFonts w:eastAsia="黑体"/>
          <w:b w:val="0"/>
          <w:caps w:val="0"/>
          <w:color w:val="auto"/>
          <w:sz w:val="32"/>
          <w:szCs w:val="32"/>
        </w:rPr>
      </w:pPr>
      <w:r>
        <w:rPr>
          <w:rFonts w:eastAsia="黑体"/>
          <w:b w:val="0"/>
          <w:caps w:val="0"/>
          <w:color w:val="auto"/>
          <w:sz w:val="32"/>
          <w:szCs w:val="32"/>
        </w:rPr>
        <w:t>目  录</w:t>
      </w:r>
      <w:bookmarkEnd w:id="5"/>
    </w:p>
    <w:p w14:paraId="5297EF45">
      <w:pPr>
        <w:pStyle w:val="18"/>
        <w:keepNext w:val="0"/>
        <w:keepLines w:val="0"/>
        <w:pageBreakBefore w:val="0"/>
        <w:widowControl w:val="0"/>
        <w:tabs>
          <w:tab w:val="right" w:leader="dot" w:pos="9015"/>
        </w:tabs>
        <w:kinsoku/>
        <w:wordWrap/>
        <w:overflowPunct/>
        <w:topLinePunct w:val="0"/>
        <w:autoSpaceDE/>
        <w:autoSpaceDN/>
        <w:bidi w:val="0"/>
        <w:adjustRightInd/>
        <w:snapToGrid/>
        <w:spacing w:before="0" w:after="0"/>
        <w:ind w:firstLine="0" w:firstLineChars="0"/>
        <w:textAlignment w:val="auto"/>
        <w:rPr>
          <w:rFonts w:hint="eastAsia" w:asciiTheme="minorEastAsia" w:hAnsiTheme="minorEastAsia" w:eastAsiaTheme="minorEastAsia" w:cstheme="minorEastAsia"/>
          <w:color w:val="auto"/>
          <w:sz w:val="28"/>
          <w:szCs w:val="28"/>
        </w:rPr>
      </w:pPr>
      <w:r>
        <w:rPr>
          <w:rFonts w:hint="eastAsia" w:cs="宋体"/>
          <w:b w:val="0"/>
          <w:bCs w:val="0"/>
          <w:caps w:val="0"/>
          <w:color w:val="auto"/>
          <w:sz w:val="28"/>
          <w:szCs w:val="28"/>
        </w:rPr>
        <w:fldChar w:fldCharType="begin"/>
      </w:r>
      <w:r>
        <w:rPr>
          <w:rFonts w:hint="eastAsia" w:cs="宋体"/>
          <w:b w:val="0"/>
          <w:bCs w:val="0"/>
          <w:caps w:val="0"/>
          <w:color w:val="auto"/>
          <w:sz w:val="28"/>
          <w:szCs w:val="28"/>
        </w:rPr>
        <w:instrText xml:space="preserve"> TOC \o "1-2" \h \z \u </w:instrText>
      </w:r>
      <w:r>
        <w:rPr>
          <w:rFonts w:hint="eastAsia" w:cs="宋体"/>
          <w:b w:val="0"/>
          <w:bCs w:val="0"/>
          <w:caps w:val="0"/>
          <w:color w:val="auto"/>
          <w:sz w:val="28"/>
          <w:szCs w:val="28"/>
        </w:rPr>
        <w:fldChar w:fldCharType="separate"/>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HYPERLINK \l _Toc24196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1 评价目的与依据</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PAGEREF _Toc24196 \h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1</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color w:val="auto"/>
          <w:sz w:val="28"/>
          <w:szCs w:val="28"/>
        </w:rPr>
        <w:fldChar w:fldCharType="end"/>
      </w:r>
    </w:p>
    <w:p w14:paraId="27473773">
      <w:pPr>
        <w:pStyle w:val="19"/>
        <w:keepNext w:val="0"/>
        <w:keepLines w:val="0"/>
        <w:pageBreakBefore w:val="0"/>
        <w:widowControl w:val="0"/>
        <w:tabs>
          <w:tab w:val="right" w:leader="dot" w:pos="9015"/>
        </w:tabs>
        <w:kinsoku/>
        <w:wordWrap/>
        <w:overflowPunct/>
        <w:topLinePunct w:val="0"/>
        <w:autoSpaceDE/>
        <w:autoSpaceDN/>
        <w:bidi w:val="0"/>
        <w:adjustRightInd/>
        <w:snapToGrid/>
        <w:ind w:firstLine="0" w:firstLineChars="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HYPERLINK \l _Toc9657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1.1评价对象和范围</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PAGEREF _Toc9657 \h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1</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color w:val="auto"/>
          <w:sz w:val="28"/>
          <w:szCs w:val="28"/>
        </w:rPr>
        <w:fldChar w:fldCharType="end"/>
      </w:r>
    </w:p>
    <w:p w14:paraId="7AB0B23A">
      <w:pPr>
        <w:pStyle w:val="19"/>
        <w:keepNext w:val="0"/>
        <w:keepLines w:val="0"/>
        <w:pageBreakBefore w:val="0"/>
        <w:widowControl w:val="0"/>
        <w:tabs>
          <w:tab w:val="right" w:leader="dot" w:pos="9015"/>
        </w:tabs>
        <w:kinsoku/>
        <w:wordWrap/>
        <w:overflowPunct/>
        <w:topLinePunct w:val="0"/>
        <w:autoSpaceDE/>
        <w:autoSpaceDN/>
        <w:bidi w:val="0"/>
        <w:adjustRightInd/>
        <w:snapToGrid/>
        <w:ind w:firstLine="0" w:firstLineChars="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HYPERLINK \l _Toc26519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1.2 评价依据</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PAGEREF _Toc26519 \h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1</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color w:val="auto"/>
          <w:sz w:val="28"/>
          <w:szCs w:val="28"/>
        </w:rPr>
        <w:fldChar w:fldCharType="end"/>
      </w:r>
    </w:p>
    <w:p w14:paraId="279AE5C1">
      <w:pPr>
        <w:pStyle w:val="18"/>
        <w:keepNext w:val="0"/>
        <w:keepLines w:val="0"/>
        <w:pageBreakBefore w:val="0"/>
        <w:widowControl w:val="0"/>
        <w:tabs>
          <w:tab w:val="right" w:leader="dot" w:pos="9015"/>
        </w:tabs>
        <w:kinsoku/>
        <w:wordWrap/>
        <w:overflowPunct/>
        <w:topLinePunct w:val="0"/>
        <w:autoSpaceDE/>
        <w:autoSpaceDN/>
        <w:bidi w:val="0"/>
        <w:adjustRightInd/>
        <w:snapToGrid/>
        <w:spacing w:before="0" w:after="0"/>
        <w:ind w:firstLine="0" w:firstLineChars="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HYPERLINK \l _Toc3961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2 建设项目概述</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PAGEREF _Toc3961 \h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9</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color w:val="auto"/>
          <w:sz w:val="28"/>
          <w:szCs w:val="28"/>
        </w:rPr>
        <w:fldChar w:fldCharType="end"/>
      </w:r>
    </w:p>
    <w:p w14:paraId="74A3E34F">
      <w:pPr>
        <w:pStyle w:val="19"/>
        <w:keepNext w:val="0"/>
        <w:keepLines w:val="0"/>
        <w:pageBreakBefore w:val="0"/>
        <w:widowControl w:val="0"/>
        <w:tabs>
          <w:tab w:val="right" w:leader="dot" w:pos="9015"/>
        </w:tabs>
        <w:kinsoku/>
        <w:wordWrap/>
        <w:overflowPunct/>
        <w:topLinePunct w:val="0"/>
        <w:autoSpaceDE/>
        <w:autoSpaceDN/>
        <w:bidi w:val="0"/>
        <w:adjustRightInd/>
        <w:snapToGrid/>
        <w:ind w:firstLine="0" w:firstLineChars="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HYPERLINK \l _Toc29585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2.1建设单位概况</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PAGEREF _Toc29585 \h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9</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color w:val="auto"/>
          <w:sz w:val="28"/>
          <w:szCs w:val="28"/>
        </w:rPr>
        <w:fldChar w:fldCharType="end"/>
      </w:r>
    </w:p>
    <w:p w14:paraId="2B5413A8">
      <w:pPr>
        <w:pStyle w:val="19"/>
        <w:keepNext w:val="0"/>
        <w:keepLines w:val="0"/>
        <w:pageBreakBefore w:val="0"/>
        <w:widowControl w:val="0"/>
        <w:tabs>
          <w:tab w:val="right" w:leader="dot" w:pos="9015"/>
        </w:tabs>
        <w:kinsoku/>
        <w:wordWrap/>
        <w:overflowPunct/>
        <w:topLinePunct w:val="0"/>
        <w:autoSpaceDE/>
        <w:autoSpaceDN/>
        <w:bidi w:val="0"/>
        <w:adjustRightInd/>
        <w:snapToGrid/>
        <w:ind w:firstLine="0" w:firstLineChars="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HYPERLINK \l _Toc1920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2.2自然环境概况</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PAGEREF _Toc1920 \h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12</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color w:val="auto"/>
          <w:sz w:val="28"/>
          <w:szCs w:val="28"/>
        </w:rPr>
        <w:fldChar w:fldCharType="end"/>
      </w:r>
    </w:p>
    <w:p w14:paraId="6DE79325">
      <w:pPr>
        <w:pStyle w:val="19"/>
        <w:keepNext w:val="0"/>
        <w:keepLines w:val="0"/>
        <w:pageBreakBefore w:val="0"/>
        <w:widowControl w:val="0"/>
        <w:tabs>
          <w:tab w:val="right" w:leader="dot" w:pos="9015"/>
        </w:tabs>
        <w:kinsoku/>
        <w:wordWrap/>
        <w:overflowPunct/>
        <w:topLinePunct w:val="0"/>
        <w:autoSpaceDE/>
        <w:autoSpaceDN/>
        <w:bidi w:val="0"/>
        <w:adjustRightInd/>
        <w:snapToGrid/>
        <w:ind w:firstLine="0" w:firstLineChars="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HYPERLINK \l _Toc20672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2.3地质概况</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PAGEREF _Toc20672 \h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13</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color w:val="auto"/>
          <w:sz w:val="28"/>
          <w:szCs w:val="28"/>
        </w:rPr>
        <w:fldChar w:fldCharType="end"/>
      </w:r>
    </w:p>
    <w:p w14:paraId="0B2065AC">
      <w:pPr>
        <w:pStyle w:val="19"/>
        <w:keepNext w:val="0"/>
        <w:keepLines w:val="0"/>
        <w:pageBreakBefore w:val="0"/>
        <w:widowControl w:val="0"/>
        <w:tabs>
          <w:tab w:val="right" w:leader="dot" w:pos="9015"/>
        </w:tabs>
        <w:kinsoku/>
        <w:wordWrap/>
        <w:overflowPunct/>
        <w:topLinePunct w:val="0"/>
        <w:autoSpaceDE/>
        <w:autoSpaceDN/>
        <w:bidi w:val="0"/>
        <w:adjustRightInd/>
        <w:snapToGrid/>
        <w:ind w:firstLine="0" w:firstLineChars="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HYPERLINK \l _Toc21699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2.4矿山建设方案概况</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PAGEREF _Toc21699 \h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22</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color w:val="auto"/>
          <w:sz w:val="28"/>
          <w:szCs w:val="28"/>
        </w:rPr>
        <w:fldChar w:fldCharType="end"/>
      </w:r>
    </w:p>
    <w:p w14:paraId="252F65DD">
      <w:pPr>
        <w:pStyle w:val="18"/>
        <w:keepNext w:val="0"/>
        <w:keepLines w:val="0"/>
        <w:pageBreakBefore w:val="0"/>
        <w:widowControl w:val="0"/>
        <w:tabs>
          <w:tab w:val="right" w:leader="dot" w:pos="9015"/>
        </w:tabs>
        <w:kinsoku/>
        <w:wordWrap/>
        <w:overflowPunct/>
        <w:topLinePunct w:val="0"/>
        <w:autoSpaceDE/>
        <w:autoSpaceDN/>
        <w:bidi w:val="0"/>
        <w:adjustRightInd/>
        <w:snapToGrid/>
        <w:spacing w:before="0" w:after="0"/>
        <w:ind w:firstLine="0" w:firstLineChars="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HYPERLINK \l _Toc7330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3 定性、定量评价</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PAGEREF _Toc7330 \h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44</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color w:val="auto"/>
          <w:sz w:val="28"/>
          <w:szCs w:val="28"/>
        </w:rPr>
        <w:fldChar w:fldCharType="end"/>
      </w:r>
    </w:p>
    <w:p w14:paraId="41B97D47">
      <w:pPr>
        <w:pStyle w:val="19"/>
        <w:keepNext w:val="0"/>
        <w:keepLines w:val="0"/>
        <w:pageBreakBefore w:val="0"/>
        <w:widowControl w:val="0"/>
        <w:tabs>
          <w:tab w:val="right" w:leader="dot" w:pos="9015"/>
        </w:tabs>
        <w:kinsoku/>
        <w:wordWrap/>
        <w:overflowPunct/>
        <w:topLinePunct w:val="0"/>
        <w:autoSpaceDE/>
        <w:autoSpaceDN/>
        <w:bidi w:val="0"/>
        <w:adjustRightInd/>
        <w:snapToGrid/>
        <w:ind w:firstLine="0" w:firstLineChars="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HYPERLINK \l _Toc12225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3.</w:t>
      </w:r>
      <w:r>
        <w:rPr>
          <w:rFonts w:hint="eastAsia" w:asciiTheme="minorEastAsia" w:hAnsiTheme="minorEastAsia" w:eastAsiaTheme="minorEastAsia" w:cstheme="minorEastAsia"/>
          <w:color w:val="auto"/>
          <w:sz w:val="28"/>
          <w:szCs w:val="28"/>
          <w:lang w:val="en-US" w:eastAsia="zh-CN"/>
        </w:rPr>
        <w:t>1</w:t>
      </w:r>
      <w:r>
        <w:rPr>
          <w:rFonts w:hint="eastAsia" w:asciiTheme="minorEastAsia" w:hAnsiTheme="minorEastAsia" w:eastAsiaTheme="minorEastAsia" w:cstheme="minorEastAsia"/>
          <w:color w:val="auto"/>
          <w:sz w:val="28"/>
          <w:szCs w:val="28"/>
        </w:rPr>
        <w:t>总平面布置单元</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PAGEREF _Toc12225 \h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44</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color w:val="auto"/>
          <w:sz w:val="28"/>
          <w:szCs w:val="28"/>
        </w:rPr>
        <w:fldChar w:fldCharType="end"/>
      </w:r>
    </w:p>
    <w:p w14:paraId="002A0F6F">
      <w:pPr>
        <w:pStyle w:val="19"/>
        <w:keepNext w:val="0"/>
        <w:keepLines w:val="0"/>
        <w:pageBreakBefore w:val="0"/>
        <w:widowControl w:val="0"/>
        <w:tabs>
          <w:tab w:val="right" w:leader="dot" w:pos="9015"/>
        </w:tabs>
        <w:kinsoku/>
        <w:wordWrap/>
        <w:overflowPunct/>
        <w:topLinePunct w:val="0"/>
        <w:autoSpaceDE/>
        <w:autoSpaceDN/>
        <w:bidi w:val="0"/>
        <w:adjustRightInd/>
        <w:snapToGrid/>
        <w:ind w:firstLine="0" w:firstLineChars="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HYPERLINK \l _Toc17121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3.</w:t>
      </w:r>
      <w:r>
        <w:rPr>
          <w:rFonts w:hint="eastAsia" w:asciiTheme="minorEastAsia" w:hAnsiTheme="minorEastAsia" w:eastAsiaTheme="minorEastAsia" w:cstheme="minorEastAsia"/>
          <w:color w:val="auto"/>
          <w:sz w:val="28"/>
          <w:szCs w:val="28"/>
          <w:lang w:val="en-US" w:eastAsia="zh-CN"/>
        </w:rPr>
        <w:t>2</w:t>
      </w:r>
      <w:r>
        <w:rPr>
          <w:rFonts w:hint="eastAsia" w:asciiTheme="minorEastAsia" w:hAnsiTheme="minorEastAsia" w:eastAsiaTheme="minorEastAsia" w:cstheme="minorEastAsia"/>
          <w:color w:val="auto"/>
          <w:sz w:val="28"/>
          <w:szCs w:val="28"/>
        </w:rPr>
        <w:t xml:space="preserve"> 开拓单元</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PAGEREF _Toc17121 \h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46</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color w:val="auto"/>
          <w:sz w:val="28"/>
          <w:szCs w:val="28"/>
        </w:rPr>
        <w:fldChar w:fldCharType="end"/>
      </w:r>
    </w:p>
    <w:p w14:paraId="252676C6">
      <w:pPr>
        <w:pStyle w:val="19"/>
        <w:keepNext w:val="0"/>
        <w:keepLines w:val="0"/>
        <w:pageBreakBefore w:val="0"/>
        <w:widowControl w:val="0"/>
        <w:tabs>
          <w:tab w:val="right" w:leader="dot" w:pos="9015"/>
        </w:tabs>
        <w:kinsoku/>
        <w:wordWrap/>
        <w:overflowPunct/>
        <w:topLinePunct w:val="0"/>
        <w:autoSpaceDE/>
        <w:autoSpaceDN/>
        <w:bidi w:val="0"/>
        <w:adjustRightInd/>
        <w:snapToGrid/>
        <w:ind w:firstLine="0" w:firstLineChars="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HYPERLINK \l _Toc15863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3.</w:t>
      </w:r>
      <w:r>
        <w:rPr>
          <w:rFonts w:hint="eastAsia" w:asciiTheme="minorEastAsia" w:hAnsiTheme="minorEastAsia" w:eastAsiaTheme="minorEastAsia" w:cstheme="minorEastAsia"/>
          <w:color w:val="auto"/>
          <w:sz w:val="28"/>
          <w:szCs w:val="28"/>
          <w:lang w:val="en-US" w:eastAsia="zh-CN"/>
        </w:rPr>
        <w:t>3</w:t>
      </w:r>
      <w:r>
        <w:rPr>
          <w:rFonts w:hint="eastAsia" w:asciiTheme="minorEastAsia" w:hAnsiTheme="minorEastAsia" w:eastAsiaTheme="minorEastAsia" w:cstheme="minorEastAsia"/>
          <w:color w:val="auto"/>
          <w:sz w:val="28"/>
          <w:szCs w:val="28"/>
        </w:rPr>
        <w:t xml:space="preserve"> 运输单元</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PAGEREF _Toc15863 \h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49</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color w:val="auto"/>
          <w:sz w:val="28"/>
          <w:szCs w:val="28"/>
        </w:rPr>
        <w:fldChar w:fldCharType="end"/>
      </w:r>
    </w:p>
    <w:p w14:paraId="037BCB98">
      <w:pPr>
        <w:pStyle w:val="19"/>
        <w:keepNext w:val="0"/>
        <w:keepLines w:val="0"/>
        <w:pageBreakBefore w:val="0"/>
        <w:widowControl w:val="0"/>
        <w:tabs>
          <w:tab w:val="right" w:leader="dot" w:pos="9015"/>
        </w:tabs>
        <w:kinsoku/>
        <w:wordWrap/>
        <w:overflowPunct/>
        <w:topLinePunct w:val="0"/>
        <w:autoSpaceDE/>
        <w:autoSpaceDN/>
        <w:bidi w:val="0"/>
        <w:adjustRightInd/>
        <w:snapToGrid/>
        <w:ind w:firstLine="0" w:firstLineChars="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HYPERLINK \l _Toc8577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3.</w:t>
      </w:r>
      <w:r>
        <w:rPr>
          <w:rFonts w:hint="eastAsia" w:asciiTheme="minorEastAsia" w:hAnsiTheme="minorEastAsia" w:eastAsiaTheme="minorEastAsia" w:cstheme="minorEastAsia"/>
          <w:color w:val="auto"/>
          <w:sz w:val="28"/>
          <w:szCs w:val="28"/>
          <w:lang w:val="en-US" w:eastAsia="zh-CN"/>
        </w:rPr>
        <w:t>4</w:t>
      </w:r>
      <w:r>
        <w:rPr>
          <w:rFonts w:hint="eastAsia" w:asciiTheme="minorEastAsia" w:hAnsiTheme="minorEastAsia" w:eastAsiaTheme="minorEastAsia" w:cstheme="minorEastAsia"/>
          <w:color w:val="auto"/>
          <w:sz w:val="28"/>
          <w:szCs w:val="28"/>
        </w:rPr>
        <w:t xml:space="preserve"> 采掘单元</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PAGEREF _Toc8577 \h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52</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color w:val="auto"/>
          <w:sz w:val="28"/>
          <w:szCs w:val="28"/>
        </w:rPr>
        <w:fldChar w:fldCharType="end"/>
      </w:r>
    </w:p>
    <w:p w14:paraId="44F8A3B6">
      <w:pPr>
        <w:pStyle w:val="19"/>
        <w:keepNext w:val="0"/>
        <w:keepLines w:val="0"/>
        <w:pageBreakBefore w:val="0"/>
        <w:widowControl w:val="0"/>
        <w:tabs>
          <w:tab w:val="right" w:leader="dot" w:pos="9015"/>
        </w:tabs>
        <w:kinsoku/>
        <w:wordWrap/>
        <w:overflowPunct/>
        <w:topLinePunct w:val="0"/>
        <w:autoSpaceDE/>
        <w:autoSpaceDN/>
        <w:bidi w:val="0"/>
        <w:adjustRightInd/>
        <w:snapToGrid/>
        <w:ind w:firstLine="0" w:firstLineChars="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HYPERLINK \l _Toc25074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3.</w:t>
      </w:r>
      <w:r>
        <w:rPr>
          <w:rFonts w:hint="eastAsia" w:asciiTheme="minorEastAsia" w:hAnsiTheme="minorEastAsia" w:eastAsiaTheme="minorEastAsia" w:cstheme="minorEastAsia"/>
          <w:color w:val="auto"/>
          <w:sz w:val="28"/>
          <w:szCs w:val="28"/>
          <w:lang w:val="en-US" w:eastAsia="zh-CN"/>
        </w:rPr>
        <w:t>5</w:t>
      </w:r>
      <w:r>
        <w:rPr>
          <w:rFonts w:hint="eastAsia" w:asciiTheme="minorEastAsia" w:hAnsiTheme="minorEastAsia" w:eastAsiaTheme="minorEastAsia" w:cstheme="minorEastAsia"/>
          <w:color w:val="auto"/>
          <w:sz w:val="28"/>
          <w:szCs w:val="28"/>
        </w:rPr>
        <w:t xml:space="preserve"> 通风单元</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PAGEREF _Toc25074 \h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56</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color w:val="auto"/>
          <w:sz w:val="28"/>
          <w:szCs w:val="28"/>
        </w:rPr>
        <w:fldChar w:fldCharType="end"/>
      </w:r>
    </w:p>
    <w:p w14:paraId="3ED31BDD">
      <w:pPr>
        <w:pStyle w:val="19"/>
        <w:keepNext w:val="0"/>
        <w:keepLines w:val="0"/>
        <w:pageBreakBefore w:val="0"/>
        <w:widowControl w:val="0"/>
        <w:tabs>
          <w:tab w:val="right" w:leader="dot" w:pos="9015"/>
        </w:tabs>
        <w:kinsoku/>
        <w:wordWrap/>
        <w:overflowPunct/>
        <w:topLinePunct w:val="0"/>
        <w:autoSpaceDE/>
        <w:autoSpaceDN/>
        <w:bidi w:val="0"/>
        <w:adjustRightInd/>
        <w:snapToGrid/>
        <w:ind w:firstLine="0" w:firstLineChars="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HYPERLINK \l _Toc25382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3.</w:t>
      </w:r>
      <w:r>
        <w:rPr>
          <w:rFonts w:hint="eastAsia" w:asciiTheme="minorEastAsia" w:hAnsiTheme="minorEastAsia" w:eastAsiaTheme="minorEastAsia" w:cstheme="minorEastAsia"/>
          <w:color w:val="auto"/>
          <w:sz w:val="28"/>
          <w:szCs w:val="28"/>
          <w:lang w:val="en-US" w:eastAsia="zh-CN"/>
        </w:rPr>
        <w:t>6</w:t>
      </w:r>
      <w:r>
        <w:rPr>
          <w:rFonts w:hint="eastAsia" w:asciiTheme="minorEastAsia" w:hAnsiTheme="minorEastAsia" w:eastAsiaTheme="minorEastAsia" w:cstheme="minorEastAsia"/>
          <w:color w:val="auto"/>
          <w:sz w:val="28"/>
          <w:szCs w:val="28"/>
        </w:rPr>
        <w:t xml:space="preserve"> 供配电设施单元</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PAGEREF _Toc25382 \h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59</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color w:val="auto"/>
          <w:sz w:val="28"/>
          <w:szCs w:val="28"/>
        </w:rPr>
        <w:fldChar w:fldCharType="end"/>
      </w:r>
    </w:p>
    <w:p w14:paraId="19D60000">
      <w:pPr>
        <w:pStyle w:val="19"/>
        <w:keepNext w:val="0"/>
        <w:keepLines w:val="0"/>
        <w:pageBreakBefore w:val="0"/>
        <w:widowControl w:val="0"/>
        <w:tabs>
          <w:tab w:val="right" w:leader="dot" w:pos="9015"/>
        </w:tabs>
        <w:kinsoku/>
        <w:wordWrap/>
        <w:overflowPunct/>
        <w:topLinePunct w:val="0"/>
        <w:autoSpaceDE/>
        <w:autoSpaceDN/>
        <w:bidi w:val="0"/>
        <w:adjustRightInd/>
        <w:snapToGrid/>
        <w:ind w:firstLine="0" w:firstLineChars="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HYPERLINK \l _Toc19682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3.</w:t>
      </w:r>
      <w:r>
        <w:rPr>
          <w:rFonts w:hint="eastAsia" w:asciiTheme="minorEastAsia" w:hAnsiTheme="minorEastAsia" w:eastAsiaTheme="minorEastAsia" w:cstheme="minorEastAsia"/>
          <w:color w:val="auto"/>
          <w:sz w:val="28"/>
          <w:szCs w:val="28"/>
          <w:lang w:val="en-US" w:eastAsia="zh-CN"/>
        </w:rPr>
        <w:t>7</w:t>
      </w:r>
      <w:r>
        <w:rPr>
          <w:rFonts w:hint="eastAsia" w:asciiTheme="minorEastAsia" w:hAnsiTheme="minorEastAsia" w:eastAsiaTheme="minorEastAsia" w:cstheme="minorEastAsia"/>
          <w:color w:val="auto"/>
          <w:sz w:val="28"/>
          <w:szCs w:val="28"/>
        </w:rPr>
        <w:t xml:space="preserve"> 防排水与防灭火单元</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PAGEREF _Toc19682 \h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64</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color w:val="auto"/>
          <w:sz w:val="28"/>
          <w:szCs w:val="28"/>
        </w:rPr>
        <w:fldChar w:fldCharType="end"/>
      </w:r>
    </w:p>
    <w:p w14:paraId="403C0FB4">
      <w:pPr>
        <w:pStyle w:val="19"/>
        <w:keepNext w:val="0"/>
        <w:keepLines w:val="0"/>
        <w:pageBreakBefore w:val="0"/>
        <w:widowControl w:val="0"/>
        <w:tabs>
          <w:tab w:val="right" w:leader="dot" w:pos="9015"/>
        </w:tabs>
        <w:kinsoku/>
        <w:wordWrap/>
        <w:overflowPunct/>
        <w:topLinePunct w:val="0"/>
        <w:autoSpaceDE/>
        <w:autoSpaceDN/>
        <w:bidi w:val="0"/>
        <w:adjustRightInd/>
        <w:snapToGrid/>
        <w:ind w:firstLine="0" w:firstLineChars="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HYPERLINK \l _Toc26841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3.</w:t>
      </w:r>
      <w:r>
        <w:rPr>
          <w:rFonts w:hint="eastAsia" w:asciiTheme="minorEastAsia" w:hAnsiTheme="minorEastAsia" w:eastAsiaTheme="minorEastAsia" w:cstheme="minorEastAsia"/>
          <w:color w:val="auto"/>
          <w:sz w:val="28"/>
          <w:szCs w:val="28"/>
          <w:lang w:val="en-US" w:eastAsia="zh-CN"/>
        </w:rPr>
        <w:t>8</w:t>
      </w:r>
      <w:r>
        <w:rPr>
          <w:rFonts w:hint="eastAsia" w:asciiTheme="minorEastAsia" w:hAnsiTheme="minorEastAsia" w:eastAsiaTheme="minorEastAsia" w:cstheme="minorEastAsia"/>
          <w:color w:val="auto"/>
          <w:sz w:val="28"/>
          <w:szCs w:val="28"/>
        </w:rPr>
        <w:t>安全避险“六大系统”单元</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PAGEREF _Toc26841 \h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68</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color w:val="auto"/>
          <w:sz w:val="28"/>
          <w:szCs w:val="28"/>
        </w:rPr>
        <w:fldChar w:fldCharType="end"/>
      </w:r>
    </w:p>
    <w:p w14:paraId="3F921629">
      <w:pPr>
        <w:pStyle w:val="19"/>
        <w:keepNext w:val="0"/>
        <w:keepLines w:val="0"/>
        <w:pageBreakBefore w:val="0"/>
        <w:widowControl w:val="0"/>
        <w:tabs>
          <w:tab w:val="right" w:leader="dot" w:pos="9015"/>
        </w:tabs>
        <w:kinsoku/>
        <w:wordWrap/>
        <w:overflowPunct/>
        <w:topLinePunct w:val="0"/>
        <w:autoSpaceDE/>
        <w:autoSpaceDN/>
        <w:bidi w:val="0"/>
        <w:adjustRightInd/>
        <w:snapToGrid/>
        <w:ind w:firstLine="0" w:firstLineChars="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HYPERLINK \l _Toc26078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3.</w:t>
      </w:r>
      <w:r>
        <w:rPr>
          <w:rFonts w:hint="eastAsia" w:asciiTheme="minorEastAsia" w:hAnsiTheme="minorEastAsia" w:eastAsiaTheme="minorEastAsia" w:cstheme="minorEastAsia"/>
          <w:color w:val="auto"/>
          <w:sz w:val="28"/>
          <w:szCs w:val="28"/>
          <w:lang w:val="en-US" w:eastAsia="zh-CN"/>
        </w:rPr>
        <w:t>9</w:t>
      </w:r>
      <w:r>
        <w:rPr>
          <w:rFonts w:hint="eastAsia" w:asciiTheme="minorEastAsia" w:hAnsiTheme="minorEastAsia" w:eastAsiaTheme="minorEastAsia" w:cstheme="minorEastAsia"/>
          <w:color w:val="auto"/>
          <w:sz w:val="28"/>
          <w:szCs w:val="28"/>
        </w:rPr>
        <w:t xml:space="preserve"> 安全管理单元</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PAGEREF _Toc26078 \h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72</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color w:val="auto"/>
          <w:sz w:val="28"/>
          <w:szCs w:val="28"/>
        </w:rPr>
        <w:fldChar w:fldCharType="end"/>
      </w:r>
    </w:p>
    <w:p w14:paraId="61342CE4">
      <w:pPr>
        <w:pStyle w:val="19"/>
        <w:keepNext w:val="0"/>
        <w:keepLines w:val="0"/>
        <w:pageBreakBefore w:val="0"/>
        <w:widowControl w:val="0"/>
        <w:tabs>
          <w:tab w:val="right" w:leader="dot" w:pos="9015"/>
        </w:tabs>
        <w:kinsoku/>
        <w:wordWrap/>
        <w:overflowPunct/>
        <w:topLinePunct w:val="0"/>
        <w:autoSpaceDE/>
        <w:autoSpaceDN/>
        <w:bidi w:val="0"/>
        <w:adjustRightInd/>
        <w:snapToGrid/>
        <w:ind w:firstLine="0" w:firstLineChars="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HYPERLINK \l _Toc9920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3.1</w:t>
      </w:r>
      <w:r>
        <w:rPr>
          <w:rFonts w:hint="eastAsia" w:asciiTheme="minorEastAsia" w:hAnsiTheme="minorEastAsia" w:eastAsiaTheme="minorEastAsia" w:cstheme="minorEastAsia"/>
          <w:color w:val="auto"/>
          <w:sz w:val="28"/>
          <w:szCs w:val="28"/>
          <w:lang w:val="en-US" w:eastAsia="zh-CN"/>
        </w:rPr>
        <w:t>0</w:t>
      </w:r>
      <w:r>
        <w:rPr>
          <w:rFonts w:hint="eastAsia" w:asciiTheme="minorEastAsia" w:hAnsiTheme="minorEastAsia" w:eastAsiaTheme="minorEastAsia" w:cstheme="minorEastAsia"/>
          <w:color w:val="auto"/>
          <w:sz w:val="28"/>
          <w:szCs w:val="28"/>
        </w:rPr>
        <w:t xml:space="preserve"> 重大危险源辨识</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PAGEREF _Toc9920 \h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75</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color w:val="auto"/>
          <w:sz w:val="28"/>
          <w:szCs w:val="28"/>
        </w:rPr>
        <w:fldChar w:fldCharType="end"/>
      </w:r>
    </w:p>
    <w:p w14:paraId="06765D56">
      <w:pPr>
        <w:pStyle w:val="18"/>
        <w:keepNext w:val="0"/>
        <w:keepLines w:val="0"/>
        <w:pageBreakBefore w:val="0"/>
        <w:widowControl w:val="0"/>
        <w:tabs>
          <w:tab w:val="right" w:leader="dot" w:pos="9015"/>
        </w:tabs>
        <w:kinsoku/>
        <w:wordWrap/>
        <w:overflowPunct/>
        <w:topLinePunct w:val="0"/>
        <w:autoSpaceDE/>
        <w:autoSpaceDN/>
        <w:bidi w:val="0"/>
        <w:adjustRightInd/>
        <w:snapToGrid/>
        <w:spacing w:before="0" w:after="0"/>
        <w:ind w:firstLine="0" w:firstLineChars="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HYPERLINK \l _Toc31804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bCs/>
          <w:color w:val="auto"/>
          <w:sz w:val="28"/>
          <w:szCs w:val="28"/>
        </w:rPr>
        <w:t>4 安全对策措施及建议</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PAGEREF _Toc31804 \h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77</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color w:val="auto"/>
          <w:sz w:val="28"/>
          <w:szCs w:val="28"/>
        </w:rPr>
        <w:fldChar w:fldCharType="end"/>
      </w:r>
    </w:p>
    <w:p w14:paraId="65CCF4C2">
      <w:pPr>
        <w:pStyle w:val="19"/>
        <w:keepNext w:val="0"/>
        <w:keepLines w:val="0"/>
        <w:pageBreakBefore w:val="0"/>
        <w:widowControl w:val="0"/>
        <w:tabs>
          <w:tab w:val="right" w:leader="dot" w:pos="9015"/>
        </w:tabs>
        <w:kinsoku/>
        <w:wordWrap/>
        <w:overflowPunct/>
        <w:topLinePunct w:val="0"/>
        <w:autoSpaceDE/>
        <w:autoSpaceDN/>
        <w:bidi w:val="0"/>
        <w:adjustRightInd/>
        <w:snapToGrid/>
        <w:ind w:firstLine="0" w:firstLineChars="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HYPERLINK \l _Toc13201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4.</w:t>
      </w:r>
      <w:r>
        <w:rPr>
          <w:rFonts w:hint="eastAsia" w:asciiTheme="minorEastAsia" w:hAnsiTheme="minorEastAsia" w:eastAsiaTheme="minorEastAsia" w:cstheme="minorEastAsia"/>
          <w:color w:val="auto"/>
          <w:sz w:val="28"/>
          <w:szCs w:val="28"/>
          <w:lang w:val="en-US" w:eastAsia="zh-CN"/>
        </w:rPr>
        <w:t>1</w:t>
      </w:r>
      <w:r>
        <w:rPr>
          <w:rFonts w:hint="eastAsia" w:asciiTheme="minorEastAsia" w:hAnsiTheme="minorEastAsia" w:eastAsiaTheme="minorEastAsia" w:cstheme="minorEastAsia"/>
          <w:color w:val="auto"/>
          <w:sz w:val="28"/>
          <w:szCs w:val="28"/>
        </w:rPr>
        <w:t>安全对策措施</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PAGEREF _Toc13201 \h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77</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color w:val="auto"/>
          <w:sz w:val="28"/>
          <w:szCs w:val="28"/>
        </w:rPr>
        <w:fldChar w:fldCharType="end"/>
      </w:r>
    </w:p>
    <w:p w14:paraId="65B68455">
      <w:pPr>
        <w:pStyle w:val="19"/>
        <w:keepNext w:val="0"/>
        <w:keepLines w:val="0"/>
        <w:pageBreakBefore w:val="0"/>
        <w:widowControl w:val="0"/>
        <w:tabs>
          <w:tab w:val="right" w:leader="dot" w:pos="9015"/>
        </w:tabs>
        <w:kinsoku/>
        <w:wordWrap/>
        <w:overflowPunct/>
        <w:topLinePunct w:val="0"/>
        <w:autoSpaceDE/>
        <w:autoSpaceDN/>
        <w:bidi w:val="0"/>
        <w:adjustRightInd/>
        <w:snapToGrid/>
        <w:ind w:firstLine="0" w:firstLineChars="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HYPERLINK \l _Toc9637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4.3建议</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PAGEREF _Toc9637 \h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89</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color w:val="auto"/>
          <w:sz w:val="28"/>
          <w:szCs w:val="28"/>
        </w:rPr>
        <w:fldChar w:fldCharType="end"/>
      </w:r>
    </w:p>
    <w:p w14:paraId="303D9600">
      <w:pPr>
        <w:pStyle w:val="18"/>
        <w:keepNext w:val="0"/>
        <w:keepLines w:val="0"/>
        <w:pageBreakBefore w:val="0"/>
        <w:widowControl w:val="0"/>
        <w:tabs>
          <w:tab w:val="right" w:leader="dot" w:pos="9015"/>
        </w:tabs>
        <w:kinsoku/>
        <w:wordWrap/>
        <w:overflowPunct/>
        <w:topLinePunct w:val="0"/>
        <w:autoSpaceDE/>
        <w:autoSpaceDN/>
        <w:bidi w:val="0"/>
        <w:adjustRightInd/>
        <w:snapToGrid/>
        <w:spacing w:before="0" w:after="0"/>
        <w:ind w:firstLine="0" w:firstLineChars="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HYPERLINK \l _Toc2269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bCs w:val="0"/>
          <w:color w:val="auto"/>
          <w:sz w:val="28"/>
          <w:szCs w:val="28"/>
        </w:rPr>
        <w:t>5 评价结论</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PAGEREF _Toc2269 \h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91</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color w:val="auto"/>
          <w:sz w:val="28"/>
          <w:szCs w:val="28"/>
        </w:rPr>
        <w:fldChar w:fldCharType="end"/>
      </w:r>
    </w:p>
    <w:p w14:paraId="690378A8">
      <w:pPr>
        <w:pStyle w:val="19"/>
        <w:keepNext w:val="0"/>
        <w:keepLines w:val="0"/>
        <w:pageBreakBefore w:val="0"/>
        <w:widowControl w:val="0"/>
        <w:tabs>
          <w:tab w:val="right" w:leader="dot" w:pos="9015"/>
        </w:tabs>
        <w:kinsoku/>
        <w:wordWrap/>
        <w:overflowPunct/>
        <w:topLinePunct w:val="0"/>
        <w:autoSpaceDE/>
        <w:autoSpaceDN/>
        <w:bidi w:val="0"/>
        <w:adjustRightInd/>
        <w:snapToGrid/>
        <w:ind w:firstLine="0" w:firstLineChars="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HYPERLINK \l _Toc28111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5.1归纳、整合各部分评价结果</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PAGEREF _Toc28111 \h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91</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color w:val="auto"/>
          <w:sz w:val="28"/>
          <w:szCs w:val="28"/>
        </w:rPr>
        <w:fldChar w:fldCharType="end"/>
      </w:r>
    </w:p>
    <w:p w14:paraId="375032FB">
      <w:pPr>
        <w:pStyle w:val="19"/>
        <w:keepNext w:val="0"/>
        <w:keepLines w:val="0"/>
        <w:pageBreakBefore w:val="0"/>
        <w:widowControl w:val="0"/>
        <w:tabs>
          <w:tab w:val="right" w:leader="dot" w:pos="9015"/>
        </w:tabs>
        <w:kinsoku/>
        <w:wordWrap/>
        <w:overflowPunct/>
        <w:topLinePunct w:val="0"/>
        <w:autoSpaceDE/>
        <w:autoSpaceDN/>
        <w:bidi w:val="0"/>
        <w:adjustRightInd/>
        <w:snapToGrid/>
        <w:ind w:firstLine="0" w:firstLineChars="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HYPERLINK \l _Toc8794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5.2建设项目安全状况综合评述</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PAGEREF _Toc8794 \h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92</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color w:val="auto"/>
          <w:sz w:val="28"/>
          <w:szCs w:val="28"/>
        </w:rPr>
        <w:fldChar w:fldCharType="end"/>
      </w:r>
    </w:p>
    <w:p w14:paraId="24397DAF">
      <w:pPr>
        <w:pStyle w:val="19"/>
        <w:keepNext w:val="0"/>
        <w:keepLines w:val="0"/>
        <w:pageBreakBefore w:val="0"/>
        <w:widowControl w:val="0"/>
        <w:tabs>
          <w:tab w:val="right" w:leader="dot" w:pos="9015"/>
        </w:tabs>
        <w:kinsoku/>
        <w:wordWrap/>
        <w:overflowPunct/>
        <w:topLinePunct w:val="0"/>
        <w:autoSpaceDE/>
        <w:autoSpaceDN/>
        <w:bidi w:val="0"/>
        <w:adjustRightInd/>
        <w:snapToGrid/>
        <w:ind w:firstLine="0" w:firstLineChars="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HYPERLINK \l _Toc27908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5.3安全总体评价结论</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PAGEREF _Toc27908 \h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93</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color w:val="auto"/>
          <w:sz w:val="28"/>
          <w:szCs w:val="28"/>
        </w:rPr>
        <w:fldChar w:fldCharType="end"/>
      </w:r>
    </w:p>
    <w:p w14:paraId="650316D2">
      <w:pPr>
        <w:pStyle w:val="18"/>
        <w:keepNext w:val="0"/>
        <w:keepLines w:val="0"/>
        <w:pageBreakBefore w:val="0"/>
        <w:widowControl w:val="0"/>
        <w:tabs>
          <w:tab w:val="right" w:leader="dot" w:pos="9015"/>
        </w:tabs>
        <w:kinsoku/>
        <w:wordWrap/>
        <w:overflowPunct/>
        <w:topLinePunct w:val="0"/>
        <w:autoSpaceDE/>
        <w:autoSpaceDN/>
        <w:bidi w:val="0"/>
        <w:adjustRightInd/>
        <w:snapToGrid/>
        <w:spacing w:before="0" w:after="0"/>
        <w:ind w:firstLine="0" w:firstLineChars="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HYPERLINK \l _Toc23767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6 附件</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PAGEREF _Toc23767 \h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94</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color w:val="auto"/>
          <w:sz w:val="28"/>
          <w:szCs w:val="28"/>
        </w:rPr>
        <w:fldChar w:fldCharType="end"/>
      </w:r>
    </w:p>
    <w:p w14:paraId="5F1F8A06">
      <w:pPr>
        <w:pStyle w:val="18"/>
        <w:keepNext w:val="0"/>
        <w:keepLines w:val="0"/>
        <w:pageBreakBefore w:val="0"/>
        <w:widowControl w:val="0"/>
        <w:tabs>
          <w:tab w:val="right" w:leader="dot" w:pos="9015"/>
        </w:tabs>
        <w:kinsoku/>
        <w:wordWrap/>
        <w:overflowPunct/>
        <w:topLinePunct w:val="0"/>
        <w:autoSpaceDE/>
        <w:autoSpaceDN/>
        <w:bidi w:val="0"/>
        <w:adjustRightInd/>
        <w:snapToGrid/>
        <w:spacing w:before="0" w:after="0"/>
        <w:ind w:firstLine="0" w:firstLineChars="0"/>
        <w:textAlignment w:val="auto"/>
        <w:rPr>
          <w:color w:val="auto"/>
        </w:rPr>
      </w:pP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HYPERLINK \l _Toc17372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7 附图</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PAGEREF _Toc17372 \h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95</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color w:val="auto"/>
          <w:sz w:val="28"/>
          <w:szCs w:val="28"/>
        </w:rPr>
        <w:fldChar w:fldCharType="end"/>
      </w:r>
    </w:p>
    <w:p w14:paraId="7C5E7687">
      <w:pPr>
        <w:spacing w:line="360" w:lineRule="auto"/>
        <w:ind w:firstLine="0" w:firstLineChars="0"/>
        <w:rPr>
          <w:bCs/>
          <w:color w:val="auto"/>
          <w:sz w:val="28"/>
          <w:szCs w:val="28"/>
        </w:rPr>
      </w:pPr>
      <w:r>
        <w:rPr>
          <w:rFonts w:hint="eastAsia" w:cs="宋体"/>
          <w:color w:val="auto"/>
          <w:szCs w:val="28"/>
        </w:rPr>
        <w:fldChar w:fldCharType="end"/>
      </w:r>
    </w:p>
    <w:p w14:paraId="082A0BC1">
      <w:pPr>
        <w:spacing w:line="360" w:lineRule="auto"/>
        <w:ind w:firstLine="562"/>
        <w:rPr>
          <w:color w:val="auto"/>
          <w:szCs w:val="28"/>
        </w:rPr>
        <w:sectPr>
          <w:footerReference r:id="rId15" w:type="default"/>
          <w:headerReference r:id="rId14" w:type="even"/>
          <w:footerReference r:id="rId16" w:type="even"/>
          <w:pgSz w:w="11906" w:h="16838"/>
          <w:pgMar w:top="1417" w:right="1304" w:bottom="1417" w:left="1587" w:header="851" w:footer="992" w:gutter="0"/>
          <w:pgBorders>
            <w:top w:val="none" w:sz="0" w:space="0"/>
            <w:left w:val="none" w:sz="0" w:space="0"/>
            <w:bottom w:val="none" w:sz="0" w:space="0"/>
            <w:right w:val="none" w:sz="0" w:space="0"/>
          </w:pgBorders>
          <w:pgNumType w:fmt="upperRoman"/>
          <w:cols w:space="0" w:num="1"/>
          <w:docGrid w:type="lines" w:linePitch="312" w:charSpace="0"/>
        </w:sectPr>
      </w:pPr>
      <w:r>
        <w:rPr>
          <w:rFonts w:hint="eastAsia"/>
          <w:b/>
          <w:color w:val="auto"/>
          <w:szCs w:val="28"/>
        </w:rPr>
        <w:br w:type="page"/>
      </w:r>
    </w:p>
    <w:p w14:paraId="5D6C0BB9">
      <w:pPr>
        <w:pStyle w:val="2"/>
        <w:rPr>
          <w:color w:val="auto"/>
        </w:rPr>
      </w:pPr>
      <w:bookmarkStart w:id="9" w:name="_Toc24196"/>
      <w:r>
        <w:rPr>
          <w:rFonts w:hint="eastAsia"/>
          <w:color w:val="auto"/>
        </w:rPr>
        <w:t xml:space="preserve">1 </w:t>
      </w:r>
      <w:bookmarkEnd w:id="6"/>
      <w:r>
        <w:rPr>
          <w:rFonts w:hint="eastAsia"/>
          <w:color w:val="auto"/>
        </w:rPr>
        <w:t>评价目的与依据</w:t>
      </w:r>
      <w:bookmarkEnd w:id="7"/>
      <w:bookmarkEnd w:id="9"/>
    </w:p>
    <w:p w14:paraId="403812AE">
      <w:pPr>
        <w:pStyle w:val="3"/>
        <w:rPr>
          <w:color w:val="auto"/>
        </w:rPr>
      </w:pPr>
      <w:bookmarkStart w:id="10" w:name="_Toc200534907"/>
      <w:bookmarkStart w:id="11" w:name="_Toc298146757"/>
      <w:bookmarkStart w:id="12" w:name="_Toc338762950"/>
      <w:bookmarkStart w:id="13" w:name="_Toc9657"/>
      <w:r>
        <w:rPr>
          <w:rFonts w:hint="eastAsia"/>
          <w:color w:val="auto"/>
        </w:rPr>
        <w:t>1.1评价对象和</w:t>
      </w:r>
      <w:bookmarkEnd w:id="10"/>
      <w:bookmarkEnd w:id="11"/>
      <w:r>
        <w:rPr>
          <w:rFonts w:hint="eastAsia"/>
          <w:color w:val="auto"/>
        </w:rPr>
        <w:t>范围</w:t>
      </w:r>
      <w:bookmarkEnd w:id="12"/>
      <w:bookmarkEnd w:id="13"/>
    </w:p>
    <w:p w14:paraId="1079355E">
      <w:pPr>
        <w:ind w:firstLine="560"/>
        <w:rPr>
          <w:color w:val="auto"/>
        </w:rPr>
      </w:pPr>
      <w:r>
        <w:rPr>
          <w:rFonts w:hint="eastAsia"/>
          <w:color w:val="auto"/>
        </w:rPr>
        <w:t>项目名称：</w:t>
      </w:r>
      <w:r>
        <w:rPr>
          <w:rFonts w:hint="eastAsia"/>
          <w:color w:val="auto"/>
          <w:lang w:eastAsia="zh-CN"/>
        </w:rPr>
        <w:t>凤县绿能诚睿矿业有限公司陕西省李家庄方解石矿地下开采建设项目</w:t>
      </w:r>
      <w:r>
        <w:rPr>
          <w:rFonts w:hint="eastAsia"/>
          <w:color w:val="auto"/>
        </w:rPr>
        <w:t>。</w:t>
      </w:r>
    </w:p>
    <w:p w14:paraId="61F99183">
      <w:pPr>
        <w:ind w:firstLine="560"/>
        <w:rPr>
          <w:color w:val="auto"/>
        </w:rPr>
      </w:pPr>
      <w:r>
        <w:rPr>
          <w:rFonts w:hint="eastAsia"/>
          <w:color w:val="auto"/>
        </w:rPr>
        <w:t>评价对象：</w:t>
      </w:r>
      <w:r>
        <w:rPr>
          <w:rFonts w:hint="eastAsia"/>
          <w:color w:val="auto"/>
          <w:lang w:eastAsia="zh-CN"/>
        </w:rPr>
        <w:t>凤县绿能诚睿矿业有限公司陕西省李家庄方解石矿地下开采建设项目</w:t>
      </w:r>
      <w:r>
        <w:rPr>
          <w:rFonts w:hint="eastAsia"/>
          <w:color w:val="auto"/>
        </w:rPr>
        <w:t>。</w:t>
      </w:r>
    </w:p>
    <w:p w14:paraId="04AEC942">
      <w:pPr>
        <w:ind w:firstLine="560"/>
        <w:rPr>
          <w:rFonts w:hint="eastAsia"/>
          <w:color w:val="auto"/>
          <w:sz w:val="28"/>
          <w:szCs w:val="28"/>
        </w:rPr>
      </w:pPr>
      <w:r>
        <w:rPr>
          <w:rFonts w:hint="eastAsia"/>
          <w:color w:val="auto"/>
        </w:rPr>
        <w:t>评价范围：</w:t>
      </w:r>
      <w:r>
        <w:rPr>
          <w:rFonts w:hint="eastAsia" w:hAnsi="宋体"/>
          <w:color w:val="auto"/>
          <w:sz w:val="28"/>
          <w:szCs w:val="28"/>
        </w:rPr>
        <w:t>《</w:t>
      </w:r>
      <w:r>
        <w:rPr>
          <w:rFonts w:hint="eastAsia" w:hAnsi="宋体"/>
          <w:color w:val="auto"/>
          <w:sz w:val="28"/>
          <w:szCs w:val="28"/>
          <w:lang w:val="en-US" w:eastAsia="zh-CN"/>
        </w:rPr>
        <w:t>可研报告</w:t>
      </w:r>
      <w:r>
        <w:rPr>
          <w:rFonts w:hint="eastAsia" w:hAnsi="宋体"/>
          <w:color w:val="auto"/>
          <w:sz w:val="28"/>
          <w:szCs w:val="28"/>
        </w:rPr>
        <w:t>》</w:t>
      </w:r>
      <w:r>
        <w:rPr>
          <w:rFonts w:hint="eastAsia" w:ascii="宋体" w:hAnsi="宋体" w:cs="宋体"/>
          <w:color w:val="auto"/>
          <w:sz w:val="28"/>
          <w:szCs w:val="28"/>
        </w:rPr>
        <w:t>拟定的开拓方式、开采工艺等生产、辅助系统的安全设施以及矿山企业安全管理。</w:t>
      </w:r>
    </w:p>
    <w:p w14:paraId="58888344">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color w:val="auto"/>
          <w:sz w:val="28"/>
          <w:szCs w:val="28"/>
        </w:rPr>
      </w:pPr>
      <w:r>
        <w:rPr>
          <w:color w:val="auto"/>
          <w:sz w:val="28"/>
          <w:szCs w:val="28"/>
        </w:rPr>
        <w:t>1.</w:t>
      </w:r>
      <w:r>
        <w:rPr>
          <w:rFonts w:hAnsi="宋体"/>
          <w:color w:val="auto"/>
          <w:sz w:val="28"/>
          <w:szCs w:val="28"/>
        </w:rPr>
        <w:t>水平范围：《</w:t>
      </w:r>
      <w:r>
        <w:rPr>
          <w:rFonts w:hint="eastAsia" w:hAnsi="宋体"/>
          <w:color w:val="auto"/>
          <w:sz w:val="28"/>
          <w:szCs w:val="28"/>
          <w:lang w:val="en-US" w:eastAsia="zh-CN"/>
        </w:rPr>
        <w:t>采矿许可证</w:t>
      </w:r>
      <w:r>
        <w:rPr>
          <w:rFonts w:hAnsi="宋体"/>
          <w:color w:val="auto"/>
          <w:sz w:val="28"/>
          <w:szCs w:val="28"/>
        </w:rPr>
        <w:t>》圈定的</w:t>
      </w:r>
      <w:r>
        <w:rPr>
          <w:rFonts w:hint="eastAsia"/>
          <w:color w:val="auto"/>
          <w:sz w:val="28"/>
          <w:szCs w:val="28"/>
          <w:lang w:val="en-US" w:eastAsia="zh-CN"/>
        </w:rPr>
        <w:t>6</w:t>
      </w:r>
      <w:r>
        <w:rPr>
          <w:rFonts w:hAnsi="宋体"/>
          <w:color w:val="auto"/>
          <w:sz w:val="28"/>
          <w:szCs w:val="28"/>
        </w:rPr>
        <w:t>个拐点坐标范围内的</w:t>
      </w:r>
      <w:r>
        <w:rPr>
          <w:color w:val="auto"/>
          <w:sz w:val="28"/>
          <w:szCs w:val="28"/>
        </w:rPr>
        <w:t>矿体</w:t>
      </w:r>
      <w:r>
        <w:rPr>
          <w:rFonts w:hint="eastAsia"/>
          <w:color w:val="auto"/>
          <w:sz w:val="28"/>
          <w:szCs w:val="28"/>
        </w:rPr>
        <w:t>。</w:t>
      </w:r>
    </w:p>
    <w:p w14:paraId="12238FA6">
      <w:pPr>
        <w:pStyle w:val="8"/>
        <w:ind w:left="0" w:leftChars="0" w:firstLine="0" w:firstLineChars="0"/>
        <w:jc w:val="center"/>
        <w:rPr>
          <w:rFonts w:hint="default" w:ascii="Times New Roman" w:hAnsi="Times New Roman" w:cs="Times New Roman"/>
          <w:color w:val="auto"/>
          <w:sz w:val="28"/>
          <w:szCs w:val="28"/>
        </w:rPr>
      </w:pPr>
      <w:r>
        <w:rPr>
          <w:rFonts w:hint="eastAsia" w:asciiTheme="minorEastAsia" w:hAnsiTheme="minorEastAsia" w:eastAsiaTheme="minorEastAsia" w:cstheme="minorEastAsia"/>
          <w:b/>
          <w:bCs/>
          <w:color w:val="auto"/>
          <w:sz w:val="28"/>
          <w:szCs w:val="28"/>
        </w:rPr>
        <w:t>表</w:t>
      </w:r>
      <w:r>
        <w:rPr>
          <w:rFonts w:hint="eastAsia" w:asciiTheme="minorEastAsia" w:hAnsiTheme="minorEastAsia" w:eastAsiaTheme="minorEastAsia" w:cstheme="minorEastAsia"/>
          <w:b/>
          <w:bCs/>
          <w:color w:val="auto"/>
          <w:sz w:val="28"/>
          <w:szCs w:val="28"/>
          <w:lang w:val="en-US" w:eastAsia="zh-CN"/>
        </w:rPr>
        <w:t>1-1</w:t>
      </w:r>
      <w:r>
        <w:rPr>
          <w:rFonts w:hint="eastAsia" w:asciiTheme="minorEastAsia" w:hAnsiTheme="minorEastAsia" w:eastAsiaTheme="minorEastAsia" w:cstheme="minorEastAsia"/>
          <w:b/>
          <w:bCs/>
          <w:color w:val="auto"/>
          <w:sz w:val="28"/>
          <w:szCs w:val="28"/>
        </w:rPr>
        <w:t xml:space="preserve">  矿拐点坐标范围表</w:t>
      </w:r>
    </w:p>
    <w:tbl>
      <w:tblPr>
        <w:tblStyle w:val="24"/>
        <w:tblW w:w="4998"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1419"/>
        <w:gridCol w:w="4195"/>
        <w:gridCol w:w="3896"/>
      </w:tblGrid>
      <w:tr w14:paraId="4E35A69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blHeader/>
          <w:jc w:val="center"/>
        </w:trPr>
        <w:tc>
          <w:tcPr>
            <w:tcW w:w="746" w:type="pct"/>
            <w:vMerge w:val="restart"/>
            <w:tcBorders>
              <w:tl2br w:val="nil"/>
              <w:tr2bl w:val="nil"/>
            </w:tcBorders>
            <w:noWrap w:val="0"/>
            <w:vAlign w:val="center"/>
          </w:tcPr>
          <w:p w14:paraId="40663196">
            <w:pPr>
              <w:keepNext w:val="0"/>
              <w:keepLines w:val="0"/>
              <w:pageBreakBefore w:val="0"/>
              <w:widowControl w:val="0"/>
              <w:suppressLineNumbers w:val="0"/>
              <w:suppressAutoHyphens/>
              <w:kinsoku/>
              <w:wordWrap/>
              <w:overflowPunct/>
              <w:topLinePunct w:val="0"/>
              <w:autoSpaceDE w:val="0"/>
              <w:autoSpaceDN/>
              <w:bidi w:val="0"/>
              <w:adjustRightInd/>
              <w:snapToGrid/>
              <w:spacing w:before="0" w:beforeAutospacing="0" w:after="0" w:afterAutospacing="0" w:line="320" w:lineRule="exact"/>
              <w:ind w:left="0" w:right="0"/>
              <w:jc w:val="center"/>
              <w:textAlignment w:val="auto"/>
              <w:rPr>
                <w:rFonts w:hint="eastAsia" w:ascii="宋体" w:hAnsi="宋体" w:eastAsia="宋体" w:cs="宋体"/>
                <w:b/>
                <w:bCs w:val="0"/>
                <w:color w:val="auto"/>
                <w:kern w:val="0"/>
                <w:sz w:val="21"/>
                <w:szCs w:val="21"/>
                <w:lang w:val="en-US" w:eastAsia="zh-CN" w:bidi="ar-SA"/>
              </w:rPr>
            </w:pPr>
            <w:r>
              <w:rPr>
                <w:rFonts w:hint="eastAsia" w:ascii="宋体" w:hAnsi="宋体" w:eastAsia="宋体" w:cs="宋体"/>
                <w:b/>
                <w:bCs w:val="0"/>
                <w:color w:val="auto"/>
                <w:kern w:val="0"/>
                <w:sz w:val="21"/>
                <w:szCs w:val="21"/>
                <w:lang w:val="en-US" w:eastAsia="zh-CN" w:bidi="ar-SA"/>
              </w:rPr>
              <w:t>拐点</w:t>
            </w:r>
          </w:p>
          <w:p w14:paraId="79709954">
            <w:pPr>
              <w:keepNext w:val="0"/>
              <w:keepLines w:val="0"/>
              <w:pageBreakBefore w:val="0"/>
              <w:widowControl w:val="0"/>
              <w:suppressLineNumbers w:val="0"/>
              <w:suppressAutoHyphens/>
              <w:kinsoku/>
              <w:wordWrap/>
              <w:overflowPunct/>
              <w:topLinePunct w:val="0"/>
              <w:autoSpaceDE w:val="0"/>
              <w:autoSpaceDN/>
              <w:bidi w:val="0"/>
              <w:adjustRightInd/>
              <w:snapToGrid/>
              <w:spacing w:before="0" w:beforeAutospacing="0" w:after="0" w:afterAutospacing="0" w:line="320" w:lineRule="exact"/>
              <w:ind w:left="0" w:right="0"/>
              <w:jc w:val="center"/>
              <w:textAlignment w:val="auto"/>
              <w:rPr>
                <w:rFonts w:hint="eastAsia" w:ascii="宋体" w:hAnsi="宋体" w:eastAsia="宋体" w:cs="宋体"/>
                <w:b/>
                <w:bCs w:val="0"/>
                <w:color w:val="auto"/>
                <w:kern w:val="0"/>
                <w:sz w:val="21"/>
                <w:szCs w:val="21"/>
                <w:lang w:val="en-US" w:eastAsia="zh-CN" w:bidi="ar-SA"/>
              </w:rPr>
            </w:pPr>
            <w:r>
              <w:rPr>
                <w:rFonts w:hint="eastAsia" w:ascii="宋体" w:hAnsi="宋体" w:eastAsia="宋体" w:cs="宋体"/>
                <w:b/>
                <w:bCs w:val="0"/>
                <w:color w:val="auto"/>
                <w:kern w:val="0"/>
                <w:sz w:val="21"/>
                <w:szCs w:val="21"/>
                <w:lang w:val="en-US" w:eastAsia="zh-CN" w:bidi="ar-SA"/>
              </w:rPr>
              <w:t>编号</w:t>
            </w:r>
          </w:p>
        </w:tc>
        <w:tc>
          <w:tcPr>
            <w:tcW w:w="4253" w:type="pct"/>
            <w:gridSpan w:val="2"/>
            <w:tcBorders>
              <w:tl2br w:val="nil"/>
              <w:tr2bl w:val="nil"/>
            </w:tcBorders>
            <w:noWrap w:val="0"/>
            <w:vAlign w:val="center"/>
          </w:tcPr>
          <w:p w14:paraId="54640EE6">
            <w:pPr>
              <w:keepNext w:val="0"/>
              <w:keepLines w:val="0"/>
              <w:pageBreakBefore w:val="0"/>
              <w:widowControl w:val="0"/>
              <w:suppressLineNumbers w:val="0"/>
              <w:suppressAutoHyphens/>
              <w:kinsoku/>
              <w:wordWrap/>
              <w:overflowPunct/>
              <w:topLinePunct w:val="0"/>
              <w:autoSpaceDE w:val="0"/>
              <w:autoSpaceDN/>
              <w:bidi w:val="0"/>
              <w:adjustRightInd/>
              <w:snapToGrid/>
              <w:spacing w:before="0" w:beforeAutospacing="0" w:after="0" w:afterAutospacing="0" w:line="320" w:lineRule="exact"/>
              <w:ind w:left="0" w:right="0"/>
              <w:jc w:val="center"/>
              <w:textAlignment w:val="auto"/>
              <w:rPr>
                <w:rFonts w:hint="eastAsia" w:ascii="宋体" w:hAnsi="宋体" w:eastAsia="宋体" w:cs="宋体"/>
                <w:b/>
                <w:bCs w:val="0"/>
                <w:color w:val="auto"/>
                <w:kern w:val="0"/>
                <w:sz w:val="21"/>
                <w:szCs w:val="21"/>
                <w:lang w:val="en-US" w:eastAsia="zh-CN" w:bidi="ar-SA"/>
              </w:rPr>
            </w:pPr>
            <w:r>
              <w:rPr>
                <w:rFonts w:hint="eastAsia" w:ascii="宋体" w:hAnsi="宋体" w:eastAsia="宋体" w:cs="宋体"/>
                <w:b/>
                <w:bCs w:val="0"/>
                <w:color w:val="auto"/>
                <w:kern w:val="0"/>
                <w:sz w:val="21"/>
                <w:szCs w:val="21"/>
                <w:lang w:val="en-US" w:eastAsia="zh-CN" w:bidi="ar-SA"/>
              </w:rPr>
              <w:t>2000国家大地坐标系</w:t>
            </w:r>
          </w:p>
        </w:tc>
      </w:tr>
      <w:tr w14:paraId="7976782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blHeader/>
          <w:jc w:val="center"/>
        </w:trPr>
        <w:tc>
          <w:tcPr>
            <w:tcW w:w="746" w:type="pct"/>
            <w:vMerge w:val="continue"/>
            <w:tcBorders>
              <w:tl2br w:val="nil"/>
              <w:tr2bl w:val="nil"/>
            </w:tcBorders>
            <w:noWrap w:val="0"/>
            <w:vAlign w:val="center"/>
          </w:tcPr>
          <w:p w14:paraId="7005B8D2">
            <w:pPr>
              <w:keepNext w:val="0"/>
              <w:keepLines w:val="0"/>
              <w:pageBreakBefore w:val="0"/>
              <w:widowControl w:val="0"/>
              <w:suppressLineNumbers w:val="0"/>
              <w:suppressAutoHyphens/>
              <w:kinsoku/>
              <w:wordWrap/>
              <w:overflowPunct/>
              <w:topLinePunct w:val="0"/>
              <w:autoSpaceDE w:val="0"/>
              <w:autoSpaceDN/>
              <w:bidi w:val="0"/>
              <w:adjustRightInd/>
              <w:snapToGrid/>
              <w:spacing w:before="0" w:beforeAutospacing="0" w:after="0" w:afterAutospacing="0" w:line="320" w:lineRule="exact"/>
              <w:ind w:left="0" w:right="0"/>
              <w:jc w:val="center"/>
              <w:textAlignment w:val="auto"/>
              <w:rPr>
                <w:rFonts w:hint="eastAsia" w:ascii="宋体" w:hAnsi="宋体" w:eastAsia="宋体" w:cs="宋体"/>
                <w:b/>
                <w:bCs w:val="0"/>
                <w:color w:val="auto"/>
                <w:kern w:val="0"/>
                <w:sz w:val="21"/>
                <w:szCs w:val="21"/>
                <w:lang w:val="en-US" w:eastAsia="zh-CN" w:bidi="ar-SA"/>
              </w:rPr>
            </w:pPr>
          </w:p>
        </w:tc>
        <w:tc>
          <w:tcPr>
            <w:tcW w:w="2205" w:type="pct"/>
            <w:tcBorders>
              <w:tl2br w:val="nil"/>
              <w:tr2bl w:val="nil"/>
            </w:tcBorders>
            <w:noWrap w:val="0"/>
            <w:vAlign w:val="center"/>
          </w:tcPr>
          <w:p w14:paraId="4B56E926">
            <w:pPr>
              <w:keepNext w:val="0"/>
              <w:keepLines w:val="0"/>
              <w:pageBreakBefore w:val="0"/>
              <w:widowControl w:val="0"/>
              <w:suppressLineNumbers w:val="0"/>
              <w:suppressAutoHyphens/>
              <w:kinsoku/>
              <w:wordWrap/>
              <w:overflowPunct/>
              <w:topLinePunct w:val="0"/>
              <w:autoSpaceDE w:val="0"/>
              <w:autoSpaceDN/>
              <w:bidi w:val="0"/>
              <w:adjustRightInd/>
              <w:snapToGrid/>
              <w:spacing w:before="0" w:beforeAutospacing="0" w:after="0" w:afterAutospacing="0" w:line="320" w:lineRule="exact"/>
              <w:ind w:left="0" w:right="0"/>
              <w:jc w:val="center"/>
              <w:textAlignment w:val="auto"/>
              <w:rPr>
                <w:rFonts w:hint="eastAsia" w:ascii="宋体" w:hAnsi="宋体" w:eastAsia="宋体" w:cs="宋体"/>
                <w:b/>
                <w:bCs w:val="0"/>
                <w:color w:val="auto"/>
                <w:kern w:val="0"/>
                <w:sz w:val="21"/>
                <w:szCs w:val="21"/>
                <w:lang w:val="en-US" w:eastAsia="zh-CN" w:bidi="ar-SA"/>
              </w:rPr>
            </w:pPr>
            <w:r>
              <w:rPr>
                <w:rFonts w:hint="eastAsia" w:ascii="宋体" w:hAnsi="宋体" w:eastAsia="宋体" w:cs="宋体"/>
                <w:b/>
                <w:bCs w:val="0"/>
                <w:color w:val="auto"/>
                <w:kern w:val="0"/>
                <w:sz w:val="21"/>
                <w:szCs w:val="21"/>
                <w:lang w:val="en-US" w:eastAsia="zh-CN" w:bidi="ar-SA"/>
              </w:rPr>
              <w:t>X</w:t>
            </w:r>
          </w:p>
        </w:tc>
        <w:tc>
          <w:tcPr>
            <w:tcW w:w="2047" w:type="pct"/>
            <w:tcBorders>
              <w:tl2br w:val="nil"/>
              <w:tr2bl w:val="nil"/>
            </w:tcBorders>
            <w:noWrap w:val="0"/>
            <w:vAlign w:val="center"/>
          </w:tcPr>
          <w:p w14:paraId="7AA6305B">
            <w:pPr>
              <w:keepNext w:val="0"/>
              <w:keepLines w:val="0"/>
              <w:pageBreakBefore w:val="0"/>
              <w:widowControl w:val="0"/>
              <w:suppressLineNumbers w:val="0"/>
              <w:suppressAutoHyphens/>
              <w:kinsoku/>
              <w:wordWrap/>
              <w:overflowPunct/>
              <w:topLinePunct w:val="0"/>
              <w:autoSpaceDE w:val="0"/>
              <w:autoSpaceDN/>
              <w:bidi w:val="0"/>
              <w:adjustRightInd/>
              <w:snapToGrid/>
              <w:spacing w:before="0" w:beforeAutospacing="0" w:after="0" w:afterAutospacing="0" w:line="320" w:lineRule="exact"/>
              <w:ind w:left="0" w:right="0"/>
              <w:jc w:val="center"/>
              <w:textAlignment w:val="auto"/>
              <w:rPr>
                <w:rFonts w:hint="eastAsia" w:ascii="宋体" w:hAnsi="宋体" w:eastAsia="宋体" w:cs="宋体"/>
                <w:b/>
                <w:bCs w:val="0"/>
                <w:color w:val="auto"/>
                <w:kern w:val="0"/>
                <w:sz w:val="21"/>
                <w:szCs w:val="21"/>
                <w:lang w:val="en-US" w:eastAsia="zh-CN" w:bidi="ar-SA"/>
              </w:rPr>
            </w:pPr>
            <w:r>
              <w:rPr>
                <w:rFonts w:hint="eastAsia" w:ascii="宋体" w:hAnsi="宋体" w:eastAsia="宋体" w:cs="宋体"/>
                <w:b/>
                <w:bCs w:val="0"/>
                <w:color w:val="auto"/>
                <w:kern w:val="0"/>
                <w:sz w:val="21"/>
                <w:szCs w:val="21"/>
                <w:lang w:val="en-US" w:eastAsia="zh-CN" w:bidi="ar-SA"/>
              </w:rPr>
              <w:t>Y</w:t>
            </w:r>
          </w:p>
        </w:tc>
      </w:tr>
      <w:tr w14:paraId="5620B66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746" w:type="pct"/>
            <w:tcBorders>
              <w:tl2br w:val="nil"/>
              <w:tr2bl w:val="nil"/>
            </w:tcBorders>
            <w:noWrap w:val="0"/>
            <w:vAlign w:val="center"/>
          </w:tcPr>
          <w:p w14:paraId="7CB86446">
            <w:pPr>
              <w:keepNext w:val="0"/>
              <w:keepLines w:val="0"/>
              <w:pageBreakBefore w:val="0"/>
              <w:widowControl w:val="0"/>
              <w:suppressLineNumbers w:val="0"/>
              <w:suppressAutoHyphens/>
              <w:kinsoku/>
              <w:wordWrap/>
              <w:overflowPunct/>
              <w:topLinePunct w:val="0"/>
              <w:autoSpaceDE w:val="0"/>
              <w:autoSpaceDN/>
              <w:bidi w:val="0"/>
              <w:adjustRightInd/>
              <w:snapToGrid/>
              <w:spacing w:before="0" w:beforeAutospacing="0" w:after="0" w:afterAutospacing="0" w:line="320" w:lineRule="exact"/>
              <w:ind w:left="0" w:right="0"/>
              <w:jc w:val="center"/>
              <w:textAlignment w:val="auto"/>
              <w:rPr>
                <w:rFonts w:hint="eastAsia" w:ascii="宋体" w:hAnsi="宋体" w:eastAsia="宋体" w:cs="宋体"/>
                <w:b/>
                <w:bCs/>
                <w:color w:val="auto"/>
                <w:kern w:val="0"/>
                <w:sz w:val="21"/>
                <w:szCs w:val="21"/>
                <w:lang w:val="en-US" w:eastAsia="zh-CN" w:bidi="ar-SA"/>
              </w:rPr>
            </w:pPr>
            <w:r>
              <w:rPr>
                <w:rFonts w:hint="eastAsia" w:ascii="宋体" w:hAnsi="宋体" w:eastAsia="宋体" w:cs="宋体"/>
                <w:bCs/>
                <w:color w:val="auto"/>
                <w:kern w:val="0"/>
                <w:sz w:val="21"/>
                <w:szCs w:val="21"/>
                <w:lang w:val="en-US" w:eastAsia="zh-CN" w:bidi="ar-SA"/>
              </w:rPr>
              <w:t>1</w:t>
            </w:r>
          </w:p>
        </w:tc>
        <w:tc>
          <w:tcPr>
            <w:tcW w:w="2205" w:type="pct"/>
            <w:tcBorders>
              <w:tl2br w:val="nil"/>
              <w:tr2bl w:val="nil"/>
            </w:tcBorders>
            <w:noWrap w:val="0"/>
            <w:vAlign w:val="center"/>
          </w:tcPr>
          <w:p w14:paraId="58BAC31D">
            <w:pPr>
              <w:keepNext w:val="0"/>
              <w:keepLines w:val="0"/>
              <w:pageBreakBefore w:val="0"/>
              <w:widowControl w:val="0"/>
              <w:suppressLineNumbers w:val="0"/>
              <w:suppressAutoHyphens/>
              <w:kinsoku/>
              <w:wordWrap/>
              <w:overflowPunct/>
              <w:topLinePunct w:val="0"/>
              <w:autoSpaceDE w:val="0"/>
              <w:autoSpaceDN/>
              <w:bidi w:val="0"/>
              <w:adjustRightInd/>
              <w:snapToGrid/>
              <w:spacing w:before="0" w:beforeAutospacing="0" w:after="0" w:afterAutospacing="0" w:line="320" w:lineRule="exact"/>
              <w:ind w:left="0" w:right="0"/>
              <w:jc w:val="center"/>
              <w:textAlignment w:val="auto"/>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3776768.04</w:t>
            </w:r>
          </w:p>
        </w:tc>
        <w:tc>
          <w:tcPr>
            <w:tcW w:w="2047" w:type="pct"/>
            <w:tcBorders>
              <w:tl2br w:val="nil"/>
              <w:tr2bl w:val="nil"/>
            </w:tcBorders>
            <w:noWrap w:val="0"/>
            <w:vAlign w:val="center"/>
          </w:tcPr>
          <w:p w14:paraId="11FDB75F">
            <w:pPr>
              <w:keepNext w:val="0"/>
              <w:keepLines w:val="0"/>
              <w:pageBreakBefore w:val="0"/>
              <w:widowControl w:val="0"/>
              <w:suppressLineNumbers w:val="0"/>
              <w:suppressAutoHyphens/>
              <w:kinsoku/>
              <w:wordWrap/>
              <w:overflowPunct/>
              <w:topLinePunct w:val="0"/>
              <w:autoSpaceDE w:val="0"/>
              <w:autoSpaceDN/>
              <w:bidi w:val="0"/>
              <w:adjustRightInd/>
              <w:snapToGrid/>
              <w:spacing w:before="0" w:beforeAutospacing="0" w:after="0" w:afterAutospacing="0" w:line="320" w:lineRule="exact"/>
              <w:ind w:left="0" w:right="0"/>
              <w:jc w:val="center"/>
              <w:textAlignment w:val="auto"/>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36371697.04</w:t>
            </w:r>
          </w:p>
        </w:tc>
      </w:tr>
      <w:tr w14:paraId="680171D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746" w:type="pct"/>
            <w:tcBorders>
              <w:tl2br w:val="nil"/>
              <w:tr2bl w:val="nil"/>
            </w:tcBorders>
            <w:noWrap w:val="0"/>
            <w:vAlign w:val="center"/>
          </w:tcPr>
          <w:p w14:paraId="7CEC1B24">
            <w:pPr>
              <w:keepNext w:val="0"/>
              <w:keepLines w:val="0"/>
              <w:pageBreakBefore w:val="0"/>
              <w:widowControl w:val="0"/>
              <w:suppressLineNumbers w:val="0"/>
              <w:suppressAutoHyphens/>
              <w:kinsoku/>
              <w:wordWrap/>
              <w:overflowPunct/>
              <w:topLinePunct w:val="0"/>
              <w:autoSpaceDE w:val="0"/>
              <w:autoSpaceDN/>
              <w:bidi w:val="0"/>
              <w:adjustRightInd/>
              <w:snapToGrid/>
              <w:spacing w:before="0" w:beforeAutospacing="0" w:after="0" w:afterAutospacing="0" w:line="320" w:lineRule="exact"/>
              <w:ind w:left="0" w:right="0"/>
              <w:jc w:val="center"/>
              <w:textAlignment w:val="auto"/>
              <w:rPr>
                <w:rFonts w:hint="eastAsia" w:ascii="宋体" w:hAnsi="宋体" w:eastAsia="宋体" w:cs="宋体"/>
                <w:b/>
                <w:bCs/>
                <w:color w:val="auto"/>
                <w:kern w:val="0"/>
                <w:sz w:val="21"/>
                <w:szCs w:val="21"/>
                <w:lang w:val="en-US" w:eastAsia="zh-CN" w:bidi="ar-SA"/>
              </w:rPr>
            </w:pPr>
            <w:r>
              <w:rPr>
                <w:rFonts w:hint="eastAsia" w:ascii="宋体" w:hAnsi="宋体" w:eastAsia="宋体" w:cs="宋体"/>
                <w:bCs/>
                <w:color w:val="auto"/>
                <w:kern w:val="0"/>
                <w:sz w:val="21"/>
                <w:szCs w:val="21"/>
                <w:lang w:val="en-US" w:eastAsia="zh-CN" w:bidi="ar-SA"/>
              </w:rPr>
              <w:t>2</w:t>
            </w:r>
          </w:p>
        </w:tc>
        <w:tc>
          <w:tcPr>
            <w:tcW w:w="2205" w:type="pct"/>
            <w:tcBorders>
              <w:tl2br w:val="nil"/>
              <w:tr2bl w:val="nil"/>
            </w:tcBorders>
            <w:noWrap w:val="0"/>
            <w:vAlign w:val="center"/>
          </w:tcPr>
          <w:p w14:paraId="22C9A22B">
            <w:pPr>
              <w:keepNext w:val="0"/>
              <w:keepLines w:val="0"/>
              <w:pageBreakBefore w:val="0"/>
              <w:widowControl w:val="0"/>
              <w:suppressLineNumbers w:val="0"/>
              <w:suppressAutoHyphens/>
              <w:kinsoku/>
              <w:wordWrap/>
              <w:overflowPunct/>
              <w:topLinePunct w:val="0"/>
              <w:autoSpaceDE w:val="0"/>
              <w:autoSpaceDN/>
              <w:bidi w:val="0"/>
              <w:adjustRightInd/>
              <w:snapToGrid/>
              <w:spacing w:before="0" w:beforeAutospacing="0" w:after="0" w:afterAutospacing="0" w:line="320" w:lineRule="exact"/>
              <w:ind w:left="0" w:right="0"/>
              <w:jc w:val="center"/>
              <w:textAlignment w:val="auto"/>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3776766.33</w:t>
            </w:r>
          </w:p>
        </w:tc>
        <w:tc>
          <w:tcPr>
            <w:tcW w:w="2047" w:type="pct"/>
            <w:tcBorders>
              <w:tl2br w:val="nil"/>
              <w:tr2bl w:val="nil"/>
            </w:tcBorders>
            <w:noWrap w:val="0"/>
            <w:vAlign w:val="center"/>
          </w:tcPr>
          <w:p w14:paraId="7512247B">
            <w:pPr>
              <w:keepNext w:val="0"/>
              <w:keepLines w:val="0"/>
              <w:pageBreakBefore w:val="0"/>
              <w:widowControl w:val="0"/>
              <w:suppressLineNumbers w:val="0"/>
              <w:suppressAutoHyphens/>
              <w:kinsoku/>
              <w:wordWrap/>
              <w:overflowPunct/>
              <w:topLinePunct w:val="0"/>
              <w:autoSpaceDE w:val="0"/>
              <w:autoSpaceDN/>
              <w:bidi w:val="0"/>
              <w:adjustRightInd/>
              <w:snapToGrid/>
              <w:spacing w:before="0" w:beforeAutospacing="0" w:after="0" w:afterAutospacing="0" w:line="320" w:lineRule="exact"/>
              <w:ind w:left="0" w:right="0"/>
              <w:jc w:val="center"/>
              <w:textAlignment w:val="auto"/>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36372470.04</w:t>
            </w:r>
          </w:p>
        </w:tc>
      </w:tr>
      <w:tr w14:paraId="1089512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746" w:type="pct"/>
            <w:tcBorders>
              <w:tl2br w:val="nil"/>
              <w:tr2bl w:val="nil"/>
            </w:tcBorders>
            <w:noWrap w:val="0"/>
            <w:vAlign w:val="center"/>
          </w:tcPr>
          <w:p w14:paraId="2988BD01">
            <w:pPr>
              <w:keepNext w:val="0"/>
              <w:keepLines w:val="0"/>
              <w:pageBreakBefore w:val="0"/>
              <w:widowControl w:val="0"/>
              <w:suppressLineNumbers w:val="0"/>
              <w:suppressAutoHyphens/>
              <w:kinsoku/>
              <w:wordWrap/>
              <w:overflowPunct/>
              <w:topLinePunct w:val="0"/>
              <w:autoSpaceDE w:val="0"/>
              <w:autoSpaceDN/>
              <w:bidi w:val="0"/>
              <w:adjustRightInd/>
              <w:snapToGrid/>
              <w:spacing w:before="0" w:beforeAutospacing="0" w:after="0" w:afterAutospacing="0" w:line="320" w:lineRule="exact"/>
              <w:ind w:left="0" w:right="0"/>
              <w:jc w:val="center"/>
              <w:textAlignment w:val="auto"/>
              <w:rPr>
                <w:rFonts w:hint="eastAsia" w:ascii="宋体" w:hAnsi="宋体" w:eastAsia="宋体" w:cs="宋体"/>
                <w:b/>
                <w:bCs/>
                <w:color w:val="auto"/>
                <w:kern w:val="0"/>
                <w:sz w:val="21"/>
                <w:szCs w:val="21"/>
                <w:lang w:val="en-US" w:eastAsia="zh-CN" w:bidi="ar-SA"/>
              </w:rPr>
            </w:pPr>
            <w:r>
              <w:rPr>
                <w:rFonts w:hint="eastAsia" w:ascii="宋体" w:hAnsi="宋体" w:eastAsia="宋体" w:cs="宋体"/>
                <w:bCs/>
                <w:color w:val="auto"/>
                <w:kern w:val="0"/>
                <w:sz w:val="21"/>
                <w:szCs w:val="21"/>
                <w:lang w:val="en-US" w:eastAsia="zh-CN" w:bidi="ar-SA"/>
              </w:rPr>
              <w:t>3</w:t>
            </w:r>
          </w:p>
        </w:tc>
        <w:tc>
          <w:tcPr>
            <w:tcW w:w="2205" w:type="pct"/>
            <w:tcBorders>
              <w:tl2br w:val="nil"/>
              <w:tr2bl w:val="nil"/>
            </w:tcBorders>
            <w:noWrap w:val="0"/>
            <w:vAlign w:val="center"/>
          </w:tcPr>
          <w:p w14:paraId="56E421BB">
            <w:pPr>
              <w:keepNext w:val="0"/>
              <w:keepLines w:val="0"/>
              <w:pageBreakBefore w:val="0"/>
              <w:widowControl w:val="0"/>
              <w:suppressLineNumbers w:val="0"/>
              <w:suppressAutoHyphens/>
              <w:kinsoku/>
              <w:wordWrap/>
              <w:overflowPunct/>
              <w:topLinePunct w:val="0"/>
              <w:autoSpaceDE w:val="0"/>
              <w:autoSpaceDN/>
              <w:bidi w:val="0"/>
              <w:adjustRightInd/>
              <w:snapToGrid/>
              <w:spacing w:before="0" w:beforeAutospacing="0" w:after="0" w:afterAutospacing="0" w:line="320" w:lineRule="exact"/>
              <w:ind w:left="0" w:right="0"/>
              <w:jc w:val="center"/>
              <w:textAlignment w:val="auto"/>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3776090.92</w:t>
            </w:r>
          </w:p>
        </w:tc>
        <w:tc>
          <w:tcPr>
            <w:tcW w:w="2047" w:type="pct"/>
            <w:tcBorders>
              <w:tl2br w:val="nil"/>
              <w:tr2bl w:val="nil"/>
            </w:tcBorders>
            <w:noWrap w:val="0"/>
            <w:vAlign w:val="center"/>
          </w:tcPr>
          <w:p w14:paraId="5266D3FE">
            <w:pPr>
              <w:keepNext w:val="0"/>
              <w:keepLines w:val="0"/>
              <w:pageBreakBefore w:val="0"/>
              <w:widowControl w:val="0"/>
              <w:suppressLineNumbers w:val="0"/>
              <w:suppressAutoHyphens/>
              <w:kinsoku/>
              <w:wordWrap/>
              <w:overflowPunct/>
              <w:topLinePunct w:val="0"/>
              <w:autoSpaceDE w:val="0"/>
              <w:autoSpaceDN/>
              <w:bidi w:val="0"/>
              <w:adjustRightInd/>
              <w:snapToGrid/>
              <w:spacing w:before="0" w:beforeAutospacing="0" w:after="0" w:afterAutospacing="0" w:line="320" w:lineRule="exact"/>
              <w:ind w:left="0" w:right="0"/>
              <w:jc w:val="center"/>
              <w:textAlignment w:val="auto"/>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36372143.95</w:t>
            </w:r>
          </w:p>
        </w:tc>
      </w:tr>
      <w:tr w14:paraId="4DB0352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746" w:type="pct"/>
            <w:tcBorders>
              <w:tl2br w:val="nil"/>
              <w:tr2bl w:val="nil"/>
            </w:tcBorders>
            <w:noWrap w:val="0"/>
            <w:vAlign w:val="center"/>
          </w:tcPr>
          <w:p w14:paraId="190FAEF8">
            <w:pPr>
              <w:keepNext w:val="0"/>
              <w:keepLines w:val="0"/>
              <w:pageBreakBefore w:val="0"/>
              <w:widowControl w:val="0"/>
              <w:suppressLineNumbers w:val="0"/>
              <w:suppressAutoHyphens/>
              <w:kinsoku/>
              <w:wordWrap/>
              <w:overflowPunct/>
              <w:topLinePunct w:val="0"/>
              <w:autoSpaceDE w:val="0"/>
              <w:autoSpaceDN/>
              <w:bidi w:val="0"/>
              <w:adjustRightInd/>
              <w:snapToGrid/>
              <w:spacing w:before="0" w:beforeAutospacing="0" w:after="0" w:afterAutospacing="0" w:line="320" w:lineRule="exact"/>
              <w:ind w:left="0" w:right="0"/>
              <w:jc w:val="center"/>
              <w:textAlignment w:val="auto"/>
              <w:rPr>
                <w:rFonts w:hint="eastAsia" w:ascii="宋体" w:hAnsi="宋体" w:eastAsia="宋体" w:cs="宋体"/>
                <w:b/>
                <w:bCs/>
                <w:color w:val="auto"/>
                <w:kern w:val="0"/>
                <w:sz w:val="21"/>
                <w:szCs w:val="21"/>
                <w:lang w:val="en-US" w:eastAsia="zh-CN" w:bidi="ar-SA"/>
              </w:rPr>
            </w:pPr>
            <w:r>
              <w:rPr>
                <w:rFonts w:hint="eastAsia" w:ascii="宋体" w:hAnsi="宋体" w:eastAsia="宋体" w:cs="宋体"/>
                <w:bCs/>
                <w:color w:val="auto"/>
                <w:kern w:val="0"/>
                <w:sz w:val="21"/>
                <w:szCs w:val="21"/>
                <w:lang w:val="en-US" w:eastAsia="zh-CN" w:bidi="ar-SA"/>
              </w:rPr>
              <w:t>4</w:t>
            </w:r>
          </w:p>
        </w:tc>
        <w:tc>
          <w:tcPr>
            <w:tcW w:w="2205" w:type="pct"/>
            <w:tcBorders>
              <w:tl2br w:val="nil"/>
              <w:tr2bl w:val="nil"/>
            </w:tcBorders>
            <w:noWrap w:val="0"/>
            <w:vAlign w:val="center"/>
          </w:tcPr>
          <w:p w14:paraId="185D32CD">
            <w:pPr>
              <w:keepNext w:val="0"/>
              <w:keepLines w:val="0"/>
              <w:pageBreakBefore w:val="0"/>
              <w:widowControl w:val="0"/>
              <w:suppressLineNumbers w:val="0"/>
              <w:suppressAutoHyphens/>
              <w:kinsoku/>
              <w:wordWrap/>
              <w:overflowPunct/>
              <w:topLinePunct w:val="0"/>
              <w:autoSpaceDE w:val="0"/>
              <w:autoSpaceDN/>
              <w:bidi w:val="0"/>
              <w:adjustRightInd/>
              <w:snapToGrid/>
              <w:spacing w:before="0" w:beforeAutospacing="0" w:after="0" w:afterAutospacing="0" w:line="320" w:lineRule="exact"/>
              <w:ind w:left="0" w:right="0"/>
              <w:jc w:val="center"/>
              <w:textAlignment w:val="auto"/>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3776162.76</w:t>
            </w:r>
          </w:p>
        </w:tc>
        <w:tc>
          <w:tcPr>
            <w:tcW w:w="2047" w:type="pct"/>
            <w:tcBorders>
              <w:tl2br w:val="nil"/>
              <w:tr2bl w:val="nil"/>
            </w:tcBorders>
            <w:noWrap w:val="0"/>
            <w:vAlign w:val="center"/>
          </w:tcPr>
          <w:p w14:paraId="3EB64E57">
            <w:pPr>
              <w:keepNext w:val="0"/>
              <w:keepLines w:val="0"/>
              <w:pageBreakBefore w:val="0"/>
              <w:widowControl w:val="0"/>
              <w:suppressLineNumbers w:val="0"/>
              <w:suppressAutoHyphens/>
              <w:kinsoku/>
              <w:wordWrap/>
              <w:overflowPunct/>
              <w:topLinePunct w:val="0"/>
              <w:autoSpaceDE w:val="0"/>
              <w:autoSpaceDN/>
              <w:bidi w:val="0"/>
              <w:adjustRightInd/>
              <w:snapToGrid/>
              <w:spacing w:before="0" w:beforeAutospacing="0" w:after="0" w:afterAutospacing="0" w:line="320" w:lineRule="exact"/>
              <w:ind w:left="0" w:right="0"/>
              <w:jc w:val="center"/>
              <w:textAlignment w:val="auto"/>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36371816.70</w:t>
            </w:r>
          </w:p>
        </w:tc>
      </w:tr>
      <w:tr w14:paraId="0C417AA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746" w:type="pct"/>
            <w:tcBorders>
              <w:tl2br w:val="nil"/>
              <w:tr2bl w:val="nil"/>
            </w:tcBorders>
            <w:noWrap w:val="0"/>
            <w:vAlign w:val="center"/>
          </w:tcPr>
          <w:p w14:paraId="3A168FD7">
            <w:pPr>
              <w:keepNext w:val="0"/>
              <w:keepLines w:val="0"/>
              <w:pageBreakBefore w:val="0"/>
              <w:widowControl w:val="0"/>
              <w:suppressLineNumbers w:val="0"/>
              <w:suppressAutoHyphens/>
              <w:kinsoku/>
              <w:wordWrap/>
              <w:overflowPunct/>
              <w:topLinePunct w:val="0"/>
              <w:autoSpaceDE w:val="0"/>
              <w:autoSpaceDN/>
              <w:bidi w:val="0"/>
              <w:adjustRightInd/>
              <w:snapToGrid/>
              <w:spacing w:before="0" w:beforeAutospacing="0" w:after="0" w:afterAutospacing="0" w:line="320" w:lineRule="exact"/>
              <w:ind w:left="0" w:right="0"/>
              <w:jc w:val="center"/>
              <w:textAlignment w:val="auto"/>
              <w:rPr>
                <w:rFonts w:hint="eastAsia" w:ascii="宋体" w:hAnsi="宋体" w:eastAsia="宋体" w:cs="宋体"/>
                <w:b/>
                <w:bCs/>
                <w:color w:val="auto"/>
                <w:kern w:val="0"/>
                <w:sz w:val="21"/>
                <w:szCs w:val="21"/>
                <w:lang w:val="en-US" w:eastAsia="zh-CN" w:bidi="ar-SA"/>
              </w:rPr>
            </w:pPr>
            <w:r>
              <w:rPr>
                <w:rFonts w:hint="eastAsia" w:ascii="宋体" w:hAnsi="宋体" w:eastAsia="宋体" w:cs="宋体"/>
                <w:bCs/>
                <w:color w:val="auto"/>
                <w:kern w:val="0"/>
                <w:sz w:val="21"/>
                <w:szCs w:val="21"/>
                <w:lang w:val="en-US" w:eastAsia="zh-CN" w:bidi="ar-SA"/>
              </w:rPr>
              <w:t>5</w:t>
            </w:r>
          </w:p>
        </w:tc>
        <w:tc>
          <w:tcPr>
            <w:tcW w:w="2205" w:type="pct"/>
            <w:tcBorders>
              <w:tl2br w:val="nil"/>
              <w:tr2bl w:val="nil"/>
            </w:tcBorders>
            <w:noWrap w:val="0"/>
            <w:vAlign w:val="center"/>
          </w:tcPr>
          <w:p w14:paraId="732AF98E">
            <w:pPr>
              <w:keepNext w:val="0"/>
              <w:keepLines w:val="0"/>
              <w:pageBreakBefore w:val="0"/>
              <w:widowControl w:val="0"/>
              <w:suppressLineNumbers w:val="0"/>
              <w:suppressAutoHyphens/>
              <w:kinsoku/>
              <w:wordWrap/>
              <w:overflowPunct/>
              <w:topLinePunct w:val="0"/>
              <w:autoSpaceDE w:val="0"/>
              <w:autoSpaceDN/>
              <w:bidi w:val="0"/>
              <w:adjustRightInd/>
              <w:snapToGrid/>
              <w:spacing w:before="0" w:beforeAutospacing="0" w:after="0" w:afterAutospacing="0" w:line="320" w:lineRule="exact"/>
              <w:ind w:left="0" w:right="0"/>
              <w:jc w:val="center"/>
              <w:textAlignment w:val="auto"/>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3776417.94</w:t>
            </w:r>
          </w:p>
        </w:tc>
        <w:tc>
          <w:tcPr>
            <w:tcW w:w="2047" w:type="pct"/>
            <w:tcBorders>
              <w:tl2br w:val="nil"/>
              <w:tr2bl w:val="nil"/>
            </w:tcBorders>
            <w:noWrap w:val="0"/>
            <w:vAlign w:val="center"/>
          </w:tcPr>
          <w:p w14:paraId="5FFF727F">
            <w:pPr>
              <w:keepNext w:val="0"/>
              <w:keepLines w:val="0"/>
              <w:pageBreakBefore w:val="0"/>
              <w:widowControl w:val="0"/>
              <w:suppressLineNumbers w:val="0"/>
              <w:suppressAutoHyphens/>
              <w:kinsoku/>
              <w:wordWrap/>
              <w:overflowPunct/>
              <w:topLinePunct w:val="0"/>
              <w:autoSpaceDE w:val="0"/>
              <w:autoSpaceDN/>
              <w:bidi w:val="0"/>
              <w:adjustRightInd/>
              <w:snapToGrid/>
              <w:spacing w:before="0" w:beforeAutospacing="0" w:after="0" w:afterAutospacing="0" w:line="320" w:lineRule="exact"/>
              <w:ind w:left="0" w:right="0"/>
              <w:jc w:val="center"/>
              <w:textAlignment w:val="auto"/>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36371822.84</w:t>
            </w:r>
          </w:p>
        </w:tc>
      </w:tr>
      <w:tr w14:paraId="2157CDE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746" w:type="pct"/>
            <w:tcBorders>
              <w:tl2br w:val="nil"/>
              <w:tr2bl w:val="nil"/>
            </w:tcBorders>
            <w:noWrap w:val="0"/>
            <w:vAlign w:val="center"/>
          </w:tcPr>
          <w:p w14:paraId="0575C7F1">
            <w:pPr>
              <w:keepNext w:val="0"/>
              <w:keepLines w:val="0"/>
              <w:pageBreakBefore w:val="0"/>
              <w:widowControl w:val="0"/>
              <w:suppressLineNumbers w:val="0"/>
              <w:suppressAutoHyphens/>
              <w:kinsoku/>
              <w:wordWrap/>
              <w:overflowPunct/>
              <w:topLinePunct w:val="0"/>
              <w:autoSpaceDE w:val="0"/>
              <w:autoSpaceDN/>
              <w:bidi w:val="0"/>
              <w:adjustRightInd/>
              <w:snapToGrid/>
              <w:spacing w:before="0" w:beforeAutospacing="0" w:after="0" w:afterAutospacing="0" w:line="320" w:lineRule="exact"/>
              <w:ind w:left="0" w:right="0"/>
              <w:jc w:val="center"/>
              <w:textAlignment w:val="auto"/>
              <w:rPr>
                <w:rFonts w:hint="eastAsia" w:ascii="宋体" w:hAnsi="宋体" w:eastAsia="宋体" w:cs="宋体"/>
                <w:b/>
                <w:bCs/>
                <w:color w:val="auto"/>
                <w:kern w:val="0"/>
                <w:sz w:val="21"/>
                <w:szCs w:val="21"/>
                <w:lang w:val="en-US" w:eastAsia="zh-CN" w:bidi="ar-SA"/>
              </w:rPr>
            </w:pPr>
            <w:r>
              <w:rPr>
                <w:rFonts w:hint="eastAsia" w:ascii="宋体" w:hAnsi="宋体" w:eastAsia="宋体" w:cs="宋体"/>
                <w:bCs/>
                <w:color w:val="auto"/>
                <w:kern w:val="0"/>
                <w:sz w:val="21"/>
                <w:szCs w:val="21"/>
                <w:lang w:val="en-US" w:eastAsia="zh-CN" w:bidi="ar-SA"/>
              </w:rPr>
              <w:t>6</w:t>
            </w:r>
          </w:p>
        </w:tc>
        <w:tc>
          <w:tcPr>
            <w:tcW w:w="2205" w:type="pct"/>
            <w:tcBorders>
              <w:tl2br w:val="nil"/>
              <w:tr2bl w:val="nil"/>
            </w:tcBorders>
            <w:noWrap w:val="0"/>
            <w:vAlign w:val="center"/>
          </w:tcPr>
          <w:p w14:paraId="5E9F30CC">
            <w:pPr>
              <w:keepNext w:val="0"/>
              <w:keepLines w:val="0"/>
              <w:pageBreakBefore w:val="0"/>
              <w:widowControl w:val="0"/>
              <w:suppressLineNumbers w:val="0"/>
              <w:suppressAutoHyphens/>
              <w:kinsoku/>
              <w:wordWrap/>
              <w:overflowPunct/>
              <w:topLinePunct w:val="0"/>
              <w:autoSpaceDE w:val="0"/>
              <w:autoSpaceDN/>
              <w:bidi w:val="0"/>
              <w:adjustRightInd/>
              <w:snapToGrid/>
              <w:spacing w:before="0" w:beforeAutospacing="0" w:after="0" w:afterAutospacing="0" w:line="320" w:lineRule="exact"/>
              <w:ind w:left="0" w:right="0"/>
              <w:jc w:val="center"/>
              <w:textAlignment w:val="auto"/>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3776621.53</w:t>
            </w:r>
          </w:p>
        </w:tc>
        <w:tc>
          <w:tcPr>
            <w:tcW w:w="2047" w:type="pct"/>
            <w:tcBorders>
              <w:tl2br w:val="nil"/>
              <w:tr2bl w:val="nil"/>
            </w:tcBorders>
            <w:noWrap w:val="0"/>
            <w:vAlign w:val="center"/>
          </w:tcPr>
          <w:p w14:paraId="37534735">
            <w:pPr>
              <w:keepNext w:val="0"/>
              <w:keepLines w:val="0"/>
              <w:pageBreakBefore w:val="0"/>
              <w:widowControl w:val="0"/>
              <w:suppressLineNumbers w:val="0"/>
              <w:suppressAutoHyphens/>
              <w:kinsoku/>
              <w:wordWrap/>
              <w:overflowPunct/>
              <w:topLinePunct w:val="0"/>
              <w:autoSpaceDE w:val="0"/>
              <w:autoSpaceDN/>
              <w:bidi w:val="0"/>
              <w:adjustRightInd/>
              <w:snapToGrid/>
              <w:spacing w:before="0" w:beforeAutospacing="0" w:after="0" w:afterAutospacing="0" w:line="320" w:lineRule="exact"/>
              <w:ind w:left="0" w:right="0"/>
              <w:jc w:val="center"/>
              <w:textAlignment w:val="auto"/>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36371717.88</w:t>
            </w:r>
          </w:p>
        </w:tc>
      </w:tr>
    </w:tbl>
    <w:p w14:paraId="10B261E2">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Times New Roman" w:hAnsi="Times New Roman" w:eastAsia="宋体" w:cs="Times New Roman"/>
          <w:bCs/>
          <w:color w:val="auto"/>
          <w:sz w:val="28"/>
          <w:szCs w:val="28"/>
          <w:lang w:eastAsia="zh-CN"/>
        </w:rPr>
      </w:pPr>
      <w:r>
        <w:rPr>
          <w:rFonts w:hint="default" w:ascii="Times New Roman" w:hAnsi="Times New Roman" w:cs="Times New Roman"/>
          <w:color w:val="auto"/>
          <w:sz w:val="28"/>
          <w:szCs w:val="28"/>
        </w:rPr>
        <w:t>2.垂直空间：</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lang w:val="en-US" w:eastAsia="zh-CN"/>
        </w:rPr>
        <w:t>采矿许可证</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lang w:val="en-US" w:eastAsia="zh-CN"/>
        </w:rPr>
        <w:t>核定的</w:t>
      </w:r>
      <w:r>
        <w:rPr>
          <w:rFonts w:hint="default" w:ascii="Times New Roman" w:hAnsi="Times New Roman" w:cs="Times New Roman"/>
          <w:color w:val="auto"/>
          <w:sz w:val="28"/>
          <w:szCs w:val="28"/>
        </w:rPr>
        <w:t>开采深度</w:t>
      </w:r>
      <w:r>
        <w:rPr>
          <w:rFonts w:hint="eastAsia" w:ascii="Times New Roman" w:hAnsi="Times New Roman" w:cs="Times New Roman"/>
          <w:color w:val="auto"/>
          <w:sz w:val="28"/>
          <w:szCs w:val="28"/>
          <w:lang w:eastAsia="zh-CN"/>
        </w:rPr>
        <w:t>：由</w:t>
      </w:r>
      <w:r>
        <w:rPr>
          <w:rFonts w:hint="eastAsia" w:ascii="Times New Roman" w:hAnsi="Times New Roman" w:cs="Times New Roman"/>
          <w:color w:val="auto"/>
          <w:sz w:val="28"/>
          <w:szCs w:val="28"/>
          <w:lang w:val="en-US" w:eastAsia="zh-CN"/>
        </w:rPr>
        <w:t>+1325</w:t>
      </w:r>
      <w:r>
        <w:rPr>
          <w:rFonts w:hint="default" w:ascii="Times New Roman" w:hAnsi="Times New Roman" w:cs="Times New Roman"/>
          <w:color w:val="auto"/>
          <w:sz w:val="28"/>
          <w:szCs w:val="28"/>
        </w:rPr>
        <w:t>m至</w:t>
      </w:r>
      <w:r>
        <w:rPr>
          <w:rFonts w:hint="eastAsia" w:ascii="Times New Roman" w:hAnsi="Times New Roman" w:cs="Times New Roman"/>
          <w:color w:val="auto"/>
          <w:sz w:val="28"/>
          <w:szCs w:val="28"/>
          <w:lang w:val="en-US" w:eastAsia="zh-CN"/>
        </w:rPr>
        <w:t>1230</w:t>
      </w:r>
      <w:r>
        <w:rPr>
          <w:rFonts w:hint="default" w:ascii="Times New Roman" w:hAnsi="Times New Roman" w:cs="Times New Roman"/>
          <w:color w:val="auto"/>
          <w:sz w:val="28"/>
          <w:szCs w:val="28"/>
        </w:rPr>
        <w:t>m</w:t>
      </w:r>
      <w:r>
        <w:rPr>
          <w:rFonts w:hint="eastAsia" w:ascii="Times New Roman" w:hAnsi="Times New Roman" w:cs="Times New Roman"/>
          <w:color w:val="auto"/>
          <w:sz w:val="28"/>
          <w:szCs w:val="28"/>
          <w:lang w:val="en-US" w:eastAsia="zh-CN"/>
        </w:rPr>
        <w:t>标高</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lang w:val="en-US" w:eastAsia="zh-CN"/>
        </w:rPr>
        <w:t>本次</w:t>
      </w:r>
      <w:r>
        <w:rPr>
          <w:rFonts w:hint="eastAsia" w:ascii="Times New Roman" w:hAnsi="Times New Roman" w:eastAsia="宋体" w:cs="Times New Roman"/>
          <w:bCs/>
          <w:color w:val="auto"/>
          <w:sz w:val="28"/>
          <w:szCs w:val="28"/>
          <w:lang w:eastAsia="zh-CN"/>
        </w:rPr>
        <w:t>工程</w:t>
      </w:r>
      <w:r>
        <w:rPr>
          <w:rFonts w:hint="eastAsia" w:ascii="Times New Roman" w:hAnsi="Times New Roman" w:cs="Times New Roman"/>
          <w:color w:val="auto"/>
          <w:sz w:val="28"/>
          <w:szCs w:val="28"/>
          <w:lang w:val="en-US" w:eastAsia="zh-CN"/>
        </w:rPr>
        <w:t>拟定</w:t>
      </w:r>
      <w:r>
        <w:rPr>
          <w:rFonts w:hint="eastAsia" w:ascii="Times New Roman" w:hAnsi="Times New Roman" w:eastAsia="宋体" w:cs="Times New Roman"/>
          <w:bCs/>
          <w:color w:val="auto"/>
          <w:sz w:val="28"/>
          <w:szCs w:val="28"/>
          <w:lang w:eastAsia="zh-CN"/>
        </w:rPr>
        <w:t>的开采</w:t>
      </w:r>
      <w:r>
        <w:rPr>
          <w:rFonts w:hint="eastAsia" w:ascii="Times New Roman" w:hAnsi="Times New Roman" w:eastAsia="宋体" w:cs="Times New Roman"/>
          <w:bCs/>
          <w:color w:val="auto"/>
          <w:sz w:val="28"/>
          <w:szCs w:val="28"/>
          <w:lang w:val="en-US" w:eastAsia="zh-CN"/>
        </w:rPr>
        <w:t>深度</w:t>
      </w:r>
      <w:r>
        <w:rPr>
          <w:rFonts w:hint="eastAsia" w:ascii="Times New Roman" w:hAnsi="Times New Roman" w:eastAsia="宋体" w:cs="Times New Roman"/>
          <w:bCs/>
          <w:color w:val="auto"/>
          <w:sz w:val="28"/>
          <w:szCs w:val="28"/>
          <w:lang w:eastAsia="zh-CN"/>
        </w:rPr>
        <w:t>为+</w:t>
      </w:r>
      <w:r>
        <w:rPr>
          <w:rFonts w:hint="eastAsia" w:ascii="Times New Roman" w:hAnsi="Times New Roman" w:cs="Times New Roman"/>
          <w:color w:val="auto"/>
          <w:sz w:val="28"/>
          <w:szCs w:val="28"/>
          <w:lang w:val="en-US" w:eastAsia="zh-CN"/>
        </w:rPr>
        <w:t>1325</w:t>
      </w:r>
      <w:r>
        <w:rPr>
          <w:rFonts w:hint="default" w:ascii="Times New Roman" w:hAnsi="Times New Roman" w:cs="Times New Roman"/>
          <w:color w:val="auto"/>
          <w:sz w:val="28"/>
          <w:szCs w:val="28"/>
        </w:rPr>
        <w:t>m</w:t>
      </w:r>
      <w:r>
        <w:rPr>
          <w:rFonts w:hint="eastAsia" w:ascii="Times New Roman" w:hAnsi="Times New Roman" w:eastAsia="宋体" w:cs="Times New Roman"/>
          <w:bCs/>
          <w:color w:val="auto"/>
          <w:sz w:val="28"/>
          <w:szCs w:val="28"/>
          <w:lang w:eastAsia="zh-CN"/>
        </w:rPr>
        <w:t>～</w:t>
      </w:r>
      <w:r>
        <w:rPr>
          <w:rFonts w:hint="eastAsia" w:ascii="Times New Roman" w:hAnsi="Times New Roman" w:cs="Times New Roman"/>
          <w:color w:val="auto"/>
          <w:sz w:val="28"/>
          <w:szCs w:val="28"/>
          <w:lang w:val="en-US" w:eastAsia="zh-CN"/>
        </w:rPr>
        <w:t>1230</w:t>
      </w:r>
      <w:r>
        <w:rPr>
          <w:rFonts w:hint="eastAsia" w:ascii="Times New Roman" w:hAnsi="Times New Roman" w:eastAsia="宋体" w:cs="Times New Roman"/>
          <w:bCs/>
          <w:color w:val="auto"/>
          <w:sz w:val="28"/>
          <w:szCs w:val="28"/>
          <w:lang w:eastAsia="zh-CN"/>
        </w:rPr>
        <w:t>m标高。</w:t>
      </w:r>
    </w:p>
    <w:p w14:paraId="4CBCEA6E">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color w:val="auto"/>
        </w:rPr>
      </w:pPr>
      <w:r>
        <w:rPr>
          <w:rFonts w:hint="default" w:ascii="Times New Roman" w:hAnsi="Times New Roman" w:cs="Times New Roman"/>
          <w:color w:val="auto"/>
          <w:sz w:val="28"/>
          <w:szCs w:val="28"/>
        </w:rPr>
        <w:t>3.不包括危险化学品及职业卫生</w:t>
      </w:r>
      <w:r>
        <w:rPr>
          <w:rFonts w:hint="eastAsia" w:ascii="Times New Roman" w:hAnsi="Times New Roman" w:cs="Times New Roman"/>
          <w:color w:val="auto"/>
          <w:sz w:val="28"/>
          <w:szCs w:val="28"/>
          <w:lang w:val="en-US" w:eastAsia="zh-CN"/>
        </w:rPr>
        <w:t>评价</w:t>
      </w:r>
      <w:r>
        <w:rPr>
          <w:rFonts w:hint="default" w:ascii="Times New Roman" w:hAnsi="Times New Roman" w:cs="Times New Roman"/>
          <w:color w:val="auto"/>
          <w:sz w:val="28"/>
          <w:szCs w:val="28"/>
        </w:rPr>
        <w:t>、</w:t>
      </w:r>
      <w:r>
        <w:rPr>
          <w:rFonts w:hint="eastAsia" w:ascii="Times New Roman" w:hAnsi="Times New Roman" w:cs="Times New Roman"/>
          <w:color w:val="auto"/>
          <w:sz w:val="28"/>
          <w:szCs w:val="28"/>
          <w:lang w:val="en-US" w:eastAsia="zh-CN"/>
        </w:rPr>
        <w:t>水土保持、</w:t>
      </w:r>
      <w:r>
        <w:rPr>
          <w:rFonts w:hint="default" w:ascii="Times New Roman" w:hAnsi="Times New Roman" w:cs="Times New Roman"/>
          <w:color w:val="auto"/>
          <w:sz w:val="28"/>
          <w:szCs w:val="28"/>
        </w:rPr>
        <w:t>环境</w:t>
      </w:r>
      <w:r>
        <w:rPr>
          <w:rFonts w:hint="eastAsia" w:ascii="Times New Roman" w:hAnsi="Times New Roman" w:cs="Times New Roman"/>
          <w:color w:val="auto"/>
          <w:sz w:val="28"/>
          <w:szCs w:val="28"/>
          <w:lang w:val="en-US" w:eastAsia="zh-CN"/>
        </w:rPr>
        <w:t>影响评价、外部运输、爆破器材场外运输和存储、破碎系统、生活区地表排水、污水处理等</w:t>
      </w:r>
      <w:r>
        <w:rPr>
          <w:rFonts w:hint="eastAsia" w:ascii="Times New Roman" w:hAnsi="Times New Roman" w:cs="Times New Roman"/>
          <w:color w:val="auto"/>
          <w:sz w:val="28"/>
          <w:szCs w:val="28"/>
          <w:lang w:eastAsia="zh-CN"/>
        </w:rPr>
        <w:t>，但</w:t>
      </w:r>
      <w:r>
        <w:rPr>
          <w:rFonts w:hint="eastAsia" w:ascii="Times New Roman" w:hAnsi="Times New Roman" w:cs="Times New Roman"/>
          <w:color w:val="auto"/>
          <w:sz w:val="28"/>
          <w:szCs w:val="28"/>
          <w:lang w:val="en-US" w:eastAsia="zh-CN"/>
        </w:rPr>
        <w:t>本报告涉及的相关法律法规，企业仍应执行。</w:t>
      </w:r>
    </w:p>
    <w:p w14:paraId="48C0F430">
      <w:pPr>
        <w:pStyle w:val="3"/>
        <w:rPr>
          <w:color w:val="auto"/>
        </w:rPr>
      </w:pPr>
      <w:bookmarkStart w:id="14" w:name="_Toc338762951"/>
      <w:bookmarkStart w:id="15" w:name="_Toc26519"/>
      <w:r>
        <w:rPr>
          <w:rFonts w:hint="eastAsia"/>
          <w:color w:val="auto"/>
        </w:rPr>
        <w:t xml:space="preserve">1.2 </w:t>
      </w:r>
      <w:bookmarkEnd w:id="14"/>
      <w:bookmarkStart w:id="16" w:name="_Toc338762952"/>
      <w:r>
        <w:rPr>
          <w:rFonts w:hint="eastAsia"/>
          <w:color w:val="auto"/>
        </w:rPr>
        <w:t>评价依据</w:t>
      </w:r>
      <w:bookmarkEnd w:id="15"/>
      <w:bookmarkEnd w:id="16"/>
    </w:p>
    <w:p w14:paraId="75B78D20">
      <w:pPr>
        <w:pStyle w:val="4"/>
        <w:rPr>
          <w:color w:val="auto"/>
        </w:rPr>
      </w:pPr>
      <w:bookmarkStart w:id="17" w:name="_Toc200534903"/>
      <w:bookmarkStart w:id="18" w:name="_Toc180566300"/>
      <w:bookmarkStart w:id="19" w:name="_Toc186255051"/>
      <w:bookmarkStart w:id="20" w:name="_Toc181089193"/>
      <w:bookmarkStart w:id="21" w:name="_Toc205800635"/>
      <w:bookmarkStart w:id="22" w:name="_Toc205654385"/>
      <w:r>
        <w:rPr>
          <w:rFonts w:hint="eastAsia"/>
          <w:color w:val="auto"/>
        </w:rPr>
        <w:t>1.2.1 法律、法规</w:t>
      </w:r>
    </w:p>
    <w:p w14:paraId="7EAD5B5C">
      <w:pPr>
        <w:pStyle w:val="5"/>
        <w:keepNext/>
        <w:keepLines/>
        <w:pageBreakBefore w:val="0"/>
        <w:widowControl w:val="0"/>
        <w:kinsoku/>
        <w:wordWrap/>
        <w:overflowPunct/>
        <w:topLinePunct w:val="0"/>
        <w:autoSpaceDE/>
        <w:autoSpaceDN/>
        <w:bidi w:val="0"/>
        <w:adjustRightInd/>
        <w:snapToGrid/>
        <w:ind w:firstLine="560" w:firstLineChars="200"/>
        <w:textAlignment w:val="auto"/>
        <w:rPr>
          <w:color w:val="auto"/>
        </w:rPr>
      </w:pPr>
      <w:bookmarkStart w:id="23" w:name="_Toc223516688"/>
      <w:bookmarkStart w:id="24" w:name="_Toc192902601"/>
      <w:bookmarkStart w:id="25" w:name="_Toc200534900"/>
      <w:r>
        <w:rPr>
          <w:color w:val="auto"/>
        </w:rPr>
        <w:t>1.2.1.1法律</w:t>
      </w:r>
    </w:p>
    <w:p w14:paraId="42FA636E">
      <w:pPr>
        <w:ind w:firstLine="560"/>
        <w:rPr>
          <w:rFonts w:hint="eastAsia" w:eastAsia="宋体"/>
          <w:color w:val="auto"/>
          <w:lang w:eastAsia="zh-CN"/>
        </w:rPr>
      </w:pPr>
      <w:r>
        <w:rPr>
          <w:rFonts w:hint="eastAsia"/>
          <w:color w:val="auto"/>
        </w:rPr>
        <w:t>(1)《中华人民共和国矿山安全法》(中华人民共和国主席令第65号，2009年8月27日第十一届全国人民代表大会常务委员会第十次会议《关于修改部分法律的决定》修正，自2009年8月27日起施行)</w:t>
      </w:r>
      <w:r>
        <w:rPr>
          <w:rFonts w:hint="eastAsia"/>
          <w:color w:val="auto"/>
          <w:lang w:eastAsia="zh-CN"/>
        </w:rPr>
        <w:t>；</w:t>
      </w:r>
    </w:p>
    <w:p w14:paraId="6C521FDA">
      <w:pPr>
        <w:ind w:firstLine="560"/>
        <w:rPr>
          <w:rFonts w:hint="eastAsia" w:eastAsia="宋体"/>
          <w:color w:val="auto"/>
          <w:lang w:eastAsia="zh-CN"/>
        </w:rPr>
      </w:pPr>
      <w:r>
        <w:rPr>
          <w:rFonts w:hint="eastAsia"/>
          <w:color w:val="auto"/>
        </w:rPr>
        <w:t>(2)</w:t>
      </w:r>
      <w:r>
        <w:rPr>
          <w:color w:val="auto"/>
        </w:rPr>
        <w:t>《中华人民共和国安全生产法》(</w:t>
      </w:r>
      <w:r>
        <w:rPr>
          <w:rFonts w:hint="eastAsia" w:asciiTheme="minorEastAsia" w:hAnsiTheme="minorEastAsia" w:eastAsiaTheme="minorEastAsia" w:cstheme="minorEastAsia"/>
          <w:i w:val="0"/>
          <w:iCs w:val="0"/>
          <w:caps w:val="0"/>
          <w:color w:val="auto"/>
          <w:spacing w:val="0"/>
          <w:sz w:val="28"/>
          <w:szCs w:val="28"/>
          <w:shd w:val="clear" w:fill="FFFFFF"/>
        </w:rPr>
        <w:t>2021年6月10日第十三届全国人民代表大会常务委员会第二十九次会议《关于修改&lt;中华人民共和国安全生产法</w:t>
      </w:r>
      <w:r>
        <w:rPr>
          <w:rFonts w:hint="eastAsia" w:asciiTheme="minorEastAsia" w:hAnsiTheme="minorEastAsia" w:eastAsiaTheme="minorEastAsia" w:cstheme="minorEastAsia"/>
          <w:i w:val="0"/>
          <w:iCs w:val="0"/>
          <w:caps w:val="0"/>
          <w:color w:val="auto"/>
          <w:spacing w:val="0"/>
          <w:sz w:val="28"/>
          <w:szCs w:val="28"/>
          <w:shd w:val="clear" w:fill="FFFFFF"/>
          <w:lang w:eastAsia="zh-CN"/>
        </w:rPr>
        <w:t>＞</w:t>
      </w:r>
      <w:r>
        <w:rPr>
          <w:rFonts w:hint="eastAsia" w:asciiTheme="minorEastAsia" w:hAnsiTheme="minorEastAsia" w:eastAsiaTheme="minorEastAsia" w:cstheme="minorEastAsia"/>
          <w:i w:val="0"/>
          <w:iCs w:val="0"/>
          <w:caps w:val="0"/>
          <w:color w:val="auto"/>
          <w:spacing w:val="0"/>
          <w:sz w:val="28"/>
          <w:szCs w:val="28"/>
          <w:shd w:val="clear" w:fill="FFFFFF"/>
        </w:rPr>
        <w:t>的决定》第三次修正</w:t>
      </w:r>
      <w:r>
        <w:rPr>
          <w:rFonts w:hint="eastAsia" w:asciiTheme="minorEastAsia" w:hAnsiTheme="minorEastAsia" w:eastAsiaTheme="minorEastAsia" w:cstheme="minorEastAsia"/>
          <w:color w:val="auto"/>
          <w:sz w:val="28"/>
          <w:szCs w:val="28"/>
        </w:rPr>
        <w:t>，自2</w:t>
      </w:r>
      <w:r>
        <w:rPr>
          <w:rFonts w:hint="eastAsia"/>
          <w:color w:val="auto"/>
        </w:rPr>
        <w:t>0</w:t>
      </w:r>
      <w:r>
        <w:rPr>
          <w:rFonts w:hint="eastAsia"/>
          <w:color w:val="auto"/>
          <w:lang w:val="en-US" w:eastAsia="zh-CN"/>
        </w:rPr>
        <w:t>21</w:t>
      </w:r>
      <w:r>
        <w:rPr>
          <w:rFonts w:hint="eastAsia"/>
          <w:color w:val="auto"/>
        </w:rPr>
        <w:t>年</w:t>
      </w:r>
      <w:r>
        <w:rPr>
          <w:rFonts w:hint="eastAsia"/>
          <w:color w:val="auto"/>
          <w:lang w:val="en-US" w:eastAsia="zh-CN"/>
        </w:rPr>
        <w:t>9</w:t>
      </w:r>
      <w:r>
        <w:rPr>
          <w:rFonts w:hint="eastAsia"/>
          <w:color w:val="auto"/>
        </w:rPr>
        <w:t>月1日起施行</w:t>
      </w:r>
      <w:r>
        <w:rPr>
          <w:color w:val="auto"/>
        </w:rPr>
        <w:t>)</w:t>
      </w:r>
      <w:r>
        <w:rPr>
          <w:rFonts w:hint="eastAsia"/>
          <w:color w:val="auto"/>
          <w:lang w:eastAsia="zh-CN"/>
        </w:rPr>
        <w:t>；</w:t>
      </w:r>
    </w:p>
    <w:p w14:paraId="3F3772CC">
      <w:pPr>
        <w:ind w:firstLine="560"/>
        <w:rPr>
          <w:rFonts w:hint="eastAsia" w:eastAsia="宋体"/>
          <w:color w:val="auto"/>
          <w:lang w:eastAsia="zh-CN"/>
        </w:rPr>
      </w:pPr>
      <w:r>
        <w:rPr>
          <w:rFonts w:hint="eastAsia"/>
          <w:color w:val="auto"/>
        </w:rPr>
        <w:t>(3)《中华人民共和国防洪法》(中华人民共和国主席令第88号，根据2016年7月2日第十二届全国人民代表大会常务委员会第二十一次会议对《中华人民共和国防洪法》作出修改</w:t>
      </w:r>
      <w:r>
        <w:rPr>
          <w:rFonts w:hint="eastAsia"/>
          <w:color w:val="auto"/>
          <w:lang w:val="en-US" w:eastAsia="zh-CN"/>
        </w:rPr>
        <w:t>，自2016年7月2日起施行</w:t>
      </w:r>
      <w:r>
        <w:rPr>
          <w:rFonts w:hint="eastAsia"/>
          <w:color w:val="auto"/>
        </w:rPr>
        <w:t>)</w:t>
      </w:r>
      <w:r>
        <w:rPr>
          <w:rFonts w:hint="eastAsia"/>
          <w:color w:val="auto"/>
          <w:lang w:eastAsia="zh-CN"/>
        </w:rPr>
        <w:t>；</w:t>
      </w:r>
    </w:p>
    <w:p w14:paraId="742C0BDA">
      <w:pPr>
        <w:ind w:firstLine="560"/>
        <w:rPr>
          <w:rFonts w:hint="eastAsia" w:eastAsia="宋体"/>
          <w:color w:val="auto"/>
          <w:lang w:eastAsia="zh-CN"/>
        </w:rPr>
      </w:pPr>
      <w:r>
        <w:rPr>
          <w:rFonts w:hint="eastAsia"/>
          <w:color w:val="auto"/>
        </w:rPr>
        <w:t>(4)《</w:t>
      </w:r>
      <w:r>
        <w:rPr>
          <w:color w:val="auto"/>
        </w:rPr>
        <w:t>中华人民共和国职业病防治法</w:t>
      </w:r>
      <w:r>
        <w:rPr>
          <w:rFonts w:hint="eastAsia"/>
          <w:color w:val="auto"/>
        </w:rPr>
        <w:t>》</w:t>
      </w:r>
      <w:r>
        <w:rPr>
          <w:color w:val="auto"/>
        </w:rPr>
        <w:t>(中华人民共和国主席令第</w:t>
      </w:r>
      <w:r>
        <w:rPr>
          <w:rFonts w:hint="eastAsia"/>
          <w:color w:val="auto"/>
        </w:rPr>
        <w:t>52</w:t>
      </w:r>
      <w:r>
        <w:rPr>
          <w:color w:val="auto"/>
        </w:rPr>
        <w:t>号</w:t>
      </w:r>
      <w:r>
        <w:rPr>
          <w:rFonts w:hint="eastAsia"/>
          <w:color w:val="auto"/>
        </w:rPr>
        <w:t>，中华人民共和国主席令[2018]第24号修订，自</w:t>
      </w:r>
      <w:r>
        <w:rPr>
          <w:color w:val="auto"/>
        </w:rPr>
        <w:t>201</w:t>
      </w:r>
      <w:r>
        <w:rPr>
          <w:rFonts w:hint="eastAsia"/>
          <w:color w:val="auto"/>
        </w:rPr>
        <w:t>8</w:t>
      </w:r>
      <w:r>
        <w:rPr>
          <w:color w:val="auto"/>
        </w:rPr>
        <w:t>年</w:t>
      </w:r>
      <w:r>
        <w:rPr>
          <w:rFonts w:hint="eastAsia"/>
          <w:color w:val="auto"/>
        </w:rPr>
        <w:t>12</w:t>
      </w:r>
      <w:r>
        <w:rPr>
          <w:color w:val="auto"/>
        </w:rPr>
        <w:t>月</w:t>
      </w:r>
      <w:r>
        <w:rPr>
          <w:rFonts w:hint="eastAsia"/>
          <w:color w:val="auto"/>
          <w:lang w:val="en-US" w:eastAsia="zh-CN"/>
        </w:rPr>
        <w:t>2</w:t>
      </w:r>
      <w:r>
        <w:rPr>
          <w:rFonts w:hint="eastAsia"/>
          <w:color w:val="auto"/>
        </w:rPr>
        <w:t>9</w:t>
      </w:r>
      <w:r>
        <w:rPr>
          <w:color w:val="auto"/>
        </w:rPr>
        <w:t>日起施行)</w:t>
      </w:r>
      <w:r>
        <w:rPr>
          <w:rFonts w:hint="eastAsia"/>
          <w:color w:val="auto"/>
          <w:lang w:eastAsia="zh-CN"/>
        </w:rPr>
        <w:t>；</w:t>
      </w:r>
    </w:p>
    <w:p w14:paraId="7F6A5050">
      <w:pPr>
        <w:ind w:firstLine="560"/>
        <w:rPr>
          <w:rFonts w:hint="eastAsia" w:eastAsia="宋体"/>
          <w:color w:val="auto"/>
          <w:lang w:eastAsia="zh-CN"/>
        </w:rPr>
      </w:pPr>
      <w:r>
        <w:rPr>
          <w:rFonts w:hint="eastAsia"/>
          <w:color w:val="auto"/>
        </w:rPr>
        <w:t>(5)</w:t>
      </w:r>
      <w:r>
        <w:rPr>
          <w:color w:val="auto"/>
        </w:rPr>
        <w:t>《中华人民共和国劳动法》(1994年7月5日第八届全国人民代表大会常务委员会第八次会议通过，根据2018年12月29日第十三届全国人民代表大会常务委员会第七次会议《关于修改〈中华人民共和国劳动法〉等七部法律的决定》第二次修正</w:t>
      </w:r>
      <w:r>
        <w:rPr>
          <w:rFonts w:hint="default"/>
          <w:color w:val="auto"/>
          <w:lang w:val="en-US" w:eastAsia="zh-CN"/>
        </w:rPr>
        <w:t>，自</w:t>
      </w:r>
      <w:r>
        <w:rPr>
          <w:rFonts w:hint="eastAsia"/>
          <w:color w:val="auto"/>
          <w:lang w:val="en-US" w:eastAsia="zh-CN"/>
        </w:rPr>
        <w:t>2018</w:t>
      </w:r>
      <w:r>
        <w:rPr>
          <w:rFonts w:hint="default"/>
          <w:color w:val="auto"/>
          <w:lang w:val="en-US" w:eastAsia="zh-CN"/>
        </w:rPr>
        <w:t>年1</w:t>
      </w:r>
      <w:r>
        <w:rPr>
          <w:rFonts w:hint="eastAsia"/>
          <w:color w:val="auto"/>
          <w:lang w:val="en-US" w:eastAsia="zh-CN"/>
        </w:rPr>
        <w:t>2</w:t>
      </w:r>
      <w:r>
        <w:rPr>
          <w:rFonts w:hint="default"/>
          <w:color w:val="auto"/>
          <w:lang w:val="en-US" w:eastAsia="zh-CN"/>
        </w:rPr>
        <w:t>月</w:t>
      </w:r>
      <w:r>
        <w:rPr>
          <w:rFonts w:hint="eastAsia"/>
          <w:color w:val="auto"/>
          <w:lang w:val="en-US" w:eastAsia="zh-CN"/>
        </w:rPr>
        <w:t>29</w:t>
      </w:r>
      <w:r>
        <w:rPr>
          <w:rFonts w:hint="default"/>
          <w:color w:val="auto"/>
          <w:lang w:val="en-US" w:eastAsia="zh-CN"/>
        </w:rPr>
        <w:t>日起施行</w:t>
      </w:r>
      <w:r>
        <w:rPr>
          <w:color w:val="auto"/>
        </w:rPr>
        <w:t>)</w:t>
      </w:r>
      <w:r>
        <w:rPr>
          <w:rFonts w:hint="eastAsia"/>
          <w:color w:val="auto"/>
          <w:lang w:eastAsia="zh-CN"/>
        </w:rPr>
        <w:t>；</w:t>
      </w:r>
    </w:p>
    <w:p w14:paraId="644CC6A7">
      <w:pPr>
        <w:ind w:firstLine="560"/>
        <w:rPr>
          <w:rFonts w:hint="eastAsia"/>
          <w:color w:val="auto"/>
          <w:lang w:eastAsia="zh-CN"/>
        </w:rPr>
      </w:pPr>
      <w:r>
        <w:rPr>
          <w:rFonts w:hint="eastAsia"/>
          <w:color w:val="auto"/>
        </w:rPr>
        <w:t>(6)《</w:t>
      </w:r>
      <w:r>
        <w:rPr>
          <w:color w:val="auto"/>
        </w:rPr>
        <w:t>中华人民共和国消防法</w:t>
      </w:r>
      <w:r>
        <w:rPr>
          <w:rFonts w:hint="eastAsia"/>
          <w:color w:val="auto"/>
        </w:rPr>
        <w:t>》</w:t>
      </w:r>
      <w:r>
        <w:rPr>
          <w:color w:val="auto"/>
        </w:rPr>
        <w:t>(</w:t>
      </w:r>
      <w:r>
        <w:rPr>
          <w:rFonts w:hint="eastAsia" w:ascii="宋体" w:hAnsi="宋体"/>
          <w:color w:val="auto"/>
          <w:szCs w:val="28"/>
        </w:rPr>
        <w:t>中华人民共和国主席令[2021]第81号修订，自2021年4月29日起施行</w:t>
      </w:r>
      <w:r>
        <w:rPr>
          <w:color w:val="auto"/>
        </w:rPr>
        <w:t>)</w:t>
      </w:r>
      <w:r>
        <w:rPr>
          <w:rFonts w:hint="eastAsia"/>
          <w:color w:val="auto"/>
          <w:lang w:eastAsia="zh-CN"/>
        </w:rPr>
        <w:t>。</w:t>
      </w:r>
    </w:p>
    <w:p w14:paraId="7F0B8FF1">
      <w:pPr>
        <w:ind w:firstLine="560"/>
        <w:rPr>
          <w:rFonts w:hint="eastAsia"/>
          <w:color w:val="auto"/>
          <w:lang w:eastAsia="zh-CN"/>
        </w:rPr>
      </w:pPr>
      <w:r>
        <w:rPr>
          <w:rFonts w:hint="eastAsia"/>
          <w:color w:val="auto"/>
        </w:rPr>
        <w:t>(</w:t>
      </w:r>
      <w:r>
        <w:rPr>
          <w:rFonts w:hint="eastAsia"/>
          <w:color w:val="auto"/>
          <w:lang w:val="en-US" w:eastAsia="zh-CN"/>
        </w:rPr>
        <w:t>7</w:t>
      </w:r>
      <w:r>
        <w:rPr>
          <w:rFonts w:hint="eastAsia"/>
          <w:color w:val="auto"/>
        </w:rPr>
        <w:t>)</w:t>
      </w:r>
      <w:r>
        <w:rPr>
          <w:rFonts w:hint="eastAsia"/>
          <w:color w:val="auto"/>
          <w:lang w:eastAsia="zh-CN"/>
        </w:rPr>
        <w:t>《中华人民共和国突发事件应对法》（主席令〔2007〕69号发布，经主席令〔2024〕25号修正，自2024年11月1日起施行）。</w:t>
      </w:r>
    </w:p>
    <w:p w14:paraId="30E238E8">
      <w:pPr>
        <w:ind w:firstLine="560"/>
        <w:rPr>
          <w:rFonts w:hint="eastAsia"/>
          <w:color w:val="auto"/>
          <w:lang w:eastAsia="zh-CN"/>
        </w:rPr>
      </w:pPr>
      <w:r>
        <w:rPr>
          <w:rFonts w:hint="eastAsia"/>
          <w:color w:val="auto"/>
        </w:rPr>
        <w:t>(</w:t>
      </w:r>
      <w:r>
        <w:rPr>
          <w:rFonts w:hint="eastAsia"/>
          <w:color w:val="auto"/>
          <w:lang w:val="en-US" w:eastAsia="zh-CN"/>
        </w:rPr>
        <w:t>8</w:t>
      </w:r>
      <w:r>
        <w:rPr>
          <w:rFonts w:hint="eastAsia"/>
          <w:color w:val="auto"/>
        </w:rPr>
        <w:t>)</w:t>
      </w:r>
      <w:r>
        <w:rPr>
          <w:rFonts w:hint="eastAsia"/>
          <w:color w:val="auto"/>
          <w:lang w:eastAsia="zh-CN"/>
        </w:rPr>
        <w:t>《中华人民共和国特种设备安全法》（主席令〔2013〕4号发布，自2014年1月1日起实施）。</w:t>
      </w:r>
    </w:p>
    <w:p w14:paraId="603ECA10">
      <w:pPr>
        <w:pStyle w:val="5"/>
        <w:keepNext/>
        <w:keepLines/>
        <w:pageBreakBefore w:val="0"/>
        <w:widowControl w:val="0"/>
        <w:kinsoku/>
        <w:wordWrap/>
        <w:overflowPunct/>
        <w:topLinePunct w:val="0"/>
        <w:autoSpaceDE/>
        <w:autoSpaceDN/>
        <w:bidi w:val="0"/>
        <w:adjustRightInd/>
        <w:snapToGrid/>
        <w:ind w:firstLine="560" w:firstLineChars="200"/>
        <w:textAlignment w:val="auto"/>
        <w:rPr>
          <w:color w:val="auto"/>
        </w:rPr>
      </w:pPr>
      <w:r>
        <w:rPr>
          <w:color w:val="auto"/>
        </w:rPr>
        <w:t>1.2.1.2法规</w:t>
      </w:r>
    </w:p>
    <w:p w14:paraId="25E89366">
      <w:pPr>
        <w:ind w:firstLine="560"/>
        <w:rPr>
          <w:rFonts w:hint="eastAsia" w:eastAsia="宋体"/>
          <w:color w:val="auto"/>
          <w:lang w:eastAsia="zh-CN"/>
        </w:rPr>
      </w:pPr>
      <w:r>
        <w:rPr>
          <w:rFonts w:hint="eastAsia"/>
          <w:color w:val="auto"/>
        </w:rPr>
        <w:t>(1)《中华人民共和国矿山安全法实施条例》(中华人民共和国劳动部令第4号，自1996年10月30日施行)</w:t>
      </w:r>
      <w:r>
        <w:rPr>
          <w:rFonts w:hint="eastAsia"/>
          <w:color w:val="auto"/>
          <w:lang w:eastAsia="zh-CN"/>
        </w:rPr>
        <w:t>；</w:t>
      </w:r>
    </w:p>
    <w:p w14:paraId="558FA880">
      <w:pPr>
        <w:ind w:firstLine="560"/>
        <w:rPr>
          <w:rFonts w:hint="eastAsia" w:eastAsia="宋体"/>
          <w:color w:val="auto"/>
          <w:lang w:eastAsia="zh-CN"/>
        </w:rPr>
      </w:pPr>
      <w:r>
        <w:rPr>
          <w:rFonts w:hint="eastAsia"/>
          <w:color w:val="auto"/>
        </w:rPr>
        <w:t>(2)《地质灾害防治条例》(中华人民共和国国务院令第394号，自2004年3月</w:t>
      </w:r>
      <w:r>
        <w:rPr>
          <w:rFonts w:hint="eastAsia"/>
          <w:color w:val="auto"/>
          <w:lang w:val="en-US" w:eastAsia="zh-CN"/>
        </w:rPr>
        <w:t>1</w:t>
      </w:r>
      <w:r>
        <w:rPr>
          <w:rFonts w:hint="eastAsia"/>
          <w:color w:val="auto"/>
        </w:rPr>
        <w:t>日起施行)</w:t>
      </w:r>
      <w:r>
        <w:rPr>
          <w:rFonts w:hint="eastAsia"/>
          <w:color w:val="auto"/>
          <w:lang w:eastAsia="zh-CN"/>
        </w:rPr>
        <w:t>；</w:t>
      </w:r>
    </w:p>
    <w:p w14:paraId="5EAF2A36">
      <w:pPr>
        <w:ind w:firstLine="560"/>
        <w:rPr>
          <w:rFonts w:hint="eastAsia" w:eastAsia="宋体"/>
          <w:color w:val="auto"/>
          <w:lang w:eastAsia="zh-CN"/>
        </w:rPr>
      </w:pPr>
      <w:r>
        <w:rPr>
          <w:rFonts w:hint="eastAsia"/>
          <w:color w:val="auto"/>
        </w:rPr>
        <w:t>(3)《特种设备安全监察条例》(中华人民共和国国务院令第373号，第549号修订，自2009年5月1日起施行)</w:t>
      </w:r>
      <w:r>
        <w:rPr>
          <w:rFonts w:hint="eastAsia"/>
          <w:color w:val="auto"/>
          <w:lang w:eastAsia="zh-CN"/>
        </w:rPr>
        <w:t>；</w:t>
      </w:r>
    </w:p>
    <w:p w14:paraId="6B486CFB">
      <w:pPr>
        <w:ind w:firstLine="560"/>
        <w:rPr>
          <w:rFonts w:hint="eastAsia" w:eastAsia="宋体"/>
          <w:color w:val="auto"/>
          <w:lang w:eastAsia="zh-CN"/>
        </w:rPr>
      </w:pPr>
      <w:r>
        <w:rPr>
          <w:rFonts w:hint="eastAsia"/>
          <w:color w:val="auto"/>
        </w:rPr>
        <w:t>(4)《工伤保险条例》(中华人民共和国国务院令第375号发布，第586号修订，自2011年1月1日起施行)</w:t>
      </w:r>
      <w:r>
        <w:rPr>
          <w:rFonts w:hint="eastAsia"/>
          <w:color w:val="auto"/>
          <w:lang w:eastAsia="zh-CN"/>
        </w:rPr>
        <w:t>；</w:t>
      </w:r>
    </w:p>
    <w:p w14:paraId="3FD1002A">
      <w:pPr>
        <w:ind w:firstLine="560"/>
        <w:rPr>
          <w:rFonts w:hint="eastAsia" w:eastAsia="宋体"/>
          <w:color w:val="auto"/>
          <w:lang w:eastAsia="zh-CN"/>
        </w:rPr>
      </w:pPr>
      <w:r>
        <w:rPr>
          <w:rFonts w:hint="eastAsia"/>
          <w:color w:val="auto"/>
        </w:rPr>
        <w:t>(5)《安全生产许可证条例》(中华人民共和国国务院令第397号，《国务院关于修改部分行政法规的决定》中华人民共和国国务院令第653号修订，2014年7月29日起实施)</w:t>
      </w:r>
      <w:r>
        <w:rPr>
          <w:rFonts w:hint="eastAsia"/>
          <w:color w:val="auto"/>
          <w:lang w:eastAsia="zh-CN"/>
        </w:rPr>
        <w:t>；</w:t>
      </w:r>
    </w:p>
    <w:p w14:paraId="3C409F89">
      <w:pPr>
        <w:ind w:firstLine="560"/>
        <w:rPr>
          <w:rFonts w:hint="eastAsia" w:eastAsia="宋体"/>
          <w:color w:val="auto"/>
          <w:lang w:eastAsia="zh-CN"/>
        </w:rPr>
      </w:pPr>
      <w:r>
        <w:rPr>
          <w:rFonts w:hint="eastAsia"/>
          <w:color w:val="auto"/>
        </w:rPr>
        <w:t>(6)《民用爆炸物品安全管理条例》(中华人民共和国国务院令第466号，中华人民共和国国务院令第653号修订，2014年7月29日起施行)</w:t>
      </w:r>
      <w:r>
        <w:rPr>
          <w:rFonts w:hint="eastAsia"/>
          <w:color w:val="auto"/>
          <w:lang w:eastAsia="zh-CN"/>
        </w:rPr>
        <w:t>；</w:t>
      </w:r>
    </w:p>
    <w:p w14:paraId="16C1DAB6">
      <w:pPr>
        <w:ind w:firstLine="560"/>
        <w:rPr>
          <w:rFonts w:hint="eastAsia" w:eastAsia="宋体"/>
          <w:color w:val="auto"/>
          <w:lang w:eastAsia="zh-CN"/>
        </w:rPr>
      </w:pPr>
      <w:r>
        <w:rPr>
          <w:rFonts w:hint="eastAsia"/>
          <w:color w:val="auto"/>
        </w:rPr>
        <w:t>(</w:t>
      </w:r>
      <w:r>
        <w:rPr>
          <w:rFonts w:hint="eastAsia"/>
          <w:color w:val="auto"/>
          <w:lang w:val="en-US" w:eastAsia="zh-CN"/>
        </w:rPr>
        <w:t>7</w:t>
      </w:r>
      <w:r>
        <w:rPr>
          <w:rFonts w:hint="eastAsia"/>
          <w:color w:val="auto"/>
        </w:rPr>
        <w:t>)《生产安全事故报告和调查处理条例》(中华人民共和国国务院令第493号，</w:t>
      </w:r>
      <w:r>
        <w:rPr>
          <w:rFonts w:hint="eastAsia"/>
          <w:color w:val="auto"/>
          <w:lang w:val="de-DE"/>
        </w:rPr>
        <w:t>国家安全监管总局关于修改&lt;生产安全事故报告和调查处理条例</w:t>
      </w:r>
      <w:r>
        <w:rPr>
          <w:rFonts w:hint="eastAsia"/>
          <w:color w:val="auto"/>
          <w:lang w:val="de-DE" w:eastAsia="zh-CN"/>
        </w:rPr>
        <w:t>＞</w:t>
      </w:r>
      <w:r>
        <w:rPr>
          <w:rFonts w:hint="eastAsia"/>
          <w:color w:val="auto"/>
          <w:lang w:val="de-DE"/>
        </w:rPr>
        <w:t>罚款处罚暂行规定等四部规章的决定</w:t>
      </w:r>
      <w:r>
        <w:rPr>
          <w:rFonts w:hint="eastAsia"/>
          <w:color w:val="auto"/>
          <w:lang w:val="de-DE" w:eastAsia="zh-CN"/>
        </w:rPr>
        <w:t>＞</w:t>
      </w:r>
      <w:r>
        <w:rPr>
          <w:rFonts w:hint="eastAsia"/>
          <w:color w:val="auto"/>
          <w:lang w:val="de-DE"/>
        </w:rPr>
        <w:t>国家安全生产监督管理总局令第77号，2015年5月1日起实施</w:t>
      </w:r>
      <w:r>
        <w:rPr>
          <w:rFonts w:hint="eastAsia"/>
          <w:color w:val="auto"/>
        </w:rPr>
        <w:t>)</w:t>
      </w:r>
      <w:r>
        <w:rPr>
          <w:rFonts w:hint="eastAsia"/>
          <w:color w:val="auto"/>
          <w:lang w:eastAsia="zh-CN"/>
        </w:rPr>
        <w:t>；</w:t>
      </w:r>
    </w:p>
    <w:p w14:paraId="38529C2B">
      <w:pPr>
        <w:ind w:firstLine="560"/>
        <w:rPr>
          <w:rFonts w:hint="eastAsia" w:eastAsia="宋体"/>
          <w:color w:val="auto"/>
          <w:lang w:eastAsia="zh-CN"/>
        </w:rPr>
      </w:pPr>
      <w:r>
        <w:rPr>
          <w:rFonts w:hint="eastAsia"/>
          <w:color w:val="auto"/>
        </w:rPr>
        <w:t>(</w:t>
      </w:r>
      <w:r>
        <w:rPr>
          <w:rFonts w:hint="eastAsia"/>
          <w:color w:val="auto"/>
          <w:lang w:val="en-US" w:eastAsia="zh-CN"/>
        </w:rPr>
        <w:t>8</w:t>
      </w:r>
      <w:r>
        <w:rPr>
          <w:rFonts w:hint="eastAsia"/>
          <w:color w:val="auto"/>
        </w:rPr>
        <w:t>)《生产安全事故应急条例》(中华人民共和国国务院令第708号颁布，自2019年4月1日起施行)</w:t>
      </w:r>
      <w:r>
        <w:rPr>
          <w:rFonts w:hint="eastAsia"/>
          <w:color w:val="auto"/>
          <w:lang w:eastAsia="zh-CN"/>
        </w:rPr>
        <w:t>；</w:t>
      </w:r>
    </w:p>
    <w:p w14:paraId="407DC1D0">
      <w:pPr>
        <w:ind w:firstLine="560"/>
        <w:rPr>
          <w:rFonts w:hint="eastAsia"/>
          <w:color w:val="auto"/>
        </w:rPr>
      </w:pPr>
      <w:r>
        <w:rPr>
          <w:rFonts w:hint="eastAsia"/>
          <w:color w:val="auto"/>
        </w:rPr>
        <w:t>(</w:t>
      </w:r>
      <w:r>
        <w:rPr>
          <w:rFonts w:hint="eastAsia"/>
          <w:color w:val="auto"/>
          <w:lang w:val="en-US" w:eastAsia="zh-CN"/>
        </w:rPr>
        <w:t>9</w:t>
      </w:r>
      <w:r>
        <w:rPr>
          <w:rFonts w:hint="eastAsia"/>
          <w:color w:val="auto"/>
        </w:rPr>
        <w:t>)《</w:t>
      </w:r>
      <w:r>
        <w:rPr>
          <w:rFonts w:hint="eastAsia"/>
          <w:color w:val="auto"/>
          <w:lang w:eastAsia="zh-CN"/>
        </w:rPr>
        <w:t>陕西省</w:t>
      </w:r>
      <w:r>
        <w:rPr>
          <w:rFonts w:hint="eastAsia"/>
          <w:color w:val="auto"/>
        </w:rPr>
        <w:t>安全生产条例》(</w:t>
      </w:r>
      <w:r>
        <w:rPr>
          <w:rFonts w:hint="eastAsia"/>
          <w:color w:val="auto"/>
          <w:lang w:val="en-US" w:eastAsia="zh-CN"/>
        </w:rPr>
        <w:t>陕西省第十届人民代表大会常务委员会公告第42号，</w:t>
      </w:r>
      <w:r>
        <w:rPr>
          <w:rFonts w:hint="eastAsia"/>
          <w:color w:val="auto"/>
        </w:rPr>
        <w:t>陕西省第十四届人民代表大会常务委员会第五次会议第二次修订</w:t>
      </w:r>
      <w:r>
        <w:rPr>
          <w:rFonts w:hint="eastAsia"/>
          <w:color w:val="auto"/>
          <w:lang w:val="en-US" w:eastAsia="zh-CN"/>
        </w:rPr>
        <w:t>，自2023年12月1日起施行</w:t>
      </w:r>
      <w:r>
        <w:rPr>
          <w:rFonts w:hint="eastAsia"/>
          <w:color w:val="auto"/>
        </w:rPr>
        <w:t>)。</w:t>
      </w:r>
    </w:p>
    <w:p w14:paraId="3D117B88">
      <w:pPr>
        <w:pStyle w:val="5"/>
        <w:keepNext/>
        <w:keepLines/>
        <w:pageBreakBefore w:val="0"/>
        <w:widowControl w:val="0"/>
        <w:kinsoku/>
        <w:wordWrap/>
        <w:overflowPunct/>
        <w:topLinePunct w:val="0"/>
        <w:autoSpaceDE/>
        <w:autoSpaceDN/>
        <w:bidi w:val="0"/>
        <w:adjustRightInd/>
        <w:snapToGrid/>
        <w:ind w:firstLine="560" w:firstLineChars="200"/>
        <w:textAlignment w:val="auto"/>
        <w:rPr>
          <w:color w:val="auto"/>
        </w:rPr>
      </w:pPr>
      <w:r>
        <w:rPr>
          <w:color w:val="auto"/>
        </w:rPr>
        <w:t>1.2.1.3部门规章</w:t>
      </w:r>
    </w:p>
    <w:p w14:paraId="04FF96D8">
      <w:pPr>
        <w:ind w:firstLine="560"/>
        <w:rPr>
          <w:rFonts w:hint="eastAsia" w:eastAsia="宋体"/>
          <w:color w:val="auto"/>
          <w:lang w:eastAsia="zh-CN"/>
        </w:rPr>
      </w:pPr>
      <w:r>
        <w:rPr>
          <w:rFonts w:hint="eastAsia"/>
          <w:color w:val="auto"/>
        </w:rPr>
        <w:t>(1)《建设项目安全设施“三同时”监督管理办法》(国家安全生产监督管理总局令第36号，自2011年2月1日起施行，安监总局令第77号修订)</w:t>
      </w:r>
      <w:r>
        <w:rPr>
          <w:rFonts w:hint="eastAsia"/>
          <w:color w:val="auto"/>
          <w:lang w:eastAsia="zh-CN"/>
        </w:rPr>
        <w:t>；</w:t>
      </w:r>
    </w:p>
    <w:p w14:paraId="3C65B16D">
      <w:pPr>
        <w:ind w:firstLine="560"/>
        <w:rPr>
          <w:rFonts w:hint="eastAsia" w:ascii="Times New Roman" w:hAnsi="Times New Roman" w:eastAsia="宋体" w:cs="Times New Roman"/>
          <w:color w:val="auto"/>
          <w:sz w:val="28"/>
          <w:szCs w:val="28"/>
          <w:lang w:eastAsia="zh-CN"/>
        </w:rPr>
      </w:pPr>
      <w:r>
        <w:rPr>
          <w:rFonts w:hint="eastAsia"/>
          <w:color w:val="auto"/>
        </w:rPr>
        <w:t>(2)</w:t>
      </w:r>
      <w:r>
        <w:rPr>
          <w:rFonts w:hint="eastAsia" w:ascii="Times New Roman" w:hAnsi="Times New Roman" w:eastAsia="宋体" w:cs="Times New Roman"/>
          <w:color w:val="auto"/>
          <w:sz w:val="28"/>
          <w:szCs w:val="28"/>
        </w:rPr>
        <w:t>《生产经营单位安全培训规定》（2006年1月17日国家安全监管总局令第3号公布，根据2013年8月29日国家安全监管总局令第63号第一次修正</w:t>
      </w:r>
      <w:r>
        <w:rPr>
          <w:rFonts w:hint="eastAsia" w:ascii="Times New Roman" w:hAnsi="Times New Roman" w:eastAsia="宋体" w:cs="Times New Roman"/>
          <w:color w:val="auto"/>
          <w:sz w:val="28"/>
          <w:szCs w:val="28"/>
          <w:lang w:eastAsia="zh-CN"/>
        </w:rPr>
        <w:t>，</w:t>
      </w:r>
      <w:r>
        <w:rPr>
          <w:rFonts w:hint="eastAsia" w:ascii="Times New Roman" w:hAnsi="Times New Roman" w:eastAsia="宋体" w:cs="Times New Roman"/>
          <w:color w:val="auto"/>
          <w:sz w:val="28"/>
          <w:szCs w:val="28"/>
        </w:rPr>
        <w:t>根据2015年5月29日国家安全生产监管总局令第80号第二次修正</w:t>
      </w:r>
      <w:r>
        <w:rPr>
          <w:rFonts w:hint="eastAsia" w:ascii="Times New Roman" w:hAnsi="Times New Roman" w:eastAsia="宋体" w:cs="Times New Roman"/>
          <w:color w:val="auto"/>
          <w:sz w:val="28"/>
          <w:szCs w:val="28"/>
          <w:lang w:eastAsia="zh-CN"/>
        </w:rPr>
        <w:t>，</w:t>
      </w:r>
      <w:r>
        <w:rPr>
          <w:rFonts w:hint="eastAsia" w:ascii="Times New Roman" w:hAnsi="Times New Roman" w:eastAsia="宋体" w:cs="Times New Roman"/>
          <w:color w:val="auto"/>
          <w:sz w:val="28"/>
          <w:szCs w:val="28"/>
        </w:rPr>
        <w:t>自2006年3月1日起施行）</w:t>
      </w:r>
      <w:r>
        <w:rPr>
          <w:rFonts w:hint="eastAsia" w:ascii="Times New Roman" w:hAnsi="Times New Roman" w:eastAsia="宋体" w:cs="Times New Roman"/>
          <w:color w:val="auto"/>
          <w:sz w:val="28"/>
          <w:szCs w:val="28"/>
          <w:lang w:eastAsia="zh-CN"/>
        </w:rPr>
        <w:t>；</w:t>
      </w:r>
    </w:p>
    <w:p w14:paraId="6F94DB82">
      <w:pPr>
        <w:ind w:firstLine="560"/>
        <w:rPr>
          <w:rFonts w:hint="eastAsia"/>
          <w:color w:val="auto"/>
          <w:lang w:eastAsia="zh-CN"/>
        </w:rPr>
      </w:pPr>
      <w:r>
        <w:rPr>
          <w:rFonts w:hint="eastAsia"/>
          <w:color w:val="auto"/>
        </w:rPr>
        <w:t>(</w:t>
      </w:r>
      <w:r>
        <w:rPr>
          <w:rFonts w:hint="eastAsia"/>
          <w:color w:val="auto"/>
          <w:lang w:val="en-US" w:eastAsia="zh-CN"/>
        </w:rPr>
        <w:t>3</w:t>
      </w:r>
      <w:r>
        <w:rPr>
          <w:rFonts w:hint="eastAsia"/>
          <w:color w:val="auto"/>
        </w:rPr>
        <w:t>)</w:t>
      </w:r>
      <w:r>
        <w:rPr>
          <w:rFonts w:hint="eastAsia" w:ascii="Times New Roman" w:hAnsi="Times New Roman" w:eastAsia="宋体" w:cs="Times New Roman"/>
          <w:color w:val="auto"/>
          <w:sz w:val="28"/>
          <w:szCs w:val="28"/>
        </w:rPr>
        <w:t>《安全生产事故隐患排查治理暂行规定》（2007年12月2</w:t>
      </w:r>
      <w:r>
        <w:rPr>
          <w:rFonts w:hint="eastAsia" w:ascii="Times New Roman" w:hAnsi="Times New Roman" w:eastAsia="宋体" w:cs="Times New Roman"/>
          <w:color w:val="auto"/>
          <w:sz w:val="28"/>
          <w:szCs w:val="28"/>
          <w:lang w:val="en-US" w:eastAsia="zh-CN"/>
        </w:rPr>
        <w:t>8</w:t>
      </w:r>
      <w:r>
        <w:rPr>
          <w:rFonts w:hint="eastAsia" w:ascii="Times New Roman" w:hAnsi="Times New Roman" w:eastAsia="宋体" w:cs="Times New Roman"/>
          <w:color w:val="auto"/>
          <w:sz w:val="28"/>
          <w:szCs w:val="28"/>
        </w:rPr>
        <w:t>日</w:t>
      </w:r>
      <w:r>
        <w:rPr>
          <w:rFonts w:hint="eastAsia" w:ascii="Times New Roman" w:hAnsi="Times New Roman" w:eastAsia="宋体" w:cs="Times New Roman"/>
          <w:color w:val="auto"/>
          <w:sz w:val="28"/>
          <w:szCs w:val="28"/>
          <w:lang w:eastAsia="zh-CN"/>
        </w:rPr>
        <w:t>国家</w:t>
      </w:r>
      <w:r>
        <w:rPr>
          <w:rFonts w:hint="eastAsia" w:ascii="Times New Roman" w:hAnsi="Times New Roman" w:eastAsia="宋体" w:cs="Times New Roman"/>
          <w:color w:val="auto"/>
          <w:sz w:val="28"/>
          <w:szCs w:val="28"/>
        </w:rPr>
        <w:t>安监总局令第16号</w:t>
      </w:r>
      <w:r>
        <w:rPr>
          <w:rFonts w:hint="eastAsia" w:ascii="Times New Roman" w:hAnsi="Times New Roman" w:eastAsia="宋体" w:cs="Times New Roman"/>
          <w:color w:val="auto"/>
          <w:sz w:val="28"/>
          <w:szCs w:val="28"/>
          <w:lang w:val="en-US" w:eastAsia="zh-CN"/>
        </w:rPr>
        <w:t>公布</w:t>
      </w:r>
      <w:r>
        <w:rPr>
          <w:rFonts w:hint="eastAsia" w:ascii="Times New Roman" w:hAnsi="Times New Roman" w:eastAsia="宋体" w:cs="Times New Roman"/>
          <w:color w:val="auto"/>
          <w:sz w:val="28"/>
          <w:szCs w:val="28"/>
          <w:lang w:eastAsia="zh-CN"/>
        </w:rPr>
        <w:t>，</w:t>
      </w:r>
      <w:r>
        <w:rPr>
          <w:rFonts w:hint="eastAsia" w:ascii="Times New Roman" w:hAnsi="Times New Roman" w:eastAsia="宋体" w:cs="Times New Roman"/>
          <w:color w:val="auto"/>
          <w:sz w:val="28"/>
          <w:szCs w:val="28"/>
        </w:rPr>
        <w:t>自2008年2月1日起施行）</w:t>
      </w:r>
      <w:r>
        <w:rPr>
          <w:rFonts w:hint="eastAsia"/>
          <w:color w:val="auto"/>
          <w:lang w:eastAsia="zh-CN"/>
        </w:rPr>
        <w:t>；</w:t>
      </w:r>
    </w:p>
    <w:p w14:paraId="05C9EF06">
      <w:pPr>
        <w:ind w:firstLine="560"/>
        <w:rPr>
          <w:rFonts w:hint="eastAsia" w:ascii="Times New Roman" w:hAnsi="Times New Roman" w:eastAsia="宋体" w:cs="Times New Roman"/>
          <w:color w:val="auto"/>
          <w:sz w:val="28"/>
          <w:szCs w:val="28"/>
          <w:lang w:eastAsia="zh-CN"/>
        </w:rPr>
      </w:pPr>
      <w:r>
        <w:rPr>
          <w:rFonts w:hint="eastAsia"/>
          <w:color w:val="auto"/>
        </w:rPr>
        <w:t>(</w:t>
      </w:r>
      <w:r>
        <w:rPr>
          <w:rFonts w:hint="eastAsia"/>
          <w:color w:val="auto"/>
          <w:lang w:val="en-US" w:eastAsia="zh-CN"/>
        </w:rPr>
        <w:t>4</w:t>
      </w:r>
      <w:r>
        <w:rPr>
          <w:rFonts w:hint="eastAsia"/>
          <w:color w:val="auto"/>
        </w:rPr>
        <w:t>)</w:t>
      </w:r>
      <w:r>
        <w:rPr>
          <w:rFonts w:hint="eastAsia" w:ascii="Times New Roman" w:hAnsi="Times New Roman" w:eastAsia="宋体" w:cs="Times New Roman"/>
          <w:color w:val="auto"/>
          <w:sz w:val="28"/>
          <w:szCs w:val="28"/>
        </w:rPr>
        <w:t>《生产安全事故信息报告和处置办法》（200</w:t>
      </w:r>
      <w:r>
        <w:rPr>
          <w:rFonts w:hint="eastAsia" w:ascii="Times New Roman" w:hAnsi="Times New Roman" w:eastAsia="宋体" w:cs="Times New Roman"/>
          <w:color w:val="auto"/>
          <w:sz w:val="28"/>
          <w:szCs w:val="28"/>
          <w:lang w:val="en-US" w:eastAsia="zh-CN"/>
        </w:rPr>
        <w:t>9</w:t>
      </w:r>
      <w:r>
        <w:rPr>
          <w:rFonts w:hint="eastAsia" w:ascii="Times New Roman" w:hAnsi="Times New Roman" w:eastAsia="宋体" w:cs="Times New Roman"/>
          <w:color w:val="auto"/>
          <w:sz w:val="28"/>
          <w:szCs w:val="28"/>
        </w:rPr>
        <w:t>年</w:t>
      </w:r>
      <w:r>
        <w:rPr>
          <w:rFonts w:hint="eastAsia" w:ascii="Times New Roman" w:hAnsi="Times New Roman" w:eastAsia="宋体" w:cs="Times New Roman"/>
          <w:color w:val="auto"/>
          <w:sz w:val="28"/>
          <w:szCs w:val="28"/>
          <w:lang w:val="en-US" w:eastAsia="zh-CN"/>
        </w:rPr>
        <w:t>6</w:t>
      </w:r>
      <w:r>
        <w:rPr>
          <w:rFonts w:hint="eastAsia" w:ascii="Times New Roman" w:hAnsi="Times New Roman" w:eastAsia="宋体" w:cs="Times New Roman"/>
          <w:color w:val="auto"/>
          <w:sz w:val="28"/>
          <w:szCs w:val="28"/>
        </w:rPr>
        <w:t>月</w:t>
      </w:r>
      <w:r>
        <w:rPr>
          <w:rFonts w:hint="eastAsia" w:ascii="Times New Roman" w:hAnsi="Times New Roman" w:eastAsia="宋体" w:cs="Times New Roman"/>
          <w:color w:val="auto"/>
          <w:sz w:val="28"/>
          <w:szCs w:val="28"/>
          <w:lang w:val="en-US" w:eastAsia="zh-CN"/>
        </w:rPr>
        <w:t>16</w:t>
      </w:r>
      <w:r>
        <w:rPr>
          <w:rFonts w:hint="eastAsia" w:ascii="Times New Roman" w:hAnsi="Times New Roman" w:eastAsia="宋体" w:cs="Times New Roman"/>
          <w:color w:val="auto"/>
          <w:sz w:val="28"/>
          <w:szCs w:val="28"/>
        </w:rPr>
        <w:t>日</w:t>
      </w:r>
      <w:r>
        <w:rPr>
          <w:rFonts w:hint="eastAsia" w:ascii="Times New Roman" w:hAnsi="Times New Roman" w:eastAsia="宋体" w:cs="Times New Roman"/>
          <w:color w:val="auto"/>
          <w:sz w:val="28"/>
          <w:szCs w:val="28"/>
          <w:lang w:eastAsia="zh-CN"/>
        </w:rPr>
        <w:t>国家</w:t>
      </w:r>
      <w:r>
        <w:rPr>
          <w:rFonts w:hint="eastAsia" w:ascii="Times New Roman" w:hAnsi="Times New Roman" w:eastAsia="宋体" w:cs="Times New Roman"/>
          <w:color w:val="auto"/>
          <w:sz w:val="28"/>
          <w:szCs w:val="28"/>
        </w:rPr>
        <w:t>安监总局令第21号</w:t>
      </w:r>
      <w:r>
        <w:rPr>
          <w:rFonts w:hint="eastAsia" w:ascii="Times New Roman" w:hAnsi="Times New Roman" w:eastAsia="宋体" w:cs="Times New Roman"/>
          <w:color w:val="auto"/>
          <w:sz w:val="28"/>
          <w:szCs w:val="28"/>
          <w:lang w:val="en-US" w:eastAsia="zh-CN"/>
        </w:rPr>
        <w:t>公布，</w:t>
      </w:r>
      <w:r>
        <w:rPr>
          <w:rFonts w:hint="eastAsia" w:ascii="Times New Roman" w:hAnsi="Times New Roman" w:eastAsia="宋体" w:cs="Times New Roman"/>
          <w:color w:val="auto"/>
          <w:sz w:val="28"/>
          <w:szCs w:val="28"/>
        </w:rPr>
        <w:t>自200</w:t>
      </w:r>
      <w:r>
        <w:rPr>
          <w:rFonts w:hint="eastAsia" w:ascii="Times New Roman" w:hAnsi="Times New Roman" w:eastAsia="宋体" w:cs="Times New Roman"/>
          <w:color w:val="auto"/>
          <w:sz w:val="28"/>
          <w:szCs w:val="28"/>
          <w:lang w:val="en-US" w:eastAsia="zh-CN"/>
        </w:rPr>
        <w:t>9</w:t>
      </w:r>
      <w:r>
        <w:rPr>
          <w:rFonts w:hint="eastAsia" w:ascii="Times New Roman" w:hAnsi="Times New Roman" w:eastAsia="宋体" w:cs="Times New Roman"/>
          <w:color w:val="auto"/>
          <w:sz w:val="28"/>
          <w:szCs w:val="28"/>
        </w:rPr>
        <w:t>年</w:t>
      </w:r>
      <w:r>
        <w:rPr>
          <w:rFonts w:hint="eastAsia" w:ascii="Times New Roman" w:hAnsi="Times New Roman" w:eastAsia="宋体" w:cs="Times New Roman"/>
          <w:color w:val="auto"/>
          <w:sz w:val="28"/>
          <w:szCs w:val="28"/>
          <w:lang w:val="en-US" w:eastAsia="zh-CN"/>
        </w:rPr>
        <w:t>7</w:t>
      </w:r>
      <w:r>
        <w:rPr>
          <w:rFonts w:hint="eastAsia" w:ascii="Times New Roman" w:hAnsi="Times New Roman" w:eastAsia="宋体" w:cs="Times New Roman"/>
          <w:color w:val="auto"/>
          <w:sz w:val="28"/>
          <w:szCs w:val="28"/>
        </w:rPr>
        <w:t>月1日起施行）</w:t>
      </w:r>
      <w:r>
        <w:rPr>
          <w:rFonts w:hint="eastAsia" w:ascii="Times New Roman" w:hAnsi="Times New Roman" w:eastAsia="宋体" w:cs="Times New Roman"/>
          <w:color w:val="auto"/>
          <w:sz w:val="28"/>
          <w:szCs w:val="28"/>
          <w:lang w:eastAsia="zh-CN"/>
        </w:rPr>
        <w:t>；</w:t>
      </w:r>
    </w:p>
    <w:p w14:paraId="74DC458F">
      <w:pPr>
        <w:ind w:firstLine="560"/>
        <w:rPr>
          <w:rFonts w:hint="eastAsia" w:ascii="Times New Roman" w:hAnsi="Times New Roman" w:eastAsia="宋体" w:cs="Times New Roman"/>
          <w:color w:val="auto"/>
          <w:sz w:val="28"/>
          <w:szCs w:val="28"/>
          <w:lang w:eastAsia="zh-CN"/>
        </w:rPr>
      </w:pPr>
      <w:r>
        <w:rPr>
          <w:rFonts w:hint="eastAsia"/>
          <w:color w:val="auto"/>
        </w:rPr>
        <w:t>(</w:t>
      </w:r>
      <w:r>
        <w:rPr>
          <w:rFonts w:hint="eastAsia"/>
          <w:color w:val="auto"/>
          <w:lang w:val="en-US" w:eastAsia="zh-CN"/>
        </w:rPr>
        <w:t>5</w:t>
      </w:r>
      <w:r>
        <w:rPr>
          <w:rFonts w:hint="eastAsia"/>
          <w:color w:val="auto"/>
        </w:rPr>
        <w:t>)</w:t>
      </w:r>
      <w:r>
        <w:rPr>
          <w:rFonts w:hint="eastAsia" w:ascii="Times New Roman" w:hAnsi="Times New Roman" w:eastAsia="宋体" w:cs="Times New Roman"/>
          <w:color w:val="auto"/>
          <w:sz w:val="28"/>
          <w:szCs w:val="28"/>
        </w:rPr>
        <w:t>《特种作业人员安全技术培训考核管理规定》（2010年5月24日国家安全生产监督管理总局令第30号公布，根据2013年8月29日国家安全生产监督管理总局令第63号第一次修正，2015年5月29日国家安全生产监督管理总局令第80号第二次修正</w:t>
      </w:r>
      <w:r>
        <w:rPr>
          <w:rFonts w:hint="eastAsia" w:ascii="Times New Roman" w:hAnsi="Times New Roman" w:eastAsia="宋体" w:cs="Times New Roman"/>
          <w:color w:val="auto"/>
          <w:sz w:val="28"/>
          <w:szCs w:val="28"/>
          <w:lang w:eastAsia="zh-CN"/>
        </w:rPr>
        <w:t>，</w:t>
      </w:r>
      <w:r>
        <w:rPr>
          <w:rFonts w:hint="eastAsia" w:ascii="Times New Roman" w:hAnsi="Times New Roman" w:eastAsia="宋体" w:cs="Times New Roman"/>
          <w:color w:val="auto"/>
          <w:sz w:val="28"/>
          <w:szCs w:val="28"/>
        </w:rPr>
        <w:t>自2010年7月1日起施行）</w:t>
      </w:r>
      <w:r>
        <w:rPr>
          <w:rFonts w:hint="eastAsia" w:ascii="Times New Roman" w:hAnsi="Times New Roman" w:eastAsia="宋体" w:cs="Times New Roman"/>
          <w:color w:val="auto"/>
          <w:sz w:val="28"/>
          <w:szCs w:val="28"/>
          <w:lang w:eastAsia="zh-CN"/>
        </w:rPr>
        <w:t>；</w:t>
      </w:r>
    </w:p>
    <w:p w14:paraId="5E716B01">
      <w:pPr>
        <w:ind w:firstLine="560"/>
        <w:rPr>
          <w:rFonts w:hint="eastAsia" w:ascii="Times New Roman" w:hAnsi="宋体" w:eastAsia="宋体" w:cs="Times New Roman"/>
          <w:color w:val="auto"/>
          <w:sz w:val="28"/>
          <w:szCs w:val="28"/>
          <w:lang w:eastAsia="zh-CN"/>
        </w:rPr>
      </w:pPr>
      <w:r>
        <w:rPr>
          <w:rFonts w:hint="eastAsia"/>
          <w:color w:val="auto"/>
        </w:rPr>
        <w:t>(</w:t>
      </w:r>
      <w:r>
        <w:rPr>
          <w:rFonts w:hint="eastAsia"/>
          <w:color w:val="auto"/>
          <w:lang w:val="en-US" w:eastAsia="zh-CN"/>
        </w:rPr>
        <w:t>6</w:t>
      </w:r>
      <w:r>
        <w:rPr>
          <w:rFonts w:hint="eastAsia"/>
          <w:color w:val="auto"/>
        </w:rPr>
        <w:t>)</w:t>
      </w:r>
      <w:r>
        <w:rPr>
          <w:rFonts w:hAnsi="宋体"/>
          <w:color w:val="auto"/>
          <w:sz w:val="28"/>
          <w:szCs w:val="28"/>
        </w:rPr>
        <w:t>《金属非金属地下矿山企业领导带班下井及监督检查暂行规定》</w:t>
      </w:r>
      <w:r>
        <w:rPr>
          <w:rFonts w:hint="eastAsia" w:hAnsi="宋体"/>
          <w:color w:val="auto"/>
          <w:sz w:val="28"/>
          <w:szCs w:val="28"/>
        </w:rPr>
        <w:t>（</w:t>
      </w:r>
      <w:r>
        <w:rPr>
          <w:rFonts w:hint="eastAsia" w:hAnsi="宋体"/>
          <w:color w:val="auto"/>
          <w:sz w:val="28"/>
          <w:szCs w:val="28"/>
          <w:lang w:eastAsia="zh-CN"/>
        </w:rPr>
        <w:t>国家</w:t>
      </w:r>
      <w:r>
        <w:rPr>
          <w:rFonts w:hAnsi="宋体"/>
          <w:color w:val="auto"/>
          <w:sz w:val="28"/>
          <w:szCs w:val="28"/>
        </w:rPr>
        <w:t>安监总</w:t>
      </w:r>
      <w:r>
        <w:rPr>
          <w:rFonts w:ascii="Times New Roman" w:hAnsi="宋体" w:eastAsia="宋体" w:cs="Times New Roman"/>
          <w:color w:val="auto"/>
          <w:sz w:val="28"/>
          <w:szCs w:val="28"/>
        </w:rPr>
        <w:t>局令第34号</w:t>
      </w:r>
      <w:r>
        <w:rPr>
          <w:rFonts w:hint="eastAsia" w:ascii="Times New Roman" w:hAnsi="宋体" w:eastAsia="宋体" w:cs="Times New Roman"/>
          <w:color w:val="auto"/>
          <w:sz w:val="28"/>
          <w:szCs w:val="28"/>
          <w:lang w:eastAsia="zh-CN"/>
        </w:rPr>
        <w:t>，</w:t>
      </w:r>
      <w:r>
        <w:rPr>
          <w:rFonts w:hint="eastAsia" w:ascii="Times New Roman" w:hAnsi="宋体" w:eastAsia="宋体" w:cs="Times New Roman"/>
          <w:color w:val="auto"/>
          <w:sz w:val="28"/>
          <w:szCs w:val="28"/>
        </w:rPr>
        <w:t>自</w:t>
      </w:r>
      <w:r>
        <w:rPr>
          <w:rFonts w:ascii="Times New Roman" w:hAnsi="宋体" w:eastAsia="宋体" w:cs="Times New Roman"/>
          <w:color w:val="auto"/>
          <w:sz w:val="28"/>
          <w:szCs w:val="28"/>
        </w:rPr>
        <w:t>2010</w:t>
      </w:r>
      <w:r>
        <w:rPr>
          <w:rFonts w:hint="eastAsia" w:ascii="Times New Roman" w:hAnsi="宋体" w:eastAsia="宋体" w:cs="Times New Roman"/>
          <w:color w:val="auto"/>
          <w:sz w:val="28"/>
          <w:szCs w:val="28"/>
        </w:rPr>
        <w:t>年</w:t>
      </w:r>
      <w:r>
        <w:rPr>
          <w:rFonts w:ascii="Times New Roman" w:hAnsi="宋体" w:eastAsia="宋体" w:cs="Times New Roman"/>
          <w:color w:val="auto"/>
          <w:sz w:val="28"/>
          <w:szCs w:val="28"/>
        </w:rPr>
        <w:t>11</w:t>
      </w:r>
      <w:r>
        <w:rPr>
          <w:rFonts w:hint="eastAsia" w:ascii="Times New Roman" w:hAnsi="宋体" w:eastAsia="宋体" w:cs="Times New Roman"/>
          <w:color w:val="auto"/>
          <w:sz w:val="28"/>
          <w:szCs w:val="28"/>
        </w:rPr>
        <w:t>月</w:t>
      </w:r>
      <w:r>
        <w:rPr>
          <w:rFonts w:ascii="Times New Roman" w:hAnsi="宋体" w:eastAsia="宋体" w:cs="Times New Roman"/>
          <w:color w:val="auto"/>
          <w:sz w:val="28"/>
          <w:szCs w:val="28"/>
        </w:rPr>
        <w:t>15</w:t>
      </w:r>
      <w:r>
        <w:rPr>
          <w:rFonts w:hint="eastAsia" w:ascii="Times New Roman" w:hAnsi="宋体" w:eastAsia="宋体" w:cs="Times New Roman"/>
          <w:color w:val="auto"/>
          <w:sz w:val="28"/>
          <w:szCs w:val="28"/>
        </w:rPr>
        <w:t>日起施行）</w:t>
      </w:r>
      <w:r>
        <w:rPr>
          <w:rFonts w:hint="eastAsia" w:ascii="Times New Roman" w:hAnsi="宋体" w:eastAsia="宋体" w:cs="Times New Roman"/>
          <w:color w:val="auto"/>
          <w:sz w:val="28"/>
          <w:szCs w:val="28"/>
          <w:lang w:eastAsia="zh-CN"/>
        </w:rPr>
        <w:t>；</w:t>
      </w:r>
    </w:p>
    <w:p w14:paraId="2D814386">
      <w:pPr>
        <w:ind w:firstLine="560"/>
        <w:rPr>
          <w:rFonts w:hint="eastAsia" w:ascii="Times New Roman" w:hAnsi="宋体" w:eastAsia="宋体" w:cs="Times New Roman"/>
          <w:color w:val="auto"/>
          <w:sz w:val="28"/>
          <w:szCs w:val="28"/>
          <w:lang w:eastAsia="zh-CN"/>
        </w:rPr>
      </w:pPr>
      <w:r>
        <w:rPr>
          <w:rFonts w:hint="eastAsia"/>
          <w:color w:val="auto"/>
        </w:rPr>
        <w:t>(</w:t>
      </w:r>
      <w:r>
        <w:rPr>
          <w:rFonts w:hint="eastAsia"/>
          <w:color w:val="auto"/>
          <w:lang w:val="en-US" w:eastAsia="zh-CN"/>
        </w:rPr>
        <w:t>7</w:t>
      </w:r>
      <w:r>
        <w:rPr>
          <w:rFonts w:hint="eastAsia"/>
          <w:color w:val="auto"/>
        </w:rPr>
        <w:t>)</w:t>
      </w:r>
      <w:r>
        <w:rPr>
          <w:rFonts w:hint="eastAsia" w:ascii="Times New Roman" w:hAnsi="Times New Roman" w:eastAsia="宋体" w:cs="Times New Roman"/>
          <w:color w:val="auto"/>
          <w:sz w:val="28"/>
          <w:szCs w:val="28"/>
        </w:rPr>
        <w:t>《安全生产培训管理办法》（</w:t>
      </w:r>
      <w:r>
        <w:rPr>
          <w:rFonts w:hint="eastAsia" w:ascii="Times New Roman" w:hAnsi="Times New Roman" w:eastAsia="宋体" w:cs="Times New Roman"/>
          <w:color w:val="auto"/>
          <w:sz w:val="28"/>
          <w:szCs w:val="28"/>
          <w:lang w:val="en-US"/>
        </w:rPr>
        <w:t>2012</w:t>
      </w:r>
      <w:r>
        <w:rPr>
          <w:rFonts w:hint="eastAsia" w:ascii="Times New Roman" w:hAnsi="Times New Roman" w:eastAsia="宋体" w:cs="Times New Roman"/>
          <w:color w:val="auto"/>
          <w:sz w:val="28"/>
          <w:szCs w:val="28"/>
        </w:rPr>
        <w:t>年</w:t>
      </w:r>
      <w:r>
        <w:rPr>
          <w:rFonts w:hint="default" w:ascii="Times New Roman" w:hAnsi="Times New Roman" w:eastAsia="宋体" w:cs="Times New Roman"/>
          <w:color w:val="auto"/>
          <w:sz w:val="28"/>
          <w:szCs w:val="28"/>
          <w:lang w:val="en-US"/>
        </w:rPr>
        <w:t>1</w:t>
      </w:r>
      <w:r>
        <w:rPr>
          <w:rFonts w:hint="eastAsia" w:ascii="Times New Roman" w:hAnsi="Times New Roman" w:eastAsia="宋体" w:cs="Times New Roman"/>
          <w:color w:val="auto"/>
          <w:sz w:val="28"/>
          <w:szCs w:val="28"/>
        </w:rPr>
        <w:t>月</w:t>
      </w:r>
      <w:r>
        <w:rPr>
          <w:rFonts w:hint="default" w:ascii="Times New Roman" w:hAnsi="Times New Roman" w:eastAsia="宋体" w:cs="Times New Roman"/>
          <w:color w:val="auto"/>
          <w:sz w:val="28"/>
          <w:szCs w:val="28"/>
          <w:lang w:val="en-US"/>
        </w:rPr>
        <w:t>19</w:t>
      </w:r>
      <w:r>
        <w:rPr>
          <w:rFonts w:hint="eastAsia" w:ascii="Times New Roman" w:hAnsi="Times New Roman" w:eastAsia="宋体" w:cs="Times New Roman"/>
          <w:color w:val="auto"/>
          <w:sz w:val="28"/>
          <w:szCs w:val="28"/>
        </w:rPr>
        <w:t>日国家安全监管总局令第</w:t>
      </w:r>
      <w:r>
        <w:rPr>
          <w:rFonts w:hint="default" w:ascii="Times New Roman" w:hAnsi="Times New Roman" w:eastAsia="宋体" w:cs="Times New Roman"/>
          <w:color w:val="auto"/>
          <w:sz w:val="28"/>
          <w:szCs w:val="28"/>
          <w:lang w:val="en-US"/>
        </w:rPr>
        <w:t>44</w:t>
      </w:r>
      <w:r>
        <w:rPr>
          <w:rFonts w:hint="eastAsia" w:ascii="Times New Roman" w:hAnsi="Times New Roman" w:eastAsia="宋体" w:cs="Times New Roman"/>
          <w:color w:val="auto"/>
          <w:sz w:val="28"/>
          <w:szCs w:val="28"/>
        </w:rPr>
        <w:t>号公布，根据</w:t>
      </w:r>
      <w:r>
        <w:rPr>
          <w:rFonts w:hint="default" w:ascii="Times New Roman" w:hAnsi="Times New Roman" w:eastAsia="宋体" w:cs="Times New Roman"/>
          <w:color w:val="auto"/>
          <w:sz w:val="28"/>
          <w:szCs w:val="28"/>
          <w:lang w:val="en-US"/>
        </w:rPr>
        <w:t>2013</w:t>
      </w:r>
      <w:r>
        <w:rPr>
          <w:rFonts w:hint="eastAsia" w:ascii="Times New Roman" w:hAnsi="Times New Roman" w:eastAsia="宋体" w:cs="Times New Roman"/>
          <w:color w:val="auto"/>
          <w:sz w:val="28"/>
          <w:szCs w:val="28"/>
        </w:rPr>
        <w:t>年</w:t>
      </w:r>
      <w:r>
        <w:rPr>
          <w:rFonts w:hint="default" w:ascii="Times New Roman" w:hAnsi="Times New Roman" w:eastAsia="宋体" w:cs="Times New Roman"/>
          <w:color w:val="auto"/>
          <w:sz w:val="28"/>
          <w:szCs w:val="28"/>
          <w:lang w:val="en-US"/>
        </w:rPr>
        <w:t>8</w:t>
      </w:r>
      <w:r>
        <w:rPr>
          <w:rFonts w:hint="eastAsia" w:ascii="Times New Roman" w:hAnsi="Times New Roman" w:eastAsia="宋体" w:cs="Times New Roman"/>
          <w:color w:val="auto"/>
          <w:sz w:val="28"/>
          <w:szCs w:val="28"/>
        </w:rPr>
        <w:t>月</w:t>
      </w:r>
      <w:r>
        <w:rPr>
          <w:rFonts w:hint="default" w:ascii="Times New Roman" w:hAnsi="Times New Roman" w:eastAsia="宋体" w:cs="Times New Roman"/>
          <w:color w:val="auto"/>
          <w:sz w:val="28"/>
          <w:szCs w:val="28"/>
          <w:lang w:val="en-US"/>
        </w:rPr>
        <w:t>29</w:t>
      </w:r>
      <w:r>
        <w:rPr>
          <w:rFonts w:hint="eastAsia" w:ascii="Times New Roman" w:hAnsi="Times New Roman" w:eastAsia="宋体" w:cs="Times New Roman"/>
          <w:color w:val="auto"/>
          <w:sz w:val="28"/>
          <w:szCs w:val="28"/>
        </w:rPr>
        <w:t>日国家安全监管总局令第</w:t>
      </w:r>
      <w:r>
        <w:rPr>
          <w:rFonts w:hint="default" w:ascii="Times New Roman" w:hAnsi="Times New Roman" w:eastAsia="宋体" w:cs="Times New Roman"/>
          <w:color w:val="auto"/>
          <w:sz w:val="28"/>
          <w:szCs w:val="28"/>
          <w:lang w:val="en-US"/>
        </w:rPr>
        <w:t>63</w:t>
      </w:r>
      <w:r>
        <w:rPr>
          <w:rFonts w:hint="eastAsia" w:ascii="Times New Roman" w:hAnsi="Times New Roman" w:eastAsia="宋体" w:cs="Times New Roman"/>
          <w:color w:val="auto"/>
          <w:sz w:val="28"/>
          <w:szCs w:val="28"/>
        </w:rPr>
        <w:t>号第一次修正</w:t>
      </w:r>
      <w:r>
        <w:rPr>
          <w:rFonts w:hint="eastAsia" w:ascii="Times New Roman" w:hAnsi="Times New Roman" w:eastAsia="宋体" w:cs="Times New Roman"/>
          <w:color w:val="auto"/>
          <w:sz w:val="28"/>
          <w:szCs w:val="28"/>
          <w:lang w:val="en-US" w:eastAsia="zh-CN"/>
        </w:rPr>
        <w:t>，</w:t>
      </w:r>
      <w:r>
        <w:rPr>
          <w:rFonts w:hint="eastAsia" w:ascii="Times New Roman" w:hAnsi="Times New Roman" w:eastAsia="宋体" w:cs="Times New Roman"/>
          <w:color w:val="auto"/>
          <w:sz w:val="28"/>
          <w:szCs w:val="28"/>
        </w:rPr>
        <w:t>根据</w:t>
      </w:r>
      <w:r>
        <w:rPr>
          <w:rFonts w:hint="default" w:ascii="Times New Roman" w:hAnsi="Times New Roman" w:eastAsia="宋体" w:cs="Times New Roman"/>
          <w:color w:val="auto"/>
          <w:sz w:val="28"/>
          <w:szCs w:val="28"/>
          <w:lang w:val="en-US"/>
        </w:rPr>
        <w:t>2015</w:t>
      </w:r>
      <w:r>
        <w:rPr>
          <w:rFonts w:hint="eastAsia" w:ascii="Times New Roman" w:hAnsi="Times New Roman" w:eastAsia="宋体" w:cs="Times New Roman"/>
          <w:color w:val="auto"/>
          <w:sz w:val="28"/>
          <w:szCs w:val="28"/>
        </w:rPr>
        <w:t>年</w:t>
      </w:r>
      <w:r>
        <w:rPr>
          <w:rFonts w:hint="default" w:ascii="Times New Roman" w:hAnsi="Times New Roman" w:eastAsia="宋体" w:cs="Times New Roman"/>
          <w:color w:val="auto"/>
          <w:sz w:val="28"/>
          <w:szCs w:val="28"/>
          <w:lang w:val="en-US"/>
        </w:rPr>
        <w:t>5</w:t>
      </w:r>
      <w:r>
        <w:rPr>
          <w:rFonts w:hint="eastAsia" w:ascii="Times New Roman" w:hAnsi="Times New Roman" w:eastAsia="宋体" w:cs="Times New Roman"/>
          <w:color w:val="auto"/>
          <w:sz w:val="28"/>
          <w:szCs w:val="28"/>
        </w:rPr>
        <w:t>月</w:t>
      </w:r>
      <w:r>
        <w:rPr>
          <w:rFonts w:hint="default" w:ascii="Times New Roman" w:hAnsi="Times New Roman" w:eastAsia="宋体" w:cs="Times New Roman"/>
          <w:color w:val="auto"/>
          <w:sz w:val="28"/>
          <w:szCs w:val="28"/>
          <w:lang w:val="en-US"/>
        </w:rPr>
        <w:t>29</w:t>
      </w:r>
      <w:r>
        <w:rPr>
          <w:rFonts w:hint="eastAsia" w:ascii="Times New Roman" w:hAnsi="Times New Roman" w:eastAsia="宋体" w:cs="Times New Roman"/>
          <w:color w:val="auto"/>
          <w:sz w:val="28"/>
          <w:szCs w:val="28"/>
        </w:rPr>
        <w:t>日国家安全监管总局令第</w:t>
      </w:r>
      <w:r>
        <w:rPr>
          <w:rFonts w:hint="default" w:ascii="Times New Roman" w:hAnsi="Times New Roman" w:eastAsia="宋体" w:cs="Times New Roman"/>
          <w:color w:val="auto"/>
          <w:sz w:val="28"/>
          <w:szCs w:val="28"/>
          <w:lang w:val="en-US"/>
        </w:rPr>
        <w:t>80</w:t>
      </w:r>
      <w:r>
        <w:rPr>
          <w:rFonts w:hint="eastAsia" w:ascii="Times New Roman" w:hAnsi="Times New Roman" w:eastAsia="宋体" w:cs="Times New Roman"/>
          <w:color w:val="auto"/>
          <w:sz w:val="28"/>
          <w:szCs w:val="28"/>
        </w:rPr>
        <w:t>号第二次修正</w:t>
      </w:r>
      <w:r>
        <w:rPr>
          <w:rFonts w:hint="eastAsia" w:ascii="Times New Roman" w:hAnsi="Times New Roman" w:eastAsia="宋体" w:cs="Times New Roman"/>
          <w:color w:val="auto"/>
          <w:sz w:val="28"/>
          <w:szCs w:val="28"/>
          <w:lang w:eastAsia="zh-CN"/>
        </w:rPr>
        <w:t>，</w:t>
      </w:r>
      <w:r>
        <w:rPr>
          <w:rFonts w:hint="eastAsia" w:ascii="Times New Roman" w:hAnsi="Times New Roman" w:eastAsia="宋体" w:cs="Times New Roman"/>
          <w:color w:val="auto"/>
          <w:sz w:val="28"/>
          <w:szCs w:val="28"/>
        </w:rPr>
        <w:t>自2012年3月1日起施行）</w:t>
      </w:r>
      <w:r>
        <w:rPr>
          <w:rFonts w:hint="eastAsia" w:ascii="Times New Roman" w:hAnsi="Times New Roman" w:eastAsia="宋体" w:cs="Times New Roman"/>
          <w:color w:val="auto"/>
          <w:sz w:val="28"/>
          <w:szCs w:val="28"/>
          <w:lang w:eastAsia="zh-CN"/>
        </w:rPr>
        <w:t>；</w:t>
      </w:r>
    </w:p>
    <w:p w14:paraId="5E363B62">
      <w:pPr>
        <w:ind w:firstLine="560"/>
        <w:rPr>
          <w:rFonts w:hint="eastAsia" w:eastAsia="宋体"/>
          <w:color w:val="auto"/>
          <w:lang w:eastAsia="zh-CN"/>
        </w:rPr>
      </w:pPr>
      <w:r>
        <w:rPr>
          <w:rFonts w:hint="eastAsia"/>
          <w:color w:val="auto"/>
        </w:rPr>
        <w:t>(</w:t>
      </w:r>
      <w:r>
        <w:rPr>
          <w:rFonts w:hint="eastAsia"/>
          <w:color w:val="auto"/>
          <w:lang w:val="en-US" w:eastAsia="zh-CN"/>
        </w:rPr>
        <w:t>8</w:t>
      </w:r>
      <w:r>
        <w:rPr>
          <w:rFonts w:hint="eastAsia"/>
          <w:color w:val="auto"/>
        </w:rPr>
        <w:t>)《职业病危害项目申报办法》(国家安全生产监督管理总局令第48号，自2012年6月1日施行)</w:t>
      </w:r>
      <w:r>
        <w:rPr>
          <w:rFonts w:hint="eastAsia"/>
          <w:color w:val="auto"/>
          <w:lang w:eastAsia="zh-CN"/>
        </w:rPr>
        <w:t>；</w:t>
      </w:r>
    </w:p>
    <w:p w14:paraId="2F70EF49">
      <w:pPr>
        <w:ind w:firstLine="560"/>
        <w:rPr>
          <w:rFonts w:hint="eastAsia" w:eastAsia="宋体"/>
          <w:color w:val="auto"/>
          <w:lang w:eastAsia="zh-CN"/>
        </w:rPr>
      </w:pPr>
      <w:r>
        <w:rPr>
          <w:rFonts w:hint="eastAsia"/>
          <w:color w:val="auto"/>
        </w:rPr>
        <w:t>(</w:t>
      </w:r>
      <w:r>
        <w:rPr>
          <w:rFonts w:hint="eastAsia"/>
          <w:color w:val="auto"/>
          <w:lang w:val="en-US" w:eastAsia="zh-CN"/>
        </w:rPr>
        <w:t>9</w:t>
      </w:r>
      <w:r>
        <w:rPr>
          <w:rFonts w:hint="eastAsia"/>
          <w:color w:val="auto"/>
        </w:rPr>
        <w:t>)</w:t>
      </w:r>
      <w:r>
        <w:rPr>
          <w:rFonts w:hint="eastAsia"/>
          <w:color w:val="auto"/>
          <w:lang w:val="de-DE"/>
        </w:rPr>
        <w:t>《非煤矿矿山企业安全生产许可证实施办法》(2009年6月8日国家安全生产监督管理总局令第20号公布，根据2015年5月26日国家安全生产监督管理总局令第78号修改)</w:t>
      </w:r>
      <w:r>
        <w:rPr>
          <w:rFonts w:hint="eastAsia"/>
          <w:color w:val="auto"/>
          <w:lang w:val="de-DE" w:eastAsia="zh-CN"/>
        </w:rPr>
        <w:t>；</w:t>
      </w:r>
    </w:p>
    <w:p w14:paraId="61FEE505">
      <w:pPr>
        <w:ind w:firstLine="560"/>
        <w:rPr>
          <w:rFonts w:hint="eastAsia" w:eastAsia="宋体"/>
          <w:color w:val="auto"/>
          <w:lang w:eastAsia="zh-CN"/>
        </w:rPr>
      </w:pPr>
      <w:r>
        <w:rPr>
          <w:rFonts w:hint="eastAsia"/>
          <w:color w:val="auto"/>
        </w:rPr>
        <w:t>(</w:t>
      </w:r>
      <w:r>
        <w:rPr>
          <w:rFonts w:hint="eastAsia"/>
          <w:color w:val="auto"/>
          <w:lang w:val="en-US" w:eastAsia="zh-CN"/>
        </w:rPr>
        <w:t>10</w:t>
      </w:r>
      <w:r>
        <w:rPr>
          <w:rFonts w:hint="eastAsia"/>
          <w:color w:val="auto"/>
        </w:rPr>
        <w:t>)《金属非金属矿山建设项目安全设施目录(试行)》(国家安全生产监督管理总局令第75号，2015年7月1日)</w:t>
      </w:r>
      <w:r>
        <w:rPr>
          <w:rFonts w:hint="eastAsia"/>
          <w:color w:val="auto"/>
          <w:lang w:eastAsia="zh-CN"/>
        </w:rPr>
        <w:t>；</w:t>
      </w:r>
    </w:p>
    <w:p w14:paraId="050459CD">
      <w:pPr>
        <w:ind w:firstLine="560"/>
        <w:rPr>
          <w:rFonts w:hint="eastAsia" w:eastAsia="宋体"/>
          <w:color w:val="auto"/>
          <w:lang w:eastAsia="zh-CN"/>
        </w:rPr>
      </w:pPr>
      <w:r>
        <w:rPr>
          <w:rFonts w:hint="eastAsia" w:ascii="宋体" w:hAnsi="宋体" w:eastAsia="宋体"/>
          <w:color w:val="auto"/>
        </w:rPr>
        <w:t>(</w:t>
      </w:r>
      <w:r>
        <w:rPr>
          <w:rFonts w:hint="eastAsia"/>
          <w:color w:val="auto"/>
          <w:lang w:val="en-US" w:eastAsia="zh-CN"/>
        </w:rPr>
        <w:t>11</w:t>
      </w:r>
      <w:r>
        <w:rPr>
          <w:rFonts w:hint="eastAsia" w:ascii="宋体" w:hAnsi="宋体" w:eastAsia="宋体"/>
          <w:color w:val="auto"/>
        </w:rPr>
        <w:t>)《生产安全事故应急预案管理办法》(国家安全生产监督管理总局令第88号，应急管理部令第2号修订，自2019年9月1日起施行)</w:t>
      </w:r>
      <w:r>
        <w:rPr>
          <w:rFonts w:hint="eastAsia"/>
          <w:color w:val="auto"/>
          <w:lang w:eastAsia="zh-CN"/>
        </w:rPr>
        <w:t>；</w:t>
      </w:r>
    </w:p>
    <w:p w14:paraId="211FE059">
      <w:pPr>
        <w:ind w:firstLine="560"/>
        <w:rPr>
          <w:rFonts w:hint="eastAsia" w:ascii="宋体" w:hAnsi="宋体" w:eastAsia="宋体"/>
          <w:color w:val="auto"/>
          <w:lang w:eastAsia="zh-CN"/>
        </w:rPr>
      </w:pPr>
      <w:r>
        <w:rPr>
          <w:rFonts w:hint="eastAsia" w:ascii="宋体" w:hAnsi="宋体" w:eastAsia="宋体"/>
          <w:color w:val="auto"/>
        </w:rPr>
        <w:t>(</w:t>
      </w:r>
      <w:r>
        <w:rPr>
          <w:rFonts w:hint="eastAsia"/>
          <w:color w:val="auto"/>
          <w:lang w:val="en-US" w:eastAsia="zh-CN"/>
        </w:rPr>
        <w:t>12</w:t>
      </w:r>
      <w:r>
        <w:rPr>
          <w:rFonts w:hint="eastAsia" w:ascii="宋体" w:hAnsi="宋体" w:eastAsia="宋体"/>
          <w:color w:val="auto"/>
        </w:rPr>
        <w:t>)</w:t>
      </w:r>
      <w:r>
        <w:rPr>
          <w:rFonts w:hint="eastAsia" w:ascii="Times New Roman" w:hAnsi="宋体" w:eastAsia="宋体" w:cs="Times New Roman"/>
          <w:color w:val="auto"/>
          <w:kern w:val="2"/>
          <w:szCs w:val="28"/>
          <w:lang w:val="en-US" w:eastAsia="zh-CN" w:bidi="ar-SA"/>
        </w:rPr>
        <w:t>《矿山救援规程》（应急部令第16号，</w:t>
      </w:r>
      <w:r>
        <w:rPr>
          <w:rFonts w:ascii="Times New Roman" w:hAnsi="宋体" w:eastAsia="宋体" w:cs="Times New Roman"/>
          <w:color w:val="auto"/>
          <w:kern w:val="2"/>
          <w:szCs w:val="28"/>
          <w:lang w:val="en-US" w:eastAsia="zh-CN" w:bidi="ar-SA"/>
        </w:rPr>
        <w:t>自202</w:t>
      </w:r>
      <w:r>
        <w:rPr>
          <w:rFonts w:hint="eastAsia" w:ascii="Times New Roman" w:hAnsi="宋体" w:eastAsia="宋体" w:cs="Times New Roman"/>
          <w:color w:val="auto"/>
          <w:kern w:val="2"/>
          <w:szCs w:val="28"/>
          <w:lang w:val="en-US" w:eastAsia="zh-CN" w:bidi="ar-SA"/>
        </w:rPr>
        <w:t>4</w:t>
      </w:r>
      <w:r>
        <w:rPr>
          <w:rFonts w:ascii="Times New Roman" w:hAnsi="宋体" w:eastAsia="宋体" w:cs="Times New Roman"/>
          <w:color w:val="auto"/>
          <w:kern w:val="2"/>
          <w:szCs w:val="28"/>
          <w:lang w:val="en-US" w:eastAsia="zh-CN" w:bidi="ar-SA"/>
        </w:rPr>
        <w:t>年</w:t>
      </w:r>
      <w:r>
        <w:rPr>
          <w:rFonts w:hint="eastAsia" w:ascii="Times New Roman" w:hAnsi="宋体" w:eastAsia="宋体" w:cs="Times New Roman"/>
          <w:color w:val="auto"/>
          <w:kern w:val="2"/>
          <w:szCs w:val="28"/>
          <w:lang w:val="en-US" w:eastAsia="zh-CN" w:bidi="ar-SA"/>
        </w:rPr>
        <w:t>7</w:t>
      </w:r>
      <w:r>
        <w:rPr>
          <w:rFonts w:ascii="Times New Roman" w:hAnsi="宋体" w:eastAsia="宋体" w:cs="Times New Roman"/>
          <w:color w:val="auto"/>
          <w:kern w:val="2"/>
          <w:szCs w:val="28"/>
          <w:lang w:val="en-US" w:eastAsia="zh-CN" w:bidi="ar-SA"/>
        </w:rPr>
        <w:t>月1日起施行</w:t>
      </w:r>
      <w:r>
        <w:rPr>
          <w:rFonts w:hint="eastAsia" w:ascii="Times New Roman" w:hAnsi="宋体" w:eastAsia="宋体" w:cs="Times New Roman"/>
          <w:color w:val="auto"/>
          <w:kern w:val="2"/>
          <w:szCs w:val="28"/>
          <w:lang w:val="en-US" w:eastAsia="zh-CN" w:bidi="ar-SA"/>
        </w:rPr>
        <w:t>）。</w:t>
      </w:r>
    </w:p>
    <w:p w14:paraId="4E2E8FC3">
      <w:pPr>
        <w:pStyle w:val="5"/>
        <w:keepNext/>
        <w:keepLines/>
        <w:pageBreakBefore w:val="0"/>
        <w:widowControl w:val="0"/>
        <w:kinsoku/>
        <w:wordWrap/>
        <w:overflowPunct/>
        <w:topLinePunct w:val="0"/>
        <w:autoSpaceDE/>
        <w:autoSpaceDN/>
        <w:bidi w:val="0"/>
        <w:adjustRightInd/>
        <w:snapToGrid/>
        <w:ind w:firstLine="560" w:firstLineChars="200"/>
        <w:textAlignment w:val="auto"/>
        <w:rPr>
          <w:color w:val="auto"/>
        </w:rPr>
      </w:pPr>
      <w:r>
        <w:rPr>
          <w:color w:val="auto"/>
        </w:rPr>
        <w:t>1.2.1.4规范性文件</w:t>
      </w:r>
    </w:p>
    <w:p w14:paraId="41D01727">
      <w:pPr>
        <w:ind w:firstLine="560"/>
        <w:rPr>
          <w:rFonts w:hint="eastAsia" w:eastAsia="宋体"/>
          <w:color w:val="auto"/>
          <w:lang w:eastAsia="zh-CN"/>
        </w:rPr>
      </w:pPr>
      <w:r>
        <w:rPr>
          <w:rFonts w:hint="eastAsia"/>
          <w:color w:val="auto"/>
        </w:rPr>
        <w:t>(1)《国家安全监管总局关于切实加强金属非金属地下矿山安全避险“六大系统”建设的通知》(安监总管一〔2011〕108号，安全监管总局2011年7月13日发布)</w:t>
      </w:r>
      <w:r>
        <w:rPr>
          <w:rFonts w:hint="eastAsia"/>
          <w:color w:val="auto"/>
          <w:lang w:eastAsia="zh-CN"/>
        </w:rPr>
        <w:t>；</w:t>
      </w:r>
    </w:p>
    <w:p w14:paraId="5353EDD5">
      <w:pPr>
        <w:ind w:firstLine="560"/>
        <w:rPr>
          <w:rFonts w:hint="eastAsia" w:eastAsia="宋体"/>
          <w:color w:val="auto"/>
          <w:lang w:eastAsia="zh-CN"/>
        </w:rPr>
      </w:pPr>
      <w:r>
        <w:rPr>
          <w:rFonts w:hint="eastAsia"/>
          <w:color w:val="auto"/>
        </w:rPr>
        <w:t>(2)《国家安全监管总局关于发布金属非金属矿山禁止使用的设备及工艺目录(第一批)的通知》(安监总管一〔2013〕101号，国家安全监管总局2013年9月6日发布)</w:t>
      </w:r>
      <w:r>
        <w:rPr>
          <w:rFonts w:hint="eastAsia"/>
          <w:color w:val="auto"/>
          <w:lang w:eastAsia="zh-CN"/>
        </w:rPr>
        <w:t>；</w:t>
      </w:r>
    </w:p>
    <w:p w14:paraId="5C0112BC">
      <w:pPr>
        <w:ind w:firstLine="560"/>
        <w:rPr>
          <w:rFonts w:hint="eastAsia" w:eastAsia="宋体"/>
          <w:color w:val="auto"/>
          <w:lang w:eastAsia="zh-CN"/>
        </w:rPr>
      </w:pPr>
      <w:r>
        <w:rPr>
          <w:rFonts w:hint="eastAsia"/>
          <w:color w:val="auto"/>
        </w:rPr>
        <w:t>(</w:t>
      </w:r>
      <w:r>
        <w:rPr>
          <w:rFonts w:hint="eastAsia"/>
          <w:color w:val="auto"/>
          <w:lang w:val="en-US" w:eastAsia="zh-CN"/>
        </w:rPr>
        <w:t>3</w:t>
      </w:r>
      <w:r>
        <w:rPr>
          <w:rFonts w:hint="eastAsia"/>
          <w:color w:val="auto"/>
        </w:rPr>
        <w:t>)《国家安全监管总局关于发布金属非金属矿山禁止使用的设备及工艺目录(第二批)的通知》(安监总管一〔2015〕13号，国家安全监管总局2015年2月13日发布)</w:t>
      </w:r>
      <w:r>
        <w:rPr>
          <w:rFonts w:hint="eastAsia"/>
          <w:color w:val="auto"/>
          <w:lang w:eastAsia="zh-CN"/>
        </w:rPr>
        <w:t>；</w:t>
      </w:r>
    </w:p>
    <w:p w14:paraId="24111D48">
      <w:pPr>
        <w:ind w:firstLine="560"/>
        <w:rPr>
          <w:rFonts w:hint="eastAsia" w:eastAsia="宋体"/>
          <w:color w:val="auto"/>
          <w:lang w:eastAsia="zh-CN"/>
        </w:rPr>
      </w:pPr>
      <w:r>
        <w:rPr>
          <w:rFonts w:hint="eastAsia"/>
          <w:color w:val="auto"/>
        </w:rPr>
        <w:t>(</w:t>
      </w:r>
      <w:r>
        <w:rPr>
          <w:rFonts w:hint="eastAsia"/>
          <w:color w:val="auto"/>
          <w:lang w:val="en-US" w:eastAsia="zh-CN"/>
        </w:rPr>
        <w:t>4</w:t>
      </w:r>
      <w:r>
        <w:rPr>
          <w:rFonts w:hint="eastAsia"/>
          <w:color w:val="auto"/>
        </w:rPr>
        <w:t>)《国家安全监管总局办公厅关于印发淘汰落后与推广先进安全技术装备目录管理办法的通知》(安监总厅科技〔2015〕43号，安全监管总局办公厅2015年5月12日发布)</w:t>
      </w:r>
      <w:r>
        <w:rPr>
          <w:rFonts w:hint="eastAsia"/>
          <w:color w:val="auto"/>
          <w:lang w:eastAsia="zh-CN"/>
        </w:rPr>
        <w:t>；</w:t>
      </w:r>
    </w:p>
    <w:p w14:paraId="2E9076DF">
      <w:pPr>
        <w:ind w:firstLine="560"/>
        <w:rPr>
          <w:rFonts w:hint="eastAsia" w:eastAsia="宋体"/>
          <w:color w:val="auto"/>
          <w:lang w:eastAsia="zh-CN"/>
        </w:rPr>
      </w:pPr>
      <w:r>
        <w:rPr>
          <w:rFonts w:hint="eastAsia"/>
          <w:color w:val="auto"/>
        </w:rPr>
        <w:t>(</w:t>
      </w:r>
      <w:r>
        <w:rPr>
          <w:rFonts w:hint="eastAsia"/>
          <w:color w:val="auto"/>
          <w:lang w:val="en-US" w:eastAsia="zh-CN"/>
        </w:rPr>
        <w:t>5</w:t>
      </w:r>
      <w:r>
        <w:rPr>
          <w:rFonts w:hint="eastAsia"/>
          <w:color w:val="auto"/>
        </w:rPr>
        <w:t>)《国家安全监管总局关于印发金属非金属矿山建设项目安全评价报告编写提纲的通知》(安监总管一〔2016〕49号，安全监管总局2016年5月30日发布)</w:t>
      </w:r>
      <w:r>
        <w:rPr>
          <w:rFonts w:hint="eastAsia"/>
          <w:color w:val="auto"/>
          <w:lang w:eastAsia="zh-CN"/>
        </w:rPr>
        <w:t>；</w:t>
      </w:r>
    </w:p>
    <w:p w14:paraId="10E462CE">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eastAsia="宋体" w:cs="Times New Roman"/>
          <w:color w:val="auto"/>
          <w:kern w:val="2"/>
          <w:szCs w:val="24"/>
          <w:lang w:eastAsia="zh-CN"/>
        </w:rPr>
      </w:pPr>
      <w:r>
        <w:rPr>
          <w:rFonts w:hint="eastAsia" w:cs="Times New Roman"/>
          <w:color w:val="auto"/>
          <w:kern w:val="2"/>
          <w:szCs w:val="24"/>
        </w:rPr>
        <w:t>(</w:t>
      </w:r>
      <w:r>
        <w:rPr>
          <w:rFonts w:hint="eastAsia" w:cs="Times New Roman"/>
          <w:color w:val="auto"/>
          <w:kern w:val="2"/>
          <w:szCs w:val="24"/>
          <w:lang w:val="en-US" w:eastAsia="zh-CN"/>
        </w:rPr>
        <w:t>6</w:t>
      </w:r>
      <w:r>
        <w:rPr>
          <w:rFonts w:hint="eastAsia" w:cs="Times New Roman"/>
          <w:color w:val="auto"/>
          <w:kern w:val="2"/>
          <w:szCs w:val="24"/>
        </w:rPr>
        <w:t>)《国家安全监管总局办公厅关于</w:t>
      </w:r>
      <w:r>
        <w:rPr>
          <w:rFonts w:hint="eastAsia" w:cs="Times New Roman"/>
          <w:color w:val="auto"/>
          <w:kern w:val="2"/>
          <w:szCs w:val="24"/>
          <w:lang w:val="en-US" w:eastAsia="zh-CN"/>
        </w:rPr>
        <w:t>修改</w:t>
      </w:r>
      <w:r>
        <w:rPr>
          <w:rFonts w:hint="eastAsia" w:cs="Times New Roman"/>
          <w:color w:val="auto"/>
          <w:kern w:val="2"/>
          <w:szCs w:val="24"/>
        </w:rPr>
        <w:t>用人单位劳动防护用品管理规范的通知》(安监总厅安健〔2018〕3号，安全监管总局2018年1月15日发布)</w:t>
      </w:r>
      <w:r>
        <w:rPr>
          <w:rFonts w:hint="eastAsia" w:cs="Times New Roman"/>
          <w:color w:val="auto"/>
          <w:kern w:val="2"/>
          <w:szCs w:val="24"/>
          <w:lang w:eastAsia="zh-CN"/>
        </w:rPr>
        <w:t>；</w:t>
      </w:r>
    </w:p>
    <w:p w14:paraId="2ED8692D">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cs="Times New Roman"/>
          <w:color w:val="auto"/>
          <w:kern w:val="2"/>
          <w:szCs w:val="24"/>
        </w:rPr>
      </w:pPr>
      <w:r>
        <w:rPr>
          <w:rFonts w:hint="eastAsia"/>
          <w:color w:val="auto"/>
        </w:rPr>
        <w:t>(</w:t>
      </w:r>
      <w:r>
        <w:rPr>
          <w:rFonts w:hint="eastAsia"/>
          <w:color w:val="auto"/>
          <w:lang w:val="en-US" w:eastAsia="zh-CN"/>
        </w:rPr>
        <w:t>7</w:t>
      </w:r>
      <w:r>
        <w:rPr>
          <w:rFonts w:hint="eastAsia"/>
          <w:color w:val="auto"/>
        </w:rPr>
        <w:t>)</w:t>
      </w:r>
      <w:r>
        <w:rPr>
          <w:rFonts w:hint="eastAsia"/>
          <w:color w:val="auto"/>
          <w:kern w:val="2"/>
        </w:rPr>
        <w:t>国家矿山安全监察局关于印发《关于加强非煤矿山安全生产工作的指导意见》的通知(矿安〔2022〕4号，</w:t>
      </w:r>
      <w:r>
        <w:rPr>
          <w:rFonts w:hint="eastAsia"/>
          <w:color w:val="auto"/>
        </w:rPr>
        <w:t>自2022年2月8日起施行)；</w:t>
      </w:r>
    </w:p>
    <w:p w14:paraId="6137BAB6">
      <w:pPr>
        <w:pStyle w:val="32"/>
        <w:keepNext w:val="0"/>
        <w:keepLines w:val="0"/>
        <w:pageBreakBefore w:val="0"/>
        <w:widowControl w:val="0"/>
        <w:kinsoku/>
        <w:wordWrap/>
        <w:overflowPunct/>
        <w:topLinePunct w:val="0"/>
        <w:autoSpaceDE/>
        <w:autoSpaceDN/>
        <w:bidi w:val="0"/>
        <w:spacing w:before="0" w:beforeLines="0" w:line="520" w:lineRule="exact"/>
        <w:textAlignment w:val="auto"/>
        <w:rPr>
          <w:rFonts w:hint="eastAsia"/>
          <w:color w:val="auto"/>
          <w:lang w:eastAsia="zh-CN"/>
        </w:rPr>
      </w:pPr>
      <w:r>
        <w:rPr>
          <w:rFonts w:hint="eastAsia"/>
          <w:color w:val="auto"/>
        </w:rPr>
        <w:t>(</w:t>
      </w:r>
      <w:r>
        <w:rPr>
          <w:rFonts w:hint="eastAsia"/>
          <w:color w:val="auto"/>
          <w:lang w:val="en-US" w:eastAsia="zh-CN"/>
        </w:rPr>
        <w:t>8</w:t>
      </w:r>
      <w:r>
        <w:rPr>
          <w:rFonts w:hint="eastAsia"/>
          <w:color w:val="auto"/>
        </w:rPr>
        <w:t>)</w:t>
      </w:r>
      <w:r>
        <w:rPr>
          <w:rFonts w:hint="eastAsia"/>
          <w:color w:val="auto"/>
          <w:lang w:eastAsia="zh-CN"/>
        </w:rPr>
        <w:t>《国家矿山安全监察局关于印发执行安全标志管</w:t>
      </w:r>
      <w:r>
        <w:rPr>
          <w:rFonts w:hint="eastAsia" w:ascii="宋体" w:hAnsi="宋体" w:eastAsia="宋体" w:cs="Times New Roman"/>
          <w:snapToGrid/>
          <w:color w:val="auto"/>
          <w:kern w:val="2"/>
          <w:sz w:val="28"/>
          <w:szCs w:val="24"/>
          <w:lang w:val="en-US" w:eastAsia="zh-CN" w:bidi="ar-SA"/>
        </w:rPr>
        <w:t>理的矿用产品目录的通知》</w:t>
      </w:r>
      <w:r>
        <w:rPr>
          <w:rFonts w:hint="eastAsia" w:ascii="宋体" w:hAnsi="宋体" w:cs="Times New Roman"/>
          <w:snapToGrid/>
          <w:color w:val="auto"/>
          <w:kern w:val="2"/>
          <w:sz w:val="28"/>
          <w:szCs w:val="24"/>
          <w:lang w:val="en-US" w:eastAsia="zh-CN" w:bidi="ar-SA"/>
        </w:rPr>
        <w:t>(</w:t>
      </w:r>
      <w:r>
        <w:rPr>
          <w:rFonts w:hint="eastAsia" w:ascii="宋体" w:hAnsi="宋体" w:eastAsia="宋体" w:cs="Times New Roman"/>
          <w:snapToGrid/>
          <w:color w:val="auto"/>
          <w:kern w:val="2"/>
          <w:sz w:val="28"/>
          <w:szCs w:val="24"/>
          <w:lang w:val="en-US" w:eastAsia="zh-CN" w:bidi="ar-SA"/>
        </w:rPr>
        <w:t>矿安〔2022〕123号，2022年12月10日起施</w:t>
      </w:r>
      <w:r>
        <w:rPr>
          <w:rFonts w:hint="eastAsia"/>
          <w:color w:val="auto"/>
          <w:lang w:eastAsia="zh-CN"/>
        </w:rPr>
        <w:t>行)；</w:t>
      </w:r>
    </w:p>
    <w:p w14:paraId="1BB83355">
      <w:pPr>
        <w:pStyle w:val="32"/>
        <w:keepNext w:val="0"/>
        <w:keepLines w:val="0"/>
        <w:pageBreakBefore w:val="0"/>
        <w:widowControl w:val="0"/>
        <w:kinsoku/>
        <w:wordWrap/>
        <w:overflowPunct/>
        <w:topLinePunct w:val="0"/>
        <w:autoSpaceDE/>
        <w:autoSpaceDN/>
        <w:bidi w:val="0"/>
        <w:spacing w:before="0" w:beforeLines="0" w:line="520" w:lineRule="exact"/>
        <w:textAlignment w:val="auto"/>
        <w:rPr>
          <w:rFonts w:hint="eastAsia" w:eastAsia="宋体"/>
          <w:color w:val="auto"/>
          <w:lang w:eastAsia="zh-CN"/>
        </w:rPr>
      </w:pPr>
      <w:r>
        <w:rPr>
          <w:rFonts w:hint="eastAsia"/>
          <w:color w:val="auto"/>
        </w:rPr>
        <w:t>(</w:t>
      </w:r>
      <w:r>
        <w:rPr>
          <w:rFonts w:hint="eastAsia"/>
          <w:color w:val="auto"/>
          <w:lang w:val="en-US" w:eastAsia="zh-CN"/>
        </w:rPr>
        <w:t>9</w:t>
      </w:r>
      <w:r>
        <w:rPr>
          <w:rFonts w:hint="eastAsia"/>
          <w:color w:val="auto"/>
        </w:rPr>
        <w:t>)《关于印发﹤企业安全生产费用提取和使用管理办法﹥的通知》(财</w:t>
      </w:r>
      <w:r>
        <w:rPr>
          <w:rFonts w:hint="eastAsia"/>
          <w:color w:val="auto"/>
          <w:lang w:val="en-US" w:eastAsia="zh-CN"/>
        </w:rPr>
        <w:t>资</w:t>
      </w:r>
      <w:r>
        <w:rPr>
          <w:rFonts w:hint="eastAsia"/>
          <w:color w:val="auto"/>
        </w:rPr>
        <w:t>[20</w:t>
      </w:r>
      <w:r>
        <w:rPr>
          <w:rFonts w:hint="eastAsia"/>
          <w:color w:val="auto"/>
          <w:lang w:val="en-US" w:eastAsia="zh-CN"/>
        </w:rPr>
        <w:t>2</w:t>
      </w:r>
      <w:r>
        <w:rPr>
          <w:rFonts w:hint="eastAsia"/>
          <w:color w:val="auto"/>
        </w:rPr>
        <w:t>2]1</w:t>
      </w:r>
      <w:r>
        <w:rPr>
          <w:rFonts w:hint="eastAsia"/>
          <w:color w:val="auto"/>
          <w:lang w:val="en-US" w:eastAsia="zh-CN"/>
        </w:rPr>
        <w:t>3</w:t>
      </w:r>
      <w:r>
        <w:rPr>
          <w:rFonts w:hint="eastAsia"/>
          <w:color w:val="auto"/>
        </w:rPr>
        <w:t>6号，自20</w:t>
      </w:r>
      <w:r>
        <w:rPr>
          <w:rFonts w:hint="eastAsia"/>
          <w:color w:val="auto"/>
          <w:lang w:val="en-US" w:eastAsia="zh-CN"/>
        </w:rPr>
        <w:t>2</w:t>
      </w:r>
      <w:r>
        <w:rPr>
          <w:rFonts w:hint="eastAsia"/>
          <w:color w:val="auto"/>
        </w:rPr>
        <w:t>2年</w:t>
      </w:r>
      <w:r>
        <w:rPr>
          <w:rFonts w:hint="eastAsia"/>
          <w:color w:val="auto"/>
          <w:lang w:val="en-US" w:eastAsia="zh-CN"/>
        </w:rPr>
        <w:t>11</w:t>
      </w:r>
      <w:r>
        <w:rPr>
          <w:rFonts w:hint="eastAsia"/>
          <w:color w:val="auto"/>
        </w:rPr>
        <w:t>月</w:t>
      </w:r>
      <w:r>
        <w:rPr>
          <w:rFonts w:hint="eastAsia"/>
          <w:color w:val="auto"/>
          <w:lang w:val="en-US" w:eastAsia="zh-CN"/>
        </w:rPr>
        <w:t>21</w:t>
      </w:r>
      <w:r>
        <w:rPr>
          <w:rFonts w:hint="eastAsia"/>
          <w:color w:val="auto"/>
        </w:rPr>
        <w:t>日起施行)</w:t>
      </w:r>
      <w:r>
        <w:rPr>
          <w:rFonts w:hint="eastAsia"/>
          <w:color w:val="auto"/>
          <w:lang w:eastAsia="zh-CN"/>
        </w:rPr>
        <w:t>；</w:t>
      </w:r>
    </w:p>
    <w:p w14:paraId="4D399D39">
      <w:pPr>
        <w:pStyle w:val="8"/>
        <w:keepNext w:val="0"/>
        <w:keepLines w:val="0"/>
        <w:pageBreakBefore w:val="0"/>
        <w:widowControl w:val="0"/>
        <w:kinsoku/>
        <w:wordWrap/>
        <w:overflowPunct/>
        <w:topLinePunct w:val="0"/>
        <w:autoSpaceDE/>
        <w:autoSpaceDN/>
        <w:bidi w:val="0"/>
        <w:spacing w:line="520" w:lineRule="exact"/>
        <w:textAlignment w:val="auto"/>
        <w:rPr>
          <w:rFonts w:hint="eastAsia"/>
          <w:color w:val="auto"/>
        </w:rPr>
      </w:pPr>
      <w:r>
        <w:rPr>
          <w:rFonts w:hint="eastAsia"/>
          <w:color w:val="auto"/>
        </w:rPr>
        <w:t>(</w:t>
      </w:r>
      <w:r>
        <w:rPr>
          <w:rFonts w:hint="eastAsia"/>
          <w:color w:val="auto"/>
          <w:lang w:val="en-US" w:eastAsia="zh-CN"/>
        </w:rPr>
        <w:t>10</w:t>
      </w:r>
      <w:r>
        <w:rPr>
          <w:rFonts w:hint="eastAsia"/>
          <w:color w:val="auto"/>
        </w:rPr>
        <w:t>)</w:t>
      </w:r>
      <w:r>
        <w:rPr>
          <w:rFonts w:hint="eastAsia"/>
          <w:color w:val="auto"/>
          <w:lang w:eastAsia="zh-CN"/>
        </w:rPr>
        <w:t>中共中央办公厅</w:t>
      </w:r>
      <w:r>
        <w:rPr>
          <w:rFonts w:hint="eastAsia"/>
          <w:color w:val="auto"/>
          <w:lang w:val="en-US" w:eastAsia="zh-CN"/>
        </w:rPr>
        <w:t xml:space="preserve"> </w:t>
      </w:r>
      <w:r>
        <w:rPr>
          <w:rFonts w:hint="eastAsia"/>
          <w:color w:val="auto"/>
          <w:lang w:eastAsia="zh-CN"/>
        </w:rPr>
        <w:t>国务院办公厅《关于进一步加强矿山安全生产工作的意见》(厅字〔2023〕21号)；</w:t>
      </w:r>
    </w:p>
    <w:p w14:paraId="4416D854">
      <w:pPr>
        <w:pStyle w:val="8"/>
        <w:rPr>
          <w:rFonts w:hint="eastAsia" w:cs="Times New Roman"/>
          <w:color w:val="auto"/>
          <w:kern w:val="2"/>
          <w:szCs w:val="24"/>
          <w:lang w:eastAsia="zh-CN"/>
        </w:rPr>
      </w:pPr>
      <w:r>
        <w:rPr>
          <w:rFonts w:hint="eastAsia" w:cs="Times New Roman"/>
          <w:color w:val="auto"/>
          <w:kern w:val="2"/>
          <w:szCs w:val="24"/>
        </w:rPr>
        <w:t>(</w:t>
      </w:r>
      <w:r>
        <w:rPr>
          <w:rFonts w:hint="eastAsia" w:cs="Times New Roman"/>
          <w:color w:val="auto"/>
          <w:kern w:val="2"/>
          <w:szCs w:val="24"/>
          <w:lang w:val="en-US" w:eastAsia="zh-CN"/>
        </w:rPr>
        <w:t>11</w:t>
      </w:r>
      <w:r>
        <w:rPr>
          <w:rFonts w:hint="eastAsia" w:cs="Times New Roman"/>
          <w:color w:val="auto"/>
          <w:kern w:val="2"/>
          <w:szCs w:val="24"/>
        </w:rPr>
        <w:t>)</w:t>
      </w:r>
      <w:r>
        <w:rPr>
          <w:rFonts w:hint="eastAsia" w:ascii="宋体" w:hAnsi="宋体" w:eastAsia="宋体"/>
          <w:color w:val="auto"/>
          <w:lang w:val="en-US" w:eastAsia="zh-CN"/>
        </w:rPr>
        <w:t>国家矿山安全监察局关于印发《矿山生产安全事故报告和调查处理办法》的通知</w:t>
      </w:r>
      <w:r>
        <w:rPr>
          <w:rFonts w:hint="eastAsia" w:ascii="宋体" w:hAnsi="宋体" w:eastAsia="宋体"/>
          <w:color w:val="auto"/>
        </w:rPr>
        <w:t>(</w:t>
      </w:r>
      <w:r>
        <w:rPr>
          <w:rFonts w:hint="eastAsia" w:ascii="宋体" w:hAnsi="宋体" w:eastAsia="宋体"/>
          <w:color w:val="auto"/>
          <w:lang w:val="en-US" w:eastAsia="zh-CN"/>
        </w:rPr>
        <w:t>矿安〔2023〕7号，</w:t>
      </w:r>
      <w:r>
        <w:rPr>
          <w:rFonts w:hint="eastAsia" w:ascii="宋体" w:hAnsi="宋体" w:eastAsia="宋体"/>
          <w:color w:val="auto"/>
        </w:rPr>
        <w:t>自</w:t>
      </w:r>
      <w:r>
        <w:rPr>
          <w:rFonts w:hint="default" w:ascii="宋体" w:hAnsi="宋体" w:eastAsia="宋体"/>
          <w:color w:val="auto"/>
        </w:rPr>
        <w:t>2023</w:t>
      </w:r>
      <w:r>
        <w:rPr>
          <w:rFonts w:hint="eastAsia" w:ascii="宋体" w:hAnsi="宋体" w:eastAsia="宋体"/>
          <w:color w:val="auto"/>
        </w:rPr>
        <w:t>年</w:t>
      </w:r>
      <w:r>
        <w:rPr>
          <w:rFonts w:hint="default" w:ascii="宋体" w:hAnsi="宋体" w:eastAsia="宋体"/>
          <w:color w:val="auto"/>
        </w:rPr>
        <w:t>1</w:t>
      </w:r>
      <w:r>
        <w:rPr>
          <w:rFonts w:hint="eastAsia" w:ascii="宋体" w:hAnsi="宋体" w:eastAsia="宋体"/>
          <w:color w:val="auto"/>
        </w:rPr>
        <w:t>月</w:t>
      </w:r>
      <w:r>
        <w:rPr>
          <w:rFonts w:hint="default" w:ascii="宋体" w:hAnsi="宋体" w:eastAsia="宋体"/>
          <w:color w:val="auto"/>
        </w:rPr>
        <w:t>17</w:t>
      </w:r>
      <w:r>
        <w:rPr>
          <w:rFonts w:hint="eastAsia" w:ascii="宋体" w:hAnsi="宋体" w:eastAsia="宋体"/>
          <w:color w:val="auto"/>
        </w:rPr>
        <w:t>日实施</w:t>
      </w:r>
      <w:r>
        <w:rPr>
          <w:rFonts w:hint="eastAsia" w:cs="Times New Roman"/>
          <w:color w:val="auto"/>
          <w:kern w:val="2"/>
          <w:szCs w:val="24"/>
        </w:rPr>
        <w:t>)</w:t>
      </w:r>
      <w:r>
        <w:rPr>
          <w:rFonts w:hint="eastAsia" w:cs="Times New Roman"/>
          <w:color w:val="auto"/>
          <w:kern w:val="2"/>
          <w:szCs w:val="24"/>
          <w:lang w:eastAsia="zh-CN"/>
        </w:rPr>
        <w:t>；</w:t>
      </w:r>
    </w:p>
    <w:p w14:paraId="1001B9C0">
      <w:pPr>
        <w:pStyle w:val="8"/>
        <w:rPr>
          <w:rFonts w:hint="eastAsia" w:eastAsia="宋体"/>
          <w:color w:val="auto"/>
          <w:lang w:eastAsia="zh-CN"/>
        </w:rPr>
      </w:pPr>
      <w:r>
        <w:rPr>
          <w:rFonts w:hint="eastAsia" w:cs="Times New Roman"/>
          <w:color w:val="auto"/>
          <w:kern w:val="2"/>
          <w:szCs w:val="24"/>
        </w:rPr>
        <w:t>(</w:t>
      </w:r>
      <w:r>
        <w:rPr>
          <w:rFonts w:hint="eastAsia" w:cs="Times New Roman"/>
          <w:color w:val="auto"/>
          <w:kern w:val="2"/>
          <w:szCs w:val="24"/>
          <w:lang w:val="en-US" w:eastAsia="zh-CN"/>
        </w:rPr>
        <w:t>12</w:t>
      </w:r>
      <w:r>
        <w:rPr>
          <w:rFonts w:hint="eastAsia" w:cs="Times New Roman"/>
          <w:color w:val="auto"/>
          <w:kern w:val="2"/>
          <w:szCs w:val="24"/>
        </w:rPr>
        <w:t>)</w:t>
      </w:r>
      <w:r>
        <w:rPr>
          <w:rFonts w:hint="eastAsia"/>
          <w:color w:val="auto"/>
        </w:rPr>
        <w:t>《国家矿山安全监察局关于做好非煤矿山灾害情况发生重大变化及时报告和出现事故征兆等紧急情况及时撤人工作的通知》(矿安〔2023〕60号，2023年6月21日)</w:t>
      </w:r>
      <w:r>
        <w:rPr>
          <w:rFonts w:hint="eastAsia"/>
          <w:color w:val="auto"/>
          <w:lang w:eastAsia="zh-CN"/>
        </w:rPr>
        <w:t>；</w:t>
      </w:r>
    </w:p>
    <w:p w14:paraId="75D04876">
      <w:pPr>
        <w:keepNext w:val="0"/>
        <w:keepLines w:val="0"/>
        <w:pageBreakBefore w:val="0"/>
        <w:widowControl w:val="0"/>
        <w:numPr>
          <w:ilvl w:val="0"/>
          <w:numId w:val="0"/>
        </w:numPr>
        <w:kinsoku/>
        <w:wordWrap/>
        <w:overflowPunct/>
        <w:topLinePunct w:val="0"/>
        <w:autoSpaceDE/>
        <w:autoSpaceDN/>
        <w:bidi w:val="0"/>
        <w:adjustRightInd/>
        <w:snapToGrid/>
        <w:ind w:leftChars="0" w:firstLine="560" w:firstLineChars="200"/>
        <w:textAlignment w:val="auto"/>
        <w:rPr>
          <w:rFonts w:hint="eastAsia"/>
          <w:color w:val="auto"/>
          <w:lang w:eastAsia="zh-CN"/>
        </w:rPr>
      </w:pPr>
      <w:r>
        <w:rPr>
          <w:rFonts w:hint="eastAsia" w:cs="Times New Roman"/>
          <w:color w:val="auto"/>
          <w:kern w:val="2"/>
          <w:szCs w:val="24"/>
        </w:rPr>
        <w:t>(</w:t>
      </w:r>
      <w:r>
        <w:rPr>
          <w:rFonts w:hint="eastAsia" w:cs="Times New Roman"/>
          <w:color w:val="auto"/>
          <w:kern w:val="2"/>
          <w:szCs w:val="24"/>
          <w:lang w:val="en-US" w:eastAsia="zh-CN"/>
        </w:rPr>
        <w:t>13</w:t>
      </w:r>
      <w:r>
        <w:rPr>
          <w:rFonts w:hint="eastAsia" w:cs="Times New Roman"/>
          <w:color w:val="auto"/>
          <w:kern w:val="2"/>
          <w:szCs w:val="24"/>
        </w:rPr>
        <w:t>)</w:t>
      </w:r>
      <w:r>
        <w:rPr>
          <w:rFonts w:hint="eastAsia"/>
          <w:color w:val="auto"/>
        </w:rPr>
        <w:t>国家矿山安全监察局关于印发《防范非煤矿山典型多发事故六十条措施》的通知(矿安〔2023〕124号</w:t>
      </w:r>
      <w:r>
        <w:rPr>
          <w:rFonts w:hint="eastAsia"/>
          <w:color w:val="auto"/>
          <w:lang w:val="en-US" w:eastAsia="zh-CN"/>
        </w:rPr>
        <w:t>,2023年9月12日</w:t>
      </w:r>
      <w:r>
        <w:rPr>
          <w:rFonts w:hint="eastAsia"/>
          <w:color w:val="auto"/>
        </w:rPr>
        <w:t>)</w:t>
      </w:r>
      <w:r>
        <w:rPr>
          <w:rFonts w:hint="eastAsia"/>
          <w:color w:val="auto"/>
          <w:lang w:eastAsia="zh-CN"/>
        </w:rPr>
        <w:t>；</w:t>
      </w:r>
    </w:p>
    <w:p w14:paraId="7F745CDA">
      <w:pPr>
        <w:keepNext w:val="0"/>
        <w:keepLines w:val="0"/>
        <w:pageBreakBefore w:val="0"/>
        <w:widowControl w:val="0"/>
        <w:numPr>
          <w:ilvl w:val="0"/>
          <w:numId w:val="0"/>
        </w:numPr>
        <w:kinsoku/>
        <w:wordWrap/>
        <w:overflowPunct/>
        <w:topLinePunct w:val="0"/>
        <w:autoSpaceDE/>
        <w:autoSpaceDN/>
        <w:bidi w:val="0"/>
        <w:adjustRightInd/>
        <w:snapToGrid/>
        <w:ind w:leftChars="0" w:firstLine="560" w:firstLineChars="200"/>
        <w:textAlignment w:val="auto"/>
        <w:rPr>
          <w:rFonts w:hint="eastAsia" w:eastAsia="宋体" w:cs="Times New Roman"/>
          <w:color w:val="auto"/>
          <w:kern w:val="2"/>
          <w:szCs w:val="24"/>
          <w:lang w:eastAsia="zh-CN"/>
        </w:rPr>
      </w:pPr>
      <w:r>
        <w:rPr>
          <w:rFonts w:hint="eastAsia" w:cs="Times New Roman"/>
          <w:color w:val="auto"/>
          <w:kern w:val="2"/>
          <w:szCs w:val="24"/>
        </w:rPr>
        <w:t>(</w:t>
      </w:r>
      <w:r>
        <w:rPr>
          <w:rFonts w:hint="eastAsia" w:cs="Times New Roman"/>
          <w:color w:val="auto"/>
          <w:kern w:val="2"/>
          <w:szCs w:val="24"/>
          <w:lang w:val="en-US" w:eastAsia="zh-CN"/>
        </w:rPr>
        <w:t>14</w:t>
      </w:r>
      <w:r>
        <w:rPr>
          <w:rFonts w:hint="eastAsia" w:cs="Times New Roman"/>
          <w:color w:val="auto"/>
          <w:kern w:val="2"/>
          <w:szCs w:val="24"/>
        </w:rPr>
        <w:t>)</w:t>
      </w:r>
      <w:r>
        <w:rPr>
          <w:rFonts w:hint="eastAsia"/>
          <w:color w:val="auto"/>
        </w:rPr>
        <w:t>关于印发《陕西省非煤矿山“机械化、自动化、信息化、智能化”建设实施方案的通知</w:t>
      </w:r>
      <w:r>
        <w:rPr>
          <w:rFonts w:hint="eastAsia"/>
          <w:color w:val="auto"/>
          <w:lang w:eastAsia="zh-CN"/>
        </w:rPr>
        <w:t>(</w:t>
      </w:r>
      <w:r>
        <w:rPr>
          <w:rFonts w:hint="eastAsia"/>
          <w:color w:val="auto"/>
        </w:rPr>
        <w:t>2024-2028</w:t>
      </w:r>
      <w:r>
        <w:rPr>
          <w:rFonts w:hint="eastAsia"/>
          <w:color w:val="auto"/>
          <w:lang w:eastAsia="zh-CN"/>
        </w:rPr>
        <w:t>)</w:t>
      </w:r>
      <w:r>
        <w:rPr>
          <w:rFonts w:hint="eastAsia"/>
          <w:color w:val="auto"/>
        </w:rPr>
        <w:t>》</w:t>
      </w:r>
      <w:r>
        <w:rPr>
          <w:rFonts w:hint="eastAsia"/>
          <w:color w:val="auto"/>
          <w:lang w:eastAsia="zh-CN"/>
        </w:rPr>
        <w:t>(</w:t>
      </w:r>
      <w:r>
        <w:rPr>
          <w:rFonts w:hint="eastAsia"/>
          <w:color w:val="auto"/>
        </w:rPr>
        <w:t>陕应急〔2023〕542号</w:t>
      </w:r>
      <w:r>
        <w:rPr>
          <w:rFonts w:hint="eastAsia"/>
          <w:color w:val="auto"/>
          <w:lang w:eastAsia="zh-CN"/>
        </w:rPr>
        <w:t>)；</w:t>
      </w:r>
    </w:p>
    <w:p w14:paraId="00EC6C0B">
      <w:pPr>
        <w:keepNext w:val="0"/>
        <w:keepLines w:val="0"/>
        <w:pageBreakBefore w:val="0"/>
        <w:widowControl w:val="0"/>
        <w:numPr>
          <w:ilvl w:val="0"/>
          <w:numId w:val="0"/>
        </w:numPr>
        <w:kinsoku/>
        <w:wordWrap/>
        <w:overflowPunct/>
        <w:topLinePunct w:val="0"/>
        <w:autoSpaceDE/>
        <w:autoSpaceDN/>
        <w:bidi w:val="0"/>
        <w:adjustRightInd/>
        <w:snapToGrid/>
        <w:ind w:leftChars="0" w:firstLine="560" w:firstLineChars="200"/>
        <w:textAlignment w:val="auto"/>
        <w:rPr>
          <w:rFonts w:hint="eastAsia"/>
          <w:color w:val="auto"/>
          <w:lang w:val="en-US" w:eastAsia="zh-CN"/>
        </w:rPr>
      </w:pPr>
      <w:r>
        <w:rPr>
          <w:rFonts w:hint="eastAsia" w:cs="Times New Roman"/>
          <w:color w:val="auto"/>
          <w:kern w:val="2"/>
          <w:szCs w:val="24"/>
        </w:rPr>
        <w:t>(</w:t>
      </w:r>
      <w:r>
        <w:rPr>
          <w:rFonts w:hint="eastAsia" w:cs="Times New Roman"/>
          <w:color w:val="auto"/>
          <w:kern w:val="2"/>
          <w:szCs w:val="24"/>
          <w:lang w:val="en-US" w:eastAsia="zh-CN"/>
        </w:rPr>
        <w:t>15</w:t>
      </w:r>
      <w:r>
        <w:rPr>
          <w:rFonts w:hint="eastAsia" w:cs="Times New Roman"/>
          <w:color w:val="auto"/>
          <w:kern w:val="2"/>
          <w:szCs w:val="24"/>
        </w:rPr>
        <w:t>)</w:t>
      </w:r>
      <w:r>
        <w:rPr>
          <w:rFonts w:hint="eastAsia" w:ascii="宋体" w:hAnsi="宋体" w:eastAsia="宋体"/>
          <w:color w:val="auto"/>
          <w:lang w:val="en-US" w:eastAsia="zh-CN"/>
        </w:rPr>
        <w:t>国务院安全生产委员会印发《关于防范遏制矿山领域重特大生产安全事故的硬措施》的通知(安委〔2024〕1号,2024年1月16日)</w:t>
      </w:r>
      <w:r>
        <w:rPr>
          <w:rFonts w:hint="eastAsia"/>
          <w:color w:val="auto"/>
          <w:lang w:val="en-US" w:eastAsia="zh-CN"/>
        </w:rPr>
        <w:t>；</w:t>
      </w:r>
    </w:p>
    <w:p w14:paraId="5ED5EDE6">
      <w:pPr>
        <w:keepNext w:val="0"/>
        <w:keepLines w:val="0"/>
        <w:pageBreakBefore w:val="0"/>
        <w:widowControl w:val="0"/>
        <w:numPr>
          <w:ilvl w:val="0"/>
          <w:numId w:val="0"/>
        </w:numPr>
        <w:kinsoku/>
        <w:wordWrap/>
        <w:overflowPunct/>
        <w:topLinePunct w:val="0"/>
        <w:autoSpaceDE/>
        <w:autoSpaceDN/>
        <w:bidi w:val="0"/>
        <w:adjustRightInd/>
        <w:snapToGrid/>
        <w:ind w:leftChars="0" w:firstLine="560" w:firstLineChars="200"/>
        <w:textAlignment w:val="auto"/>
        <w:rPr>
          <w:rFonts w:hint="eastAsia"/>
          <w:color w:val="auto"/>
          <w:lang w:val="en-US" w:eastAsia="zh-CN"/>
        </w:rPr>
      </w:pPr>
      <w:r>
        <w:rPr>
          <w:rFonts w:hint="eastAsia" w:cs="Times New Roman"/>
          <w:color w:val="auto"/>
          <w:kern w:val="2"/>
          <w:szCs w:val="24"/>
        </w:rPr>
        <w:t>(</w:t>
      </w:r>
      <w:r>
        <w:rPr>
          <w:rFonts w:hint="eastAsia" w:cs="Times New Roman"/>
          <w:color w:val="auto"/>
          <w:kern w:val="2"/>
          <w:szCs w:val="24"/>
          <w:lang w:val="en-US" w:eastAsia="zh-CN"/>
        </w:rPr>
        <w:t>16</w:t>
      </w:r>
      <w:r>
        <w:rPr>
          <w:rFonts w:hint="eastAsia" w:cs="Times New Roman"/>
          <w:color w:val="auto"/>
          <w:kern w:val="2"/>
          <w:szCs w:val="24"/>
        </w:rPr>
        <w:t>)</w:t>
      </w:r>
      <w:r>
        <w:rPr>
          <w:rFonts w:hint="eastAsia" w:ascii="宋体" w:hAnsi="宋体" w:eastAsia="宋体"/>
          <w:color w:val="auto"/>
          <w:lang w:val="en-US" w:eastAsia="zh-CN"/>
        </w:rPr>
        <w:t>陕西省应急管理厅关于印发《非煤地下矿山、露天矿山、尾矿库事故防控硬措施》的通知(陕应急〔2024〕43号,2024年2月3日)</w:t>
      </w:r>
      <w:r>
        <w:rPr>
          <w:rFonts w:hint="eastAsia"/>
          <w:color w:val="auto"/>
          <w:lang w:val="en-US" w:eastAsia="zh-CN"/>
        </w:rPr>
        <w:t>；</w:t>
      </w:r>
    </w:p>
    <w:p w14:paraId="103D523E">
      <w:pPr>
        <w:keepNext w:val="0"/>
        <w:keepLines w:val="0"/>
        <w:pageBreakBefore w:val="0"/>
        <w:widowControl w:val="0"/>
        <w:numPr>
          <w:ilvl w:val="0"/>
          <w:numId w:val="0"/>
        </w:numPr>
        <w:kinsoku/>
        <w:wordWrap/>
        <w:overflowPunct/>
        <w:topLinePunct w:val="0"/>
        <w:autoSpaceDE/>
        <w:autoSpaceDN/>
        <w:bidi w:val="0"/>
        <w:adjustRightInd/>
        <w:snapToGrid/>
        <w:ind w:leftChars="0" w:firstLine="560" w:firstLineChars="200"/>
        <w:textAlignment w:val="auto"/>
        <w:rPr>
          <w:rFonts w:hint="eastAsia"/>
          <w:color w:val="auto"/>
          <w:lang w:val="en-US" w:eastAsia="zh-CN"/>
        </w:rPr>
      </w:pPr>
      <w:r>
        <w:rPr>
          <w:rFonts w:hint="eastAsia" w:cs="Times New Roman"/>
          <w:color w:val="auto"/>
          <w:kern w:val="2"/>
          <w:szCs w:val="24"/>
        </w:rPr>
        <w:t>(</w:t>
      </w:r>
      <w:r>
        <w:rPr>
          <w:rFonts w:hint="eastAsia" w:cs="Times New Roman"/>
          <w:color w:val="auto"/>
          <w:kern w:val="2"/>
          <w:szCs w:val="24"/>
          <w:lang w:val="en-US" w:eastAsia="zh-CN"/>
        </w:rPr>
        <w:t>17</w:t>
      </w:r>
      <w:r>
        <w:rPr>
          <w:rFonts w:hint="eastAsia" w:cs="Times New Roman"/>
          <w:color w:val="auto"/>
          <w:kern w:val="2"/>
          <w:szCs w:val="24"/>
        </w:rPr>
        <w:t>)</w:t>
      </w:r>
      <w:r>
        <w:rPr>
          <w:rFonts w:hint="eastAsia" w:ascii="宋体" w:hAnsi="宋体" w:eastAsia="宋体"/>
          <w:color w:val="auto"/>
          <w:lang w:val="en-US" w:eastAsia="zh-CN"/>
        </w:rPr>
        <w:t>国家矿山安全监察局关于印发2024年矿山安全先进适用技术及装备推广目录与落后工艺及设备淘汰目录的通知</w:t>
      </w:r>
      <w:r>
        <w:rPr>
          <w:rFonts w:hint="eastAsia"/>
          <w:color w:val="auto"/>
          <w:lang w:val="en-US" w:eastAsia="zh-CN"/>
        </w:rPr>
        <w:t>(</w:t>
      </w:r>
      <w:r>
        <w:rPr>
          <w:rFonts w:hint="eastAsia" w:ascii="宋体" w:hAnsi="宋体" w:eastAsia="宋体"/>
          <w:color w:val="auto"/>
          <w:lang w:val="en-US" w:eastAsia="zh-CN"/>
        </w:rPr>
        <w:t>国家矿山安全监察局，</w:t>
      </w:r>
      <w:r>
        <w:rPr>
          <w:rFonts w:hint="default" w:ascii="宋体" w:hAnsi="宋体" w:eastAsia="宋体"/>
          <w:color w:val="auto"/>
          <w:lang w:val="en-US" w:eastAsia="zh-CN"/>
        </w:rPr>
        <w:t>2024</w:t>
      </w:r>
      <w:r>
        <w:rPr>
          <w:rFonts w:hint="eastAsia" w:ascii="宋体" w:hAnsi="宋体" w:eastAsia="宋体"/>
          <w:color w:val="auto"/>
          <w:lang w:val="en-US" w:eastAsia="zh-CN"/>
        </w:rPr>
        <w:t>年</w:t>
      </w:r>
      <w:r>
        <w:rPr>
          <w:rFonts w:hint="default" w:ascii="宋体" w:hAnsi="宋体" w:eastAsia="宋体"/>
          <w:color w:val="auto"/>
          <w:lang w:val="en-US" w:eastAsia="zh-CN"/>
        </w:rPr>
        <w:t>6</w:t>
      </w:r>
      <w:r>
        <w:rPr>
          <w:rFonts w:hint="eastAsia" w:ascii="宋体" w:hAnsi="宋体" w:eastAsia="宋体"/>
          <w:color w:val="auto"/>
          <w:lang w:val="en-US" w:eastAsia="zh-CN"/>
        </w:rPr>
        <w:t>月</w:t>
      </w:r>
      <w:r>
        <w:rPr>
          <w:rFonts w:hint="default" w:ascii="宋体" w:hAnsi="宋体" w:eastAsia="宋体"/>
          <w:color w:val="auto"/>
          <w:lang w:val="en-US" w:eastAsia="zh-CN"/>
        </w:rPr>
        <w:t>17</w:t>
      </w:r>
      <w:r>
        <w:rPr>
          <w:rFonts w:hint="eastAsia" w:ascii="宋体" w:hAnsi="宋体" w:eastAsia="宋体"/>
          <w:color w:val="auto"/>
          <w:lang w:val="en-US" w:eastAsia="zh-CN"/>
        </w:rPr>
        <w:t>日</w:t>
      </w:r>
      <w:r>
        <w:rPr>
          <w:rFonts w:hint="eastAsia"/>
          <w:color w:val="auto"/>
          <w:lang w:val="en-US" w:eastAsia="zh-CN"/>
        </w:rPr>
        <w:t>)；</w:t>
      </w:r>
    </w:p>
    <w:p w14:paraId="55A9966B">
      <w:pPr>
        <w:keepNext w:val="0"/>
        <w:keepLines w:val="0"/>
        <w:pageBreakBefore w:val="0"/>
        <w:widowControl w:val="0"/>
        <w:numPr>
          <w:ilvl w:val="0"/>
          <w:numId w:val="0"/>
        </w:numPr>
        <w:kinsoku/>
        <w:wordWrap/>
        <w:overflowPunct/>
        <w:topLinePunct w:val="0"/>
        <w:autoSpaceDE/>
        <w:autoSpaceDN/>
        <w:bidi w:val="0"/>
        <w:adjustRightInd/>
        <w:snapToGrid/>
        <w:ind w:leftChars="0" w:firstLine="560" w:firstLineChars="200"/>
        <w:textAlignment w:val="auto"/>
        <w:rPr>
          <w:rFonts w:hint="eastAsia"/>
          <w:color w:val="auto"/>
          <w:lang w:val="en-US" w:eastAsia="zh-CN"/>
        </w:rPr>
      </w:pPr>
      <w:r>
        <w:rPr>
          <w:rFonts w:hint="eastAsia" w:cs="Times New Roman"/>
          <w:color w:val="auto"/>
          <w:kern w:val="2"/>
          <w:szCs w:val="24"/>
        </w:rPr>
        <w:t>(</w:t>
      </w:r>
      <w:r>
        <w:rPr>
          <w:rFonts w:hint="eastAsia" w:cs="Times New Roman"/>
          <w:color w:val="auto"/>
          <w:kern w:val="2"/>
          <w:szCs w:val="24"/>
          <w:lang w:val="en-US" w:eastAsia="zh-CN"/>
        </w:rPr>
        <w:t>18</w:t>
      </w:r>
      <w:r>
        <w:rPr>
          <w:rFonts w:hint="eastAsia" w:cs="Times New Roman"/>
          <w:color w:val="auto"/>
          <w:kern w:val="2"/>
          <w:szCs w:val="24"/>
        </w:rPr>
        <w:t>)</w:t>
      </w:r>
      <w:r>
        <w:rPr>
          <w:rFonts w:hint="eastAsia" w:ascii="宋体" w:hAnsi="宋体" w:eastAsia="宋体"/>
          <w:color w:val="auto"/>
          <w:lang w:val="en-US" w:eastAsia="zh-CN"/>
        </w:rPr>
        <w:t>国家矿山安全监察局关于进一步加强非煤矿山安全生产行政许可工作的通知</w:t>
      </w:r>
      <w:r>
        <w:rPr>
          <w:rFonts w:hint="eastAsia"/>
          <w:color w:val="auto"/>
          <w:lang w:val="en-US" w:eastAsia="zh-CN"/>
        </w:rPr>
        <w:t>(</w:t>
      </w:r>
      <w:r>
        <w:rPr>
          <w:rFonts w:hint="eastAsia" w:ascii="宋体" w:hAnsi="宋体" w:eastAsia="宋体"/>
          <w:color w:val="auto"/>
          <w:lang w:val="en-US" w:eastAsia="zh-CN"/>
        </w:rPr>
        <w:t>矿安〔2024〕70号，2024年6月28日</w:t>
      </w:r>
      <w:r>
        <w:rPr>
          <w:rFonts w:hint="eastAsia"/>
          <w:color w:val="auto"/>
          <w:lang w:val="en-US" w:eastAsia="zh-CN"/>
        </w:rPr>
        <w:t>)；</w:t>
      </w:r>
    </w:p>
    <w:p w14:paraId="53F51C94">
      <w:pPr>
        <w:keepNext w:val="0"/>
        <w:keepLines w:val="0"/>
        <w:pageBreakBefore w:val="0"/>
        <w:widowControl w:val="0"/>
        <w:numPr>
          <w:ilvl w:val="0"/>
          <w:numId w:val="0"/>
        </w:numPr>
        <w:kinsoku/>
        <w:wordWrap/>
        <w:overflowPunct/>
        <w:topLinePunct w:val="0"/>
        <w:autoSpaceDE/>
        <w:autoSpaceDN/>
        <w:bidi w:val="0"/>
        <w:adjustRightInd/>
        <w:snapToGrid/>
        <w:ind w:leftChars="0" w:firstLine="560" w:firstLineChars="200"/>
        <w:textAlignment w:val="auto"/>
        <w:rPr>
          <w:rFonts w:hint="eastAsia" w:ascii="宋体" w:hAnsi="宋体" w:eastAsia="宋体"/>
          <w:color w:val="auto"/>
          <w:lang w:val="en-US" w:eastAsia="zh-CN"/>
        </w:rPr>
      </w:pPr>
      <w:r>
        <w:rPr>
          <w:rFonts w:hint="eastAsia" w:cs="Times New Roman"/>
          <w:color w:val="auto"/>
          <w:kern w:val="2"/>
          <w:szCs w:val="24"/>
        </w:rPr>
        <w:t>(</w:t>
      </w:r>
      <w:r>
        <w:rPr>
          <w:rFonts w:hint="eastAsia" w:cs="Times New Roman"/>
          <w:color w:val="auto"/>
          <w:kern w:val="2"/>
          <w:szCs w:val="24"/>
          <w:lang w:val="en-US" w:eastAsia="zh-CN"/>
        </w:rPr>
        <w:t>19</w:t>
      </w:r>
      <w:r>
        <w:rPr>
          <w:rFonts w:hint="eastAsia" w:cs="Times New Roman"/>
          <w:color w:val="auto"/>
          <w:kern w:val="2"/>
          <w:szCs w:val="24"/>
        </w:rPr>
        <w:t>)</w:t>
      </w:r>
      <w:r>
        <w:rPr>
          <w:rFonts w:hint="eastAsia" w:ascii="宋体" w:hAnsi="宋体" w:eastAsia="宋体"/>
          <w:color w:val="auto"/>
          <w:lang w:val="en-US" w:eastAsia="zh-CN"/>
        </w:rPr>
        <w:t>国家矿山安全监察局综合司关于进一步加强矿山隐蔽致灾因素普查工作的通知</w:t>
      </w:r>
      <w:r>
        <w:rPr>
          <w:rFonts w:hint="eastAsia"/>
          <w:color w:val="auto"/>
          <w:lang w:val="en-US" w:eastAsia="zh-CN"/>
        </w:rPr>
        <w:t>(</w:t>
      </w:r>
      <w:r>
        <w:rPr>
          <w:rFonts w:hint="eastAsia" w:ascii="宋体" w:hAnsi="宋体" w:eastAsia="宋体"/>
          <w:color w:val="auto"/>
          <w:lang w:val="en-US" w:eastAsia="zh-CN"/>
        </w:rPr>
        <w:t>矿安</w:t>
      </w:r>
      <w:r>
        <w:rPr>
          <w:rFonts w:hint="eastAsia"/>
          <w:color w:val="auto"/>
          <w:lang w:val="en-US" w:eastAsia="zh-CN"/>
        </w:rPr>
        <w:t>综函</w:t>
      </w:r>
      <w:r>
        <w:rPr>
          <w:rFonts w:hint="eastAsia" w:ascii="宋体" w:hAnsi="宋体" w:eastAsia="宋体"/>
          <w:color w:val="auto"/>
          <w:lang w:val="en-US" w:eastAsia="zh-CN"/>
        </w:rPr>
        <w:t>〔2024〕</w:t>
      </w:r>
      <w:r>
        <w:rPr>
          <w:rFonts w:hint="eastAsia"/>
          <w:color w:val="auto"/>
          <w:lang w:val="en-US" w:eastAsia="zh-CN"/>
        </w:rPr>
        <w:t>259</w:t>
      </w:r>
      <w:r>
        <w:rPr>
          <w:rFonts w:hint="eastAsia" w:ascii="宋体" w:hAnsi="宋体" w:eastAsia="宋体"/>
          <w:color w:val="auto"/>
          <w:lang w:val="en-US" w:eastAsia="zh-CN"/>
        </w:rPr>
        <w:t>号，2024年</w:t>
      </w:r>
      <w:r>
        <w:rPr>
          <w:rFonts w:hint="eastAsia"/>
          <w:color w:val="auto"/>
          <w:lang w:val="en-US" w:eastAsia="zh-CN"/>
        </w:rPr>
        <w:t>10</w:t>
      </w:r>
      <w:r>
        <w:rPr>
          <w:rFonts w:hint="eastAsia" w:ascii="宋体" w:hAnsi="宋体" w:eastAsia="宋体"/>
          <w:color w:val="auto"/>
          <w:lang w:val="en-US" w:eastAsia="zh-CN"/>
        </w:rPr>
        <w:t>月2</w:t>
      </w:r>
      <w:r>
        <w:rPr>
          <w:rFonts w:hint="eastAsia"/>
          <w:color w:val="auto"/>
          <w:lang w:val="en-US" w:eastAsia="zh-CN"/>
        </w:rPr>
        <w:t>3</w:t>
      </w:r>
      <w:r>
        <w:rPr>
          <w:rFonts w:hint="eastAsia" w:ascii="宋体" w:hAnsi="宋体" w:eastAsia="宋体"/>
          <w:color w:val="auto"/>
          <w:lang w:val="en-US" w:eastAsia="zh-CN"/>
        </w:rPr>
        <w:t>日</w:t>
      </w:r>
      <w:r>
        <w:rPr>
          <w:rFonts w:hint="eastAsia"/>
          <w:color w:val="auto"/>
          <w:lang w:val="en-US" w:eastAsia="zh-CN"/>
        </w:rPr>
        <w:t>)；</w:t>
      </w:r>
    </w:p>
    <w:p w14:paraId="5A18E5DB">
      <w:pPr>
        <w:keepNext w:val="0"/>
        <w:keepLines w:val="0"/>
        <w:pageBreakBefore w:val="0"/>
        <w:widowControl w:val="0"/>
        <w:numPr>
          <w:ilvl w:val="0"/>
          <w:numId w:val="0"/>
        </w:numPr>
        <w:kinsoku/>
        <w:wordWrap/>
        <w:overflowPunct/>
        <w:topLinePunct w:val="0"/>
        <w:autoSpaceDE/>
        <w:autoSpaceDN/>
        <w:bidi w:val="0"/>
        <w:adjustRightInd/>
        <w:snapToGrid/>
        <w:ind w:leftChars="0" w:firstLine="560" w:firstLineChars="200"/>
        <w:textAlignment w:val="auto"/>
        <w:rPr>
          <w:rFonts w:hint="eastAsia" w:ascii="宋体" w:hAnsi="宋体" w:eastAsia="宋体"/>
          <w:color w:val="auto"/>
          <w:lang w:val="en-US" w:eastAsia="zh-CN"/>
        </w:rPr>
      </w:pPr>
      <w:r>
        <w:rPr>
          <w:rFonts w:hint="eastAsia" w:cs="Times New Roman"/>
          <w:color w:val="auto"/>
          <w:kern w:val="2"/>
          <w:szCs w:val="24"/>
        </w:rPr>
        <w:t>(</w:t>
      </w:r>
      <w:r>
        <w:rPr>
          <w:rFonts w:hint="eastAsia" w:cs="Times New Roman"/>
          <w:color w:val="auto"/>
          <w:kern w:val="2"/>
          <w:szCs w:val="24"/>
          <w:lang w:val="en-US" w:eastAsia="zh-CN"/>
        </w:rPr>
        <w:t>20</w:t>
      </w:r>
      <w:r>
        <w:rPr>
          <w:rFonts w:hint="eastAsia" w:cs="Times New Roman"/>
          <w:color w:val="auto"/>
          <w:kern w:val="2"/>
          <w:szCs w:val="24"/>
        </w:rPr>
        <w:t>)</w:t>
      </w:r>
      <w:r>
        <w:rPr>
          <w:rFonts w:hint="eastAsia" w:ascii="宋体" w:hAnsi="宋体" w:eastAsia="宋体"/>
          <w:color w:val="auto"/>
          <w:lang w:val="en-US" w:eastAsia="zh-CN"/>
        </w:rPr>
        <w:t>国家矿山安全监察局综合司关于明确矿山“五职”矿长和“五科”相关人员范围及相关要求的通知</w:t>
      </w:r>
      <w:r>
        <w:rPr>
          <w:rFonts w:hint="eastAsia"/>
          <w:color w:val="auto"/>
          <w:lang w:val="en-US" w:eastAsia="zh-CN"/>
        </w:rPr>
        <w:t>(</w:t>
      </w:r>
      <w:r>
        <w:rPr>
          <w:rFonts w:hint="eastAsia" w:ascii="宋体" w:hAnsi="宋体" w:eastAsia="宋体"/>
          <w:color w:val="auto"/>
          <w:lang w:val="en-US" w:eastAsia="zh-CN"/>
        </w:rPr>
        <w:t>矿安〔202</w:t>
      </w:r>
      <w:r>
        <w:rPr>
          <w:rFonts w:hint="eastAsia"/>
          <w:color w:val="auto"/>
          <w:lang w:val="en-US" w:eastAsia="zh-CN"/>
        </w:rPr>
        <w:t>5</w:t>
      </w:r>
      <w:r>
        <w:rPr>
          <w:rFonts w:hint="eastAsia" w:ascii="宋体" w:hAnsi="宋体" w:eastAsia="宋体"/>
          <w:color w:val="auto"/>
          <w:lang w:val="en-US" w:eastAsia="zh-CN"/>
        </w:rPr>
        <w:t>〕</w:t>
      </w:r>
      <w:r>
        <w:rPr>
          <w:rFonts w:hint="eastAsia"/>
          <w:color w:val="auto"/>
          <w:lang w:val="en-US" w:eastAsia="zh-CN"/>
        </w:rPr>
        <w:t>12</w:t>
      </w:r>
      <w:r>
        <w:rPr>
          <w:rFonts w:hint="eastAsia" w:ascii="宋体" w:hAnsi="宋体" w:eastAsia="宋体"/>
          <w:color w:val="auto"/>
          <w:lang w:val="en-US" w:eastAsia="zh-CN"/>
        </w:rPr>
        <w:t>号，202</w:t>
      </w:r>
      <w:r>
        <w:rPr>
          <w:rFonts w:hint="eastAsia"/>
          <w:color w:val="auto"/>
          <w:lang w:val="en-US" w:eastAsia="zh-CN"/>
        </w:rPr>
        <w:t>5</w:t>
      </w:r>
      <w:r>
        <w:rPr>
          <w:rFonts w:hint="eastAsia" w:ascii="宋体" w:hAnsi="宋体" w:eastAsia="宋体"/>
          <w:color w:val="auto"/>
          <w:lang w:val="en-US" w:eastAsia="zh-CN"/>
        </w:rPr>
        <w:t>年</w:t>
      </w:r>
      <w:r>
        <w:rPr>
          <w:rFonts w:hint="eastAsia"/>
          <w:color w:val="auto"/>
          <w:lang w:val="en-US" w:eastAsia="zh-CN"/>
        </w:rPr>
        <w:t>7</w:t>
      </w:r>
      <w:r>
        <w:rPr>
          <w:rFonts w:hint="eastAsia" w:ascii="宋体" w:hAnsi="宋体" w:eastAsia="宋体"/>
          <w:color w:val="auto"/>
          <w:lang w:val="en-US" w:eastAsia="zh-CN"/>
        </w:rPr>
        <w:t>月</w:t>
      </w:r>
      <w:r>
        <w:rPr>
          <w:rFonts w:hint="eastAsia"/>
          <w:color w:val="auto"/>
          <w:lang w:val="en-US" w:eastAsia="zh-CN"/>
        </w:rPr>
        <w:t>1</w:t>
      </w:r>
      <w:r>
        <w:rPr>
          <w:rFonts w:hint="eastAsia" w:ascii="宋体" w:hAnsi="宋体" w:eastAsia="宋体"/>
          <w:color w:val="auto"/>
          <w:lang w:val="en-US" w:eastAsia="zh-CN"/>
        </w:rPr>
        <w:t>日</w:t>
      </w:r>
      <w:r>
        <w:rPr>
          <w:rFonts w:hint="eastAsia"/>
          <w:color w:val="auto"/>
          <w:lang w:val="en-US" w:eastAsia="zh-CN"/>
        </w:rPr>
        <w:t>)。</w:t>
      </w:r>
    </w:p>
    <w:p w14:paraId="43FD737C">
      <w:pPr>
        <w:pStyle w:val="4"/>
        <w:rPr>
          <w:color w:val="auto"/>
        </w:rPr>
      </w:pPr>
      <w:r>
        <w:rPr>
          <w:color w:val="auto"/>
        </w:rPr>
        <w:t>1.2.2标准规范</w:t>
      </w:r>
    </w:p>
    <w:p w14:paraId="3494EDB6">
      <w:pPr>
        <w:pStyle w:val="5"/>
        <w:keepNext/>
        <w:keepLines/>
        <w:pageBreakBefore w:val="0"/>
        <w:widowControl w:val="0"/>
        <w:kinsoku/>
        <w:wordWrap/>
        <w:overflowPunct/>
        <w:topLinePunct w:val="0"/>
        <w:autoSpaceDE/>
        <w:autoSpaceDN/>
        <w:bidi w:val="0"/>
        <w:adjustRightInd/>
        <w:snapToGrid/>
        <w:ind w:firstLine="560" w:firstLineChars="200"/>
        <w:textAlignment w:val="auto"/>
        <w:rPr>
          <w:color w:val="auto"/>
        </w:rPr>
      </w:pPr>
      <w:r>
        <w:rPr>
          <w:rFonts w:hint="eastAsia"/>
          <w:color w:val="auto"/>
        </w:rPr>
        <w:t>1.2.2.1国家标准</w:t>
      </w:r>
    </w:p>
    <w:p w14:paraId="62AC0A68">
      <w:pPr>
        <w:ind w:firstLine="560"/>
        <w:rPr>
          <w:rFonts w:hint="eastAsia"/>
          <w:color w:val="auto"/>
        </w:rPr>
      </w:pPr>
      <w:r>
        <w:rPr>
          <w:rFonts w:hint="eastAsia"/>
          <w:color w:val="auto"/>
        </w:rPr>
        <w:t>(</w:t>
      </w:r>
      <w:r>
        <w:rPr>
          <w:rFonts w:hint="eastAsia"/>
          <w:color w:val="auto"/>
          <w:lang w:val="en-US" w:eastAsia="zh-CN"/>
        </w:rPr>
        <w:t>1</w:t>
      </w:r>
      <w:r>
        <w:rPr>
          <w:rFonts w:hint="eastAsia"/>
          <w:color w:val="auto"/>
        </w:rPr>
        <w:t>)《企业职工伤亡事故分类》(GB6441-1986)</w:t>
      </w:r>
      <w:r>
        <w:rPr>
          <w:rFonts w:hint="eastAsia"/>
          <w:color w:val="auto"/>
          <w:lang w:eastAsia="zh-CN"/>
        </w:rPr>
        <w:t>；</w:t>
      </w:r>
    </w:p>
    <w:p w14:paraId="50D8033E">
      <w:pPr>
        <w:ind w:firstLine="560"/>
        <w:rPr>
          <w:rFonts w:hint="eastAsia"/>
          <w:color w:val="auto"/>
          <w:lang w:eastAsia="zh-CN"/>
        </w:rPr>
      </w:pPr>
      <w:r>
        <w:rPr>
          <w:rFonts w:hint="eastAsia"/>
          <w:color w:val="auto"/>
        </w:rPr>
        <w:t>(</w:t>
      </w:r>
      <w:r>
        <w:rPr>
          <w:rFonts w:hint="eastAsia"/>
          <w:color w:val="auto"/>
          <w:lang w:val="en-US" w:eastAsia="zh-CN"/>
        </w:rPr>
        <w:t>2</w:t>
      </w:r>
      <w:r>
        <w:rPr>
          <w:rFonts w:hint="eastAsia"/>
          <w:color w:val="auto"/>
        </w:rPr>
        <w:t>)《工业企业厂界环境噪声排放标准》(GB12348-2008)</w:t>
      </w:r>
      <w:r>
        <w:rPr>
          <w:rFonts w:hint="eastAsia"/>
          <w:color w:val="auto"/>
          <w:lang w:eastAsia="zh-CN"/>
        </w:rPr>
        <w:t>；</w:t>
      </w:r>
    </w:p>
    <w:p w14:paraId="040CA7AF">
      <w:pPr>
        <w:ind w:firstLine="560"/>
        <w:rPr>
          <w:rFonts w:hint="eastAsia"/>
          <w:color w:val="auto"/>
          <w:lang w:eastAsia="zh-CN"/>
        </w:rPr>
      </w:pPr>
      <w:r>
        <w:rPr>
          <w:rFonts w:hint="eastAsia"/>
          <w:color w:val="auto"/>
        </w:rPr>
        <w:t>(</w:t>
      </w:r>
      <w:r>
        <w:rPr>
          <w:rFonts w:hint="eastAsia"/>
          <w:color w:val="auto"/>
          <w:lang w:val="en-US" w:eastAsia="zh-CN"/>
        </w:rPr>
        <w:t>3</w:t>
      </w:r>
      <w:r>
        <w:rPr>
          <w:rFonts w:hint="eastAsia"/>
          <w:color w:val="auto"/>
        </w:rPr>
        <w:t>)《建筑物防雷设计规范》(GB50057-2010)</w:t>
      </w:r>
      <w:r>
        <w:rPr>
          <w:rFonts w:hint="eastAsia"/>
          <w:color w:val="auto"/>
          <w:lang w:eastAsia="zh-CN"/>
        </w:rPr>
        <w:t>；</w:t>
      </w:r>
    </w:p>
    <w:p w14:paraId="1BBA937C">
      <w:pPr>
        <w:ind w:firstLine="560"/>
        <w:rPr>
          <w:rFonts w:hint="eastAsia" w:eastAsia="宋体"/>
          <w:color w:val="auto"/>
          <w:lang w:eastAsia="zh-CN"/>
        </w:rPr>
      </w:pPr>
      <w:r>
        <w:rPr>
          <w:rFonts w:hint="eastAsia"/>
          <w:color w:val="auto"/>
        </w:rPr>
        <w:t>(</w:t>
      </w:r>
      <w:r>
        <w:rPr>
          <w:rFonts w:hint="eastAsia"/>
          <w:color w:val="auto"/>
          <w:lang w:val="en-US" w:eastAsia="zh-CN"/>
        </w:rPr>
        <w:t>4</w:t>
      </w:r>
      <w:r>
        <w:rPr>
          <w:rFonts w:hint="eastAsia"/>
          <w:color w:val="auto"/>
        </w:rPr>
        <w:t>)《工业企业总平面设计规范》(GB50187-2012)</w:t>
      </w:r>
      <w:r>
        <w:rPr>
          <w:rFonts w:hint="eastAsia"/>
          <w:color w:val="auto"/>
          <w:lang w:eastAsia="zh-CN"/>
        </w:rPr>
        <w:t>；</w:t>
      </w:r>
    </w:p>
    <w:p w14:paraId="20BB174F">
      <w:pPr>
        <w:ind w:firstLine="560"/>
        <w:rPr>
          <w:rFonts w:hint="eastAsia"/>
          <w:color w:val="auto"/>
          <w:lang w:val="en-US" w:eastAsia="zh-CN"/>
        </w:rPr>
      </w:pPr>
      <w:r>
        <w:rPr>
          <w:rFonts w:hint="eastAsia"/>
          <w:color w:val="auto"/>
        </w:rPr>
        <w:t>(</w:t>
      </w:r>
      <w:r>
        <w:rPr>
          <w:rFonts w:hint="eastAsia"/>
          <w:color w:val="auto"/>
          <w:lang w:val="en-US" w:eastAsia="zh-CN"/>
        </w:rPr>
        <w:t>5</w:t>
      </w:r>
      <w:r>
        <w:rPr>
          <w:rFonts w:hint="eastAsia"/>
          <w:color w:val="auto"/>
        </w:rPr>
        <w:t>)</w:t>
      </w:r>
      <w:r>
        <w:rPr>
          <w:rFonts w:hint="eastAsia"/>
          <w:color w:val="auto"/>
          <w:lang w:eastAsia="zh-CN"/>
        </w:rPr>
        <w:t>《</w:t>
      </w:r>
      <w:r>
        <w:rPr>
          <w:rFonts w:hint="eastAsia"/>
          <w:color w:val="auto"/>
        </w:rPr>
        <w:t>有色金属采矿设计规范</w:t>
      </w:r>
      <w:r>
        <w:rPr>
          <w:rFonts w:hint="eastAsia"/>
          <w:color w:val="auto"/>
          <w:lang w:eastAsia="zh-CN"/>
        </w:rPr>
        <w:t>》</w:t>
      </w:r>
      <w:r>
        <w:rPr>
          <w:rFonts w:hint="eastAsia"/>
          <w:color w:val="auto"/>
          <w:lang w:val="en-US" w:eastAsia="zh-CN"/>
        </w:rPr>
        <w:t>(GB50771-2012)；</w:t>
      </w:r>
    </w:p>
    <w:p w14:paraId="32B99438">
      <w:pPr>
        <w:ind w:firstLine="560"/>
        <w:rPr>
          <w:rFonts w:hint="eastAsia"/>
          <w:color w:val="auto"/>
        </w:rPr>
      </w:pPr>
      <w:r>
        <w:rPr>
          <w:rFonts w:hint="eastAsia"/>
          <w:color w:val="auto"/>
        </w:rPr>
        <w:t>(</w:t>
      </w:r>
      <w:r>
        <w:rPr>
          <w:rFonts w:hint="eastAsia"/>
          <w:color w:val="auto"/>
          <w:lang w:val="en-US" w:eastAsia="zh-CN"/>
        </w:rPr>
        <w:t>6</w:t>
      </w:r>
      <w:r>
        <w:rPr>
          <w:rFonts w:hint="eastAsia"/>
          <w:color w:val="auto"/>
        </w:rPr>
        <w:t>)</w:t>
      </w:r>
      <w:r>
        <w:rPr>
          <w:rFonts w:hint="eastAsia"/>
          <w:color w:val="auto"/>
          <w:lang w:eastAsia="zh-CN"/>
        </w:rPr>
        <w:t>《</w:t>
      </w:r>
      <w:r>
        <w:rPr>
          <w:rFonts w:hint="eastAsia"/>
          <w:color w:val="auto"/>
        </w:rPr>
        <w:t>有色金属</w:t>
      </w:r>
      <w:r>
        <w:rPr>
          <w:rFonts w:hint="eastAsia"/>
          <w:color w:val="auto"/>
          <w:lang w:val="en-US" w:eastAsia="zh-CN"/>
        </w:rPr>
        <w:t>矿山井巷工程</w:t>
      </w:r>
      <w:r>
        <w:rPr>
          <w:rFonts w:hint="eastAsia"/>
          <w:color w:val="auto"/>
        </w:rPr>
        <w:t>设计规范</w:t>
      </w:r>
      <w:r>
        <w:rPr>
          <w:rFonts w:hint="eastAsia"/>
          <w:color w:val="auto"/>
          <w:lang w:eastAsia="zh-CN"/>
        </w:rPr>
        <w:t>》</w:t>
      </w:r>
      <w:r>
        <w:rPr>
          <w:rFonts w:hint="eastAsia"/>
          <w:color w:val="auto"/>
          <w:lang w:val="en-US" w:eastAsia="zh-CN"/>
        </w:rPr>
        <w:t>(GB50915-2013)；</w:t>
      </w:r>
    </w:p>
    <w:p w14:paraId="18BE8659">
      <w:pPr>
        <w:ind w:firstLine="560"/>
        <w:rPr>
          <w:rFonts w:hint="eastAsia"/>
          <w:color w:val="auto"/>
          <w:lang w:eastAsia="zh-CN"/>
        </w:rPr>
      </w:pPr>
      <w:r>
        <w:rPr>
          <w:rFonts w:hint="eastAsia"/>
          <w:color w:val="auto"/>
        </w:rPr>
        <w:t>(</w:t>
      </w:r>
      <w:r>
        <w:rPr>
          <w:rFonts w:hint="eastAsia"/>
          <w:color w:val="auto"/>
          <w:lang w:val="en-US" w:eastAsia="zh-CN"/>
        </w:rPr>
        <w:t>7</w:t>
      </w:r>
      <w:r>
        <w:rPr>
          <w:rFonts w:hint="eastAsia"/>
          <w:color w:val="auto"/>
        </w:rPr>
        <w:t>)《压缩空气站设计规范》(GB50029-2014)</w:t>
      </w:r>
      <w:r>
        <w:rPr>
          <w:rFonts w:hint="eastAsia"/>
          <w:color w:val="auto"/>
          <w:lang w:eastAsia="zh-CN"/>
        </w:rPr>
        <w:t>；</w:t>
      </w:r>
    </w:p>
    <w:p w14:paraId="783B3B78">
      <w:pPr>
        <w:ind w:firstLine="560"/>
        <w:rPr>
          <w:rFonts w:hint="eastAsia"/>
          <w:color w:val="auto"/>
          <w:lang w:eastAsia="zh-CN"/>
        </w:rPr>
      </w:pPr>
      <w:r>
        <w:rPr>
          <w:rFonts w:hint="eastAsia"/>
          <w:color w:val="auto"/>
        </w:rPr>
        <w:t>(</w:t>
      </w:r>
      <w:r>
        <w:rPr>
          <w:rFonts w:hint="eastAsia"/>
          <w:color w:val="auto"/>
          <w:lang w:val="en-US" w:eastAsia="zh-CN"/>
        </w:rPr>
        <w:t>8</w:t>
      </w:r>
      <w:r>
        <w:rPr>
          <w:rFonts w:hint="eastAsia"/>
          <w:color w:val="auto"/>
        </w:rPr>
        <w:t>)《建筑设计防火规范》[2018年版](GB50016-2014)</w:t>
      </w:r>
      <w:r>
        <w:rPr>
          <w:rFonts w:hint="eastAsia"/>
          <w:color w:val="auto"/>
          <w:lang w:eastAsia="zh-CN"/>
        </w:rPr>
        <w:t>；</w:t>
      </w:r>
    </w:p>
    <w:p w14:paraId="73B1CDA3">
      <w:pPr>
        <w:ind w:firstLine="560"/>
        <w:rPr>
          <w:rFonts w:hint="eastAsia" w:eastAsia="宋体"/>
          <w:color w:val="auto"/>
          <w:lang w:eastAsia="zh-CN"/>
        </w:rPr>
      </w:pPr>
      <w:r>
        <w:rPr>
          <w:rFonts w:hint="eastAsia"/>
          <w:color w:val="auto"/>
        </w:rPr>
        <w:t>(</w:t>
      </w:r>
      <w:r>
        <w:rPr>
          <w:rFonts w:hint="eastAsia"/>
          <w:color w:val="auto"/>
          <w:lang w:val="en-US" w:eastAsia="zh-CN"/>
        </w:rPr>
        <w:t>9</w:t>
      </w:r>
      <w:r>
        <w:rPr>
          <w:rFonts w:hint="eastAsia"/>
          <w:color w:val="auto"/>
        </w:rPr>
        <w:t>)《爆破安全规程》(GB6722-2014)</w:t>
      </w:r>
      <w:r>
        <w:rPr>
          <w:rFonts w:hint="eastAsia"/>
          <w:color w:val="auto"/>
          <w:lang w:eastAsia="zh-CN"/>
        </w:rPr>
        <w:t>；</w:t>
      </w:r>
    </w:p>
    <w:p w14:paraId="5B250B0D">
      <w:pPr>
        <w:ind w:firstLine="560"/>
        <w:rPr>
          <w:rFonts w:hint="eastAsia"/>
          <w:color w:val="auto"/>
          <w:lang w:eastAsia="zh-CN"/>
        </w:rPr>
      </w:pPr>
      <w:r>
        <w:rPr>
          <w:rFonts w:hint="eastAsia"/>
          <w:color w:val="auto"/>
        </w:rPr>
        <w:t>(</w:t>
      </w:r>
      <w:r>
        <w:rPr>
          <w:rFonts w:hint="eastAsia"/>
          <w:color w:val="auto"/>
          <w:lang w:val="en-US" w:eastAsia="zh-CN"/>
        </w:rPr>
        <w:t>10</w:t>
      </w:r>
      <w:r>
        <w:rPr>
          <w:rFonts w:hint="eastAsia"/>
          <w:color w:val="auto"/>
        </w:rPr>
        <w:t>)</w:t>
      </w:r>
      <w:r>
        <w:rPr>
          <w:rFonts w:hint="eastAsia"/>
          <w:color w:val="auto"/>
          <w:szCs w:val="28"/>
        </w:rPr>
        <w:t>《爆破安全规程》</w:t>
      </w:r>
      <w:r>
        <w:rPr>
          <w:rFonts w:hint="eastAsia"/>
          <w:color w:val="auto"/>
          <w:szCs w:val="28"/>
          <w:lang w:val="en-US" w:eastAsia="zh-CN"/>
        </w:rPr>
        <w:t>第1号修改单</w:t>
      </w:r>
      <w:r>
        <w:rPr>
          <w:rFonts w:hint="eastAsia"/>
          <w:color w:val="auto"/>
          <w:szCs w:val="28"/>
        </w:rPr>
        <w:t>(GB6722-2014</w:t>
      </w:r>
      <w:r>
        <w:rPr>
          <w:rFonts w:hint="eastAsia"/>
          <w:color w:val="auto"/>
          <w:szCs w:val="28"/>
          <w:lang w:val="en-US" w:eastAsia="zh-CN"/>
        </w:rPr>
        <w:t>/XG1-2016</w:t>
      </w:r>
      <w:r>
        <w:rPr>
          <w:rFonts w:hint="eastAsia"/>
          <w:color w:val="auto"/>
          <w:szCs w:val="28"/>
        </w:rPr>
        <w:t>)</w:t>
      </w:r>
      <w:r>
        <w:rPr>
          <w:rFonts w:hint="eastAsia"/>
          <w:color w:val="auto"/>
          <w:szCs w:val="28"/>
          <w:lang w:eastAsia="zh-CN"/>
        </w:rPr>
        <w:t>；</w:t>
      </w:r>
    </w:p>
    <w:p w14:paraId="60E13A42">
      <w:pPr>
        <w:ind w:firstLine="560"/>
        <w:rPr>
          <w:rFonts w:hint="eastAsia"/>
          <w:color w:val="auto"/>
          <w:lang w:eastAsia="zh-CN"/>
        </w:rPr>
      </w:pPr>
      <w:r>
        <w:rPr>
          <w:rFonts w:hint="eastAsia"/>
          <w:color w:val="auto"/>
        </w:rPr>
        <w:t>(</w:t>
      </w:r>
      <w:r>
        <w:rPr>
          <w:rFonts w:hint="eastAsia"/>
          <w:color w:val="auto"/>
          <w:lang w:val="en-US" w:eastAsia="zh-CN"/>
        </w:rPr>
        <w:t>11</w:t>
      </w:r>
      <w:r>
        <w:rPr>
          <w:rFonts w:hint="eastAsia"/>
          <w:color w:val="auto"/>
        </w:rPr>
        <w:t>)《</w:t>
      </w:r>
      <w:r>
        <w:rPr>
          <w:color w:val="auto"/>
        </w:rPr>
        <w:t>危险化学品重大危险源辨识</w:t>
      </w:r>
      <w:r>
        <w:rPr>
          <w:rFonts w:hint="eastAsia"/>
          <w:color w:val="auto"/>
        </w:rPr>
        <w:t>》(</w:t>
      </w:r>
      <w:r>
        <w:rPr>
          <w:color w:val="auto"/>
        </w:rPr>
        <w:t>GB18218-2018</w:t>
      </w:r>
      <w:r>
        <w:rPr>
          <w:rFonts w:hint="eastAsia"/>
          <w:color w:val="auto"/>
        </w:rPr>
        <w:t>)</w:t>
      </w:r>
      <w:r>
        <w:rPr>
          <w:rFonts w:hint="eastAsia"/>
          <w:color w:val="auto"/>
          <w:lang w:eastAsia="zh-CN"/>
        </w:rPr>
        <w:t>；</w:t>
      </w:r>
    </w:p>
    <w:p w14:paraId="199BA4D0">
      <w:pPr>
        <w:ind w:firstLine="560"/>
        <w:rPr>
          <w:rFonts w:hint="eastAsia"/>
          <w:color w:val="auto"/>
          <w:lang w:eastAsia="zh-CN"/>
        </w:rPr>
      </w:pPr>
      <w:r>
        <w:rPr>
          <w:rFonts w:hint="eastAsia"/>
          <w:color w:val="auto"/>
        </w:rPr>
        <w:t>(</w:t>
      </w:r>
      <w:r>
        <w:rPr>
          <w:rFonts w:hint="eastAsia"/>
          <w:color w:val="auto"/>
          <w:lang w:val="en-US" w:eastAsia="zh-CN"/>
        </w:rPr>
        <w:t>12</w:t>
      </w:r>
      <w:r>
        <w:rPr>
          <w:rFonts w:hint="eastAsia"/>
          <w:color w:val="auto"/>
        </w:rPr>
        <w:t>)《矿山电力设计标准》(GB50070-2020)</w:t>
      </w:r>
      <w:r>
        <w:rPr>
          <w:rFonts w:hint="eastAsia"/>
          <w:color w:val="auto"/>
          <w:lang w:eastAsia="zh-CN"/>
        </w:rPr>
        <w:t>；</w:t>
      </w:r>
    </w:p>
    <w:p w14:paraId="57554902">
      <w:pPr>
        <w:ind w:firstLine="560"/>
        <w:rPr>
          <w:rFonts w:hint="eastAsia"/>
          <w:color w:val="auto"/>
          <w:lang w:eastAsia="zh-CN"/>
        </w:rPr>
      </w:pPr>
      <w:r>
        <w:rPr>
          <w:rFonts w:hint="eastAsia"/>
          <w:color w:val="auto"/>
        </w:rPr>
        <w:t>(</w:t>
      </w:r>
      <w:r>
        <w:rPr>
          <w:rFonts w:hint="eastAsia"/>
          <w:color w:val="auto"/>
          <w:lang w:val="en-US" w:eastAsia="zh-CN"/>
        </w:rPr>
        <w:t>13</w:t>
      </w:r>
      <w:r>
        <w:rPr>
          <w:rFonts w:hint="eastAsia"/>
          <w:color w:val="auto"/>
        </w:rPr>
        <w:t>)《金属非金属矿山安全规程》(GB16423-20</w:t>
      </w:r>
      <w:r>
        <w:rPr>
          <w:rFonts w:hint="eastAsia"/>
          <w:color w:val="auto"/>
          <w:lang w:val="en-US" w:eastAsia="zh-CN"/>
        </w:rPr>
        <w:t>20</w:t>
      </w:r>
      <w:r>
        <w:rPr>
          <w:rFonts w:hint="eastAsia"/>
          <w:color w:val="auto"/>
        </w:rPr>
        <w:t>)</w:t>
      </w:r>
      <w:r>
        <w:rPr>
          <w:rFonts w:hint="eastAsia"/>
          <w:color w:val="auto"/>
          <w:lang w:eastAsia="zh-CN"/>
        </w:rPr>
        <w:t>；</w:t>
      </w:r>
    </w:p>
    <w:p w14:paraId="70EF20D5">
      <w:pPr>
        <w:ind w:firstLine="560"/>
        <w:rPr>
          <w:rFonts w:hint="eastAsia" w:eastAsia="宋体"/>
          <w:color w:val="auto"/>
          <w:lang w:eastAsia="zh-CN"/>
        </w:rPr>
      </w:pPr>
      <w:r>
        <w:rPr>
          <w:rFonts w:hint="eastAsia"/>
          <w:color w:val="auto"/>
        </w:rPr>
        <w:t>(</w:t>
      </w:r>
      <w:r>
        <w:rPr>
          <w:rFonts w:hint="eastAsia"/>
          <w:color w:val="auto"/>
          <w:lang w:val="en-US" w:eastAsia="zh-CN"/>
        </w:rPr>
        <w:t>14</w:t>
      </w:r>
      <w:r>
        <w:rPr>
          <w:rFonts w:hint="eastAsia"/>
          <w:color w:val="auto"/>
        </w:rPr>
        <w:t>)《</w:t>
      </w:r>
      <w:r>
        <w:rPr>
          <w:color w:val="auto"/>
        </w:rPr>
        <w:t>个体防护装备配备规范</w:t>
      </w:r>
      <w:r>
        <w:rPr>
          <w:rFonts w:hint="eastAsia"/>
          <w:color w:val="auto"/>
        </w:rPr>
        <w:t>第4部分：非煤矿山》</w:t>
      </w:r>
      <w:r>
        <w:rPr>
          <w:rFonts w:hint="eastAsia" w:ascii="宋体" w:hAnsi="宋体" w:eastAsia="宋体"/>
          <w:color w:val="auto"/>
        </w:rPr>
        <w:t>(GB</w:t>
      </w:r>
      <w:r>
        <w:rPr>
          <w:rFonts w:hint="eastAsia" w:ascii="宋体" w:hAnsi="宋体" w:eastAsia="宋体"/>
          <w:color w:val="auto"/>
          <w:lang w:val="en-US" w:eastAsia="zh-CN"/>
        </w:rPr>
        <w:t>39800.4</w:t>
      </w:r>
      <w:r>
        <w:rPr>
          <w:rFonts w:hint="eastAsia" w:ascii="宋体" w:hAnsi="宋体" w:eastAsia="宋体"/>
          <w:color w:val="auto"/>
        </w:rPr>
        <w:t>-20</w:t>
      </w:r>
      <w:r>
        <w:rPr>
          <w:rFonts w:hint="eastAsia" w:ascii="宋体" w:hAnsi="宋体" w:eastAsia="宋体"/>
          <w:color w:val="auto"/>
          <w:lang w:val="en-US" w:eastAsia="zh-CN"/>
        </w:rPr>
        <w:t>20</w:t>
      </w:r>
      <w:r>
        <w:rPr>
          <w:rFonts w:hint="eastAsia" w:ascii="宋体" w:hAnsi="宋体" w:eastAsia="宋体"/>
          <w:color w:val="auto"/>
        </w:rPr>
        <w:t>)</w:t>
      </w:r>
      <w:r>
        <w:rPr>
          <w:rFonts w:hint="eastAsia" w:ascii="宋体" w:hAnsi="宋体" w:eastAsia="宋体"/>
          <w:color w:val="auto"/>
          <w:lang w:eastAsia="zh-CN"/>
        </w:rPr>
        <w:t>；</w:t>
      </w:r>
    </w:p>
    <w:p w14:paraId="01291733">
      <w:pPr>
        <w:ind w:firstLine="560"/>
        <w:rPr>
          <w:rFonts w:hint="eastAsia"/>
          <w:color w:val="auto"/>
          <w:lang w:eastAsia="zh-CN"/>
        </w:rPr>
      </w:pPr>
      <w:r>
        <w:rPr>
          <w:rFonts w:hint="eastAsia"/>
          <w:color w:val="auto"/>
        </w:rPr>
        <w:t>(</w:t>
      </w:r>
      <w:r>
        <w:rPr>
          <w:rFonts w:hint="eastAsia"/>
          <w:color w:val="auto"/>
          <w:lang w:val="en-US" w:eastAsia="zh-CN"/>
        </w:rPr>
        <w:t>15</w:t>
      </w:r>
      <w:r>
        <w:rPr>
          <w:rFonts w:hint="eastAsia"/>
          <w:color w:val="auto"/>
        </w:rPr>
        <w:t>)《矿山安全标志》(GB</w:t>
      </w:r>
      <w:r>
        <w:rPr>
          <w:rFonts w:hint="eastAsia"/>
          <w:color w:val="auto"/>
          <w:lang w:val="en-US" w:eastAsia="zh-CN"/>
        </w:rPr>
        <w:t>/T</w:t>
      </w:r>
      <w:r>
        <w:rPr>
          <w:rFonts w:hint="eastAsia"/>
          <w:color w:val="auto"/>
        </w:rPr>
        <w:t>14161-2008)</w:t>
      </w:r>
      <w:r>
        <w:rPr>
          <w:rFonts w:hint="eastAsia"/>
          <w:color w:val="auto"/>
          <w:lang w:eastAsia="zh-CN"/>
        </w:rPr>
        <w:t>；</w:t>
      </w:r>
    </w:p>
    <w:p w14:paraId="09AAA39A">
      <w:pPr>
        <w:ind w:firstLine="560"/>
        <w:rPr>
          <w:rFonts w:hint="eastAsia"/>
          <w:color w:val="auto"/>
          <w:lang w:eastAsia="zh-CN"/>
        </w:rPr>
      </w:pPr>
      <w:r>
        <w:rPr>
          <w:rFonts w:hint="eastAsia"/>
          <w:color w:val="auto"/>
        </w:rPr>
        <w:t>(</w:t>
      </w:r>
      <w:r>
        <w:rPr>
          <w:rFonts w:hint="eastAsia"/>
          <w:color w:val="auto"/>
          <w:lang w:val="en-US" w:eastAsia="zh-CN"/>
        </w:rPr>
        <w:t>16</w:t>
      </w:r>
      <w:r>
        <w:rPr>
          <w:rFonts w:hint="eastAsia"/>
          <w:color w:val="auto"/>
        </w:rPr>
        <w:t>)《生产经营单位安全生产事故应急预案编制导则》(GB/T29639-20</w:t>
      </w:r>
      <w:r>
        <w:rPr>
          <w:rFonts w:hint="eastAsia"/>
          <w:color w:val="auto"/>
          <w:lang w:val="en-US" w:eastAsia="zh-CN"/>
        </w:rPr>
        <w:t>20</w:t>
      </w:r>
      <w:r>
        <w:rPr>
          <w:rFonts w:hint="eastAsia"/>
          <w:color w:val="auto"/>
        </w:rPr>
        <w:t>)</w:t>
      </w:r>
      <w:r>
        <w:rPr>
          <w:rFonts w:hint="eastAsia"/>
          <w:color w:val="auto"/>
          <w:lang w:eastAsia="zh-CN"/>
        </w:rPr>
        <w:t>；</w:t>
      </w:r>
    </w:p>
    <w:p w14:paraId="26ADC52B">
      <w:pPr>
        <w:ind w:firstLine="560"/>
        <w:rPr>
          <w:rFonts w:hint="eastAsia" w:eastAsia="宋体"/>
          <w:color w:val="auto"/>
          <w:lang w:eastAsia="zh-CN"/>
        </w:rPr>
      </w:pPr>
      <w:r>
        <w:rPr>
          <w:rFonts w:hint="eastAsia"/>
          <w:color w:val="auto"/>
        </w:rPr>
        <w:t>(</w:t>
      </w:r>
      <w:r>
        <w:rPr>
          <w:rFonts w:hint="eastAsia"/>
          <w:color w:val="auto"/>
          <w:lang w:val="en-US" w:eastAsia="zh-CN"/>
        </w:rPr>
        <w:t>17</w:t>
      </w:r>
      <w:r>
        <w:rPr>
          <w:rFonts w:hint="eastAsia"/>
          <w:color w:val="auto"/>
        </w:rPr>
        <w:t>)《生产过程危险和有害因素分类与代码》(GB/T13861-</w:t>
      </w:r>
      <w:r>
        <w:rPr>
          <w:rFonts w:hint="eastAsia"/>
          <w:color w:val="auto"/>
          <w:lang w:val="en-US" w:eastAsia="zh-CN"/>
        </w:rPr>
        <w:t>2022</w:t>
      </w:r>
      <w:r>
        <w:rPr>
          <w:rFonts w:hint="eastAsia"/>
          <w:color w:val="auto"/>
        </w:rPr>
        <w:t>)</w:t>
      </w:r>
      <w:r>
        <w:rPr>
          <w:rFonts w:hint="eastAsia"/>
          <w:color w:val="auto"/>
          <w:lang w:eastAsia="zh-CN"/>
        </w:rPr>
        <w:t>；</w:t>
      </w:r>
    </w:p>
    <w:p w14:paraId="685E2CAE">
      <w:pPr>
        <w:ind w:firstLine="560"/>
        <w:rPr>
          <w:rFonts w:hint="eastAsia"/>
          <w:color w:val="auto"/>
          <w:lang w:eastAsia="zh-CN"/>
        </w:rPr>
      </w:pPr>
      <w:r>
        <w:rPr>
          <w:rFonts w:hint="eastAsia"/>
          <w:color w:val="auto"/>
        </w:rPr>
        <w:t>(</w:t>
      </w:r>
      <w:r>
        <w:rPr>
          <w:rFonts w:hint="eastAsia"/>
          <w:color w:val="auto"/>
          <w:lang w:val="en-US" w:eastAsia="zh-CN"/>
        </w:rPr>
        <w:t>18</w:t>
      </w:r>
      <w:r>
        <w:rPr>
          <w:rFonts w:hint="eastAsia"/>
          <w:color w:val="auto"/>
        </w:rPr>
        <w:t>)《机械安全防止上下肢触及危险区的安全距离》(</w:t>
      </w:r>
      <w:r>
        <w:rPr>
          <w:rFonts w:hint="eastAsia"/>
          <w:color w:val="auto"/>
        </w:rPr>
        <w:fldChar w:fldCharType="begin"/>
      </w:r>
      <w:r>
        <w:rPr>
          <w:rFonts w:hint="eastAsia"/>
          <w:color w:val="auto"/>
        </w:rPr>
        <w:instrText xml:space="preserve"> HYPERLINK "http://www.csres.com/detail/384945.html" \t "http://www.csres.com/_blank" </w:instrText>
      </w:r>
      <w:r>
        <w:rPr>
          <w:rFonts w:hint="eastAsia"/>
          <w:color w:val="auto"/>
        </w:rPr>
        <w:fldChar w:fldCharType="separate"/>
      </w:r>
      <w:r>
        <w:rPr>
          <w:rFonts w:hint="default"/>
          <w:color w:val="auto"/>
        </w:rPr>
        <w:t>GB/T 23821-2022</w:t>
      </w:r>
      <w:r>
        <w:rPr>
          <w:rFonts w:hint="default"/>
          <w:color w:val="auto"/>
        </w:rPr>
        <w:fldChar w:fldCharType="end"/>
      </w:r>
      <w:r>
        <w:rPr>
          <w:rFonts w:hint="eastAsia"/>
          <w:color w:val="auto"/>
        </w:rPr>
        <w:t>)</w:t>
      </w:r>
      <w:r>
        <w:rPr>
          <w:rFonts w:hint="eastAsia"/>
          <w:color w:val="auto"/>
          <w:lang w:eastAsia="zh-CN"/>
        </w:rPr>
        <w:t>；</w:t>
      </w:r>
    </w:p>
    <w:p w14:paraId="3A821F57">
      <w:pPr>
        <w:ind w:firstLine="560"/>
        <w:rPr>
          <w:rFonts w:hint="eastAsia"/>
          <w:color w:val="auto"/>
          <w:lang w:eastAsia="zh-CN"/>
        </w:rPr>
      </w:pPr>
      <w:r>
        <w:rPr>
          <w:rFonts w:hint="eastAsia"/>
          <w:color w:val="auto"/>
        </w:rPr>
        <w:t>(1</w:t>
      </w:r>
      <w:r>
        <w:rPr>
          <w:rFonts w:hint="eastAsia"/>
          <w:color w:val="auto"/>
          <w:lang w:val="en-US" w:eastAsia="zh-CN"/>
        </w:rPr>
        <w:t>9</w:t>
      </w:r>
      <w:r>
        <w:rPr>
          <w:rFonts w:hint="eastAsia"/>
          <w:color w:val="auto"/>
        </w:rPr>
        <w:t>)《建筑抗震设计</w:t>
      </w:r>
      <w:r>
        <w:rPr>
          <w:rFonts w:hint="eastAsia"/>
          <w:color w:val="auto"/>
          <w:lang w:val="en-US" w:eastAsia="zh-CN"/>
        </w:rPr>
        <w:t>标准</w:t>
      </w:r>
      <w:r>
        <w:rPr>
          <w:rFonts w:hint="eastAsia"/>
          <w:color w:val="auto"/>
        </w:rPr>
        <w:t>》(GB</w:t>
      </w:r>
      <w:r>
        <w:rPr>
          <w:rFonts w:hint="eastAsia"/>
          <w:color w:val="auto"/>
          <w:lang w:val="en-US" w:eastAsia="zh-CN"/>
        </w:rPr>
        <w:t>/T</w:t>
      </w:r>
      <w:r>
        <w:rPr>
          <w:rFonts w:hint="eastAsia"/>
          <w:color w:val="auto"/>
        </w:rPr>
        <w:t>50011-2010)(20</w:t>
      </w:r>
      <w:r>
        <w:rPr>
          <w:rFonts w:hint="eastAsia"/>
          <w:color w:val="auto"/>
          <w:lang w:val="en-US" w:eastAsia="zh-CN"/>
        </w:rPr>
        <w:t>24</w:t>
      </w:r>
      <w:r>
        <w:rPr>
          <w:rFonts w:hint="eastAsia"/>
          <w:color w:val="auto"/>
        </w:rPr>
        <w:t>年版)</w:t>
      </w:r>
      <w:r>
        <w:rPr>
          <w:rFonts w:hint="eastAsia"/>
          <w:color w:val="auto"/>
          <w:lang w:eastAsia="zh-CN"/>
        </w:rPr>
        <w:t>；</w:t>
      </w:r>
    </w:p>
    <w:p w14:paraId="17D86E3B">
      <w:pPr>
        <w:ind w:firstLine="560"/>
        <w:rPr>
          <w:rFonts w:hint="eastAsia" w:eastAsia="宋体"/>
          <w:color w:val="auto"/>
          <w:lang w:eastAsia="zh-CN"/>
        </w:rPr>
      </w:pPr>
      <w:r>
        <w:rPr>
          <w:rFonts w:hint="eastAsia"/>
          <w:color w:val="auto"/>
        </w:rPr>
        <w:t>(</w:t>
      </w:r>
      <w:r>
        <w:rPr>
          <w:rFonts w:hint="eastAsia"/>
          <w:color w:val="auto"/>
          <w:lang w:val="en-US" w:eastAsia="zh-CN"/>
        </w:rPr>
        <w:t>20</w:t>
      </w:r>
      <w:r>
        <w:rPr>
          <w:rFonts w:hint="eastAsia"/>
          <w:color w:val="auto"/>
        </w:rPr>
        <w:t>)《厂矿道路设计规范》(GBJ22-87)</w:t>
      </w:r>
      <w:r>
        <w:rPr>
          <w:rFonts w:hint="eastAsia"/>
          <w:color w:val="auto"/>
          <w:lang w:eastAsia="zh-CN"/>
        </w:rPr>
        <w:t>；</w:t>
      </w:r>
    </w:p>
    <w:p w14:paraId="0D7B6B22">
      <w:pPr>
        <w:ind w:firstLine="560"/>
        <w:rPr>
          <w:rFonts w:hint="eastAsia" w:eastAsia="宋体"/>
          <w:color w:val="auto"/>
          <w:lang w:eastAsia="zh-CN"/>
        </w:rPr>
      </w:pPr>
      <w:r>
        <w:rPr>
          <w:rFonts w:hint="eastAsia"/>
          <w:color w:val="auto"/>
        </w:rPr>
        <w:t>(</w:t>
      </w:r>
      <w:r>
        <w:rPr>
          <w:rFonts w:hint="eastAsia"/>
          <w:color w:val="auto"/>
          <w:lang w:val="en-US" w:eastAsia="zh-CN"/>
        </w:rPr>
        <w:t>21</w:t>
      </w:r>
      <w:r>
        <w:rPr>
          <w:rFonts w:hint="eastAsia"/>
          <w:color w:val="auto"/>
        </w:rPr>
        <w:t>)</w:t>
      </w:r>
      <w:r>
        <w:rPr>
          <w:color w:val="auto"/>
        </w:rPr>
        <w:fldChar w:fldCharType="begin"/>
      </w:r>
      <w:r>
        <w:rPr>
          <w:color w:val="auto"/>
        </w:rPr>
        <w:instrText xml:space="preserve"> HYPERLINK "http://data.bgpop.com/Show/2006619/Show_73965.Html" \t "_blank" </w:instrText>
      </w:r>
      <w:r>
        <w:rPr>
          <w:color w:val="auto"/>
        </w:rPr>
        <w:fldChar w:fldCharType="separate"/>
      </w:r>
      <w:r>
        <w:rPr>
          <w:rFonts w:hint="eastAsia"/>
          <w:color w:val="auto"/>
        </w:rPr>
        <w:t>《工作场所有害因素职业接触限值 物理因素》(GBZ2.2-200</w:t>
      </w:r>
      <w:r>
        <w:rPr>
          <w:rFonts w:hint="eastAsia"/>
          <w:color w:val="auto"/>
        </w:rPr>
        <w:fldChar w:fldCharType="end"/>
      </w:r>
      <w:r>
        <w:rPr>
          <w:rFonts w:hint="eastAsia"/>
          <w:color w:val="auto"/>
        </w:rPr>
        <w:t>7)</w:t>
      </w:r>
      <w:r>
        <w:rPr>
          <w:rFonts w:hint="eastAsia"/>
          <w:color w:val="auto"/>
          <w:lang w:eastAsia="zh-CN"/>
        </w:rPr>
        <w:t>；</w:t>
      </w:r>
    </w:p>
    <w:p w14:paraId="1633732E">
      <w:pPr>
        <w:ind w:firstLine="560"/>
        <w:rPr>
          <w:rFonts w:hint="eastAsia" w:eastAsia="宋体"/>
          <w:color w:val="auto"/>
          <w:lang w:eastAsia="zh-CN"/>
        </w:rPr>
      </w:pPr>
      <w:r>
        <w:rPr>
          <w:rFonts w:hint="eastAsia"/>
          <w:color w:val="auto"/>
        </w:rPr>
        <w:t>(</w:t>
      </w:r>
      <w:r>
        <w:rPr>
          <w:rFonts w:hint="eastAsia"/>
          <w:color w:val="auto"/>
          <w:lang w:val="en-US" w:eastAsia="zh-CN"/>
        </w:rPr>
        <w:t>22</w:t>
      </w:r>
      <w:r>
        <w:rPr>
          <w:rFonts w:hint="eastAsia"/>
          <w:color w:val="auto"/>
        </w:rPr>
        <w:t>)《工业企业设计卫生标准》(GBZ1-2010)</w:t>
      </w:r>
      <w:r>
        <w:rPr>
          <w:rFonts w:hint="eastAsia"/>
          <w:color w:val="auto"/>
          <w:lang w:eastAsia="zh-CN"/>
        </w:rPr>
        <w:t>；</w:t>
      </w:r>
    </w:p>
    <w:p w14:paraId="541C390A">
      <w:pPr>
        <w:ind w:firstLine="560"/>
        <w:rPr>
          <w:rFonts w:hint="eastAsia" w:eastAsia="宋体"/>
          <w:color w:val="auto"/>
          <w:lang w:eastAsia="zh-CN"/>
        </w:rPr>
      </w:pPr>
      <w:r>
        <w:rPr>
          <w:rFonts w:hint="eastAsia"/>
          <w:color w:val="auto"/>
        </w:rPr>
        <w:t>(</w:t>
      </w:r>
      <w:r>
        <w:rPr>
          <w:rFonts w:hint="eastAsia"/>
          <w:color w:val="auto"/>
          <w:lang w:val="en-US" w:eastAsia="zh-CN"/>
        </w:rPr>
        <w:t>23</w:t>
      </w:r>
      <w:r>
        <w:rPr>
          <w:rFonts w:hint="eastAsia"/>
          <w:color w:val="auto"/>
        </w:rPr>
        <w:t>)</w:t>
      </w:r>
      <w:r>
        <w:rPr>
          <w:color w:val="auto"/>
        </w:rPr>
        <w:fldChar w:fldCharType="begin"/>
      </w:r>
      <w:r>
        <w:rPr>
          <w:color w:val="auto"/>
        </w:rPr>
        <w:instrText xml:space="preserve"> HYPERLINK "http://data.bgpop.com/Show/2006619/Show_73965.Html" \t "_blank" </w:instrText>
      </w:r>
      <w:r>
        <w:rPr>
          <w:color w:val="auto"/>
        </w:rPr>
        <w:fldChar w:fldCharType="separate"/>
      </w:r>
      <w:r>
        <w:rPr>
          <w:rFonts w:hint="eastAsia"/>
          <w:color w:val="auto"/>
        </w:rPr>
        <w:t>《工作场所有害因素职业接触限值 化学有害因素》(GBZ2.1-20</w:t>
      </w:r>
      <w:r>
        <w:rPr>
          <w:rFonts w:hint="eastAsia"/>
          <w:color w:val="auto"/>
          <w:lang w:val="en-US" w:eastAsia="zh-CN"/>
        </w:rPr>
        <w:t>1</w:t>
      </w:r>
      <w:r>
        <w:rPr>
          <w:rFonts w:hint="eastAsia"/>
          <w:color w:val="auto"/>
        </w:rPr>
        <w:fldChar w:fldCharType="end"/>
      </w:r>
      <w:r>
        <w:rPr>
          <w:rFonts w:hint="eastAsia"/>
          <w:color w:val="auto"/>
          <w:lang w:val="en-US" w:eastAsia="zh-CN"/>
        </w:rPr>
        <w:t>9</w:t>
      </w:r>
      <w:r>
        <w:rPr>
          <w:rFonts w:hint="eastAsia"/>
          <w:color w:val="auto"/>
        </w:rPr>
        <w:t>)</w:t>
      </w:r>
      <w:r>
        <w:rPr>
          <w:rFonts w:hint="eastAsia"/>
          <w:color w:val="auto"/>
          <w:lang w:eastAsia="zh-CN"/>
        </w:rPr>
        <w:t>。</w:t>
      </w:r>
    </w:p>
    <w:p w14:paraId="290C39A0">
      <w:pPr>
        <w:pStyle w:val="5"/>
        <w:keepNext/>
        <w:keepLines/>
        <w:pageBreakBefore w:val="0"/>
        <w:widowControl w:val="0"/>
        <w:kinsoku/>
        <w:wordWrap/>
        <w:overflowPunct/>
        <w:topLinePunct w:val="0"/>
        <w:autoSpaceDE/>
        <w:autoSpaceDN/>
        <w:bidi w:val="0"/>
        <w:adjustRightInd/>
        <w:snapToGrid/>
        <w:ind w:firstLine="560" w:firstLineChars="200"/>
        <w:textAlignment w:val="auto"/>
        <w:rPr>
          <w:rFonts w:hint="eastAsia"/>
          <w:color w:val="auto"/>
        </w:rPr>
      </w:pPr>
      <w:r>
        <w:rPr>
          <w:rFonts w:hint="eastAsia"/>
          <w:color w:val="auto"/>
        </w:rPr>
        <w:t>1.2.2.2行业标准</w:t>
      </w:r>
    </w:p>
    <w:p w14:paraId="181B45B8">
      <w:pPr>
        <w:ind w:firstLine="560"/>
        <w:rPr>
          <w:rFonts w:hint="eastAsia" w:eastAsia="宋体"/>
          <w:color w:val="auto"/>
          <w:lang w:eastAsia="zh-CN"/>
        </w:rPr>
      </w:pPr>
      <w:r>
        <w:rPr>
          <w:rFonts w:hint="eastAsia"/>
          <w:color w:val="auto"/>
        </w:rPr>
        <w:t>(</w:t>
      </w:r>
      <w:r>
        <w:rPr>
          <w:rFonts w:hint="eastAsia"/>
          <w:color w:val="auto"/>
          <w:lang w:val="en-US" w:eastAsia="zh-CN"/>
        </w:rPr>
        <w:t>1</w:t>
      </w:r>
      <w:r>
        <w:rPr>
          <w:rFonts w:hint="eastAsia"/>
          <w:color w:val="auto"/>
        </w:rPr>
        <w:t>)《安全</w:t>
      </w:r>
      <w:r>
        <w:rPr>
          <w:rFonts w:hint="eastAsia"/>
          <w:color w:val="auto"/>
          <w:lang w:val="en-US" w:eastAsia="zh-CN"/>
        </w:rPr>
        <w:t>预</w:t>
      </w:r>
      <w:r>
        <w:rPr>
          <w:rFonts w:hint="eastAsia"/>
          <w:color w:val="auto"/>
        </w:rPr>
        <w:t>评价</w:t>
      </w:r>
      <w:r>
        <w:rPr>
          <w:rFonts w:hint="eastAsia"/>
          <w:color w:val="auto"/>
          <w:lang w:val="en-US" w:eastAsia="zh-CN"/>
        </w:rPr>
        <w:t>导</w:t>
      </w:r>
      <w:r>
        <w:rPr>
          <w:rFonts w:hint="eastAsia"/>
          <w:color w:val="auto"/>
        </w:rPr>
        <w:t>则》(AQ800</w:t>
      </w:r>
      <w:r>
        <w:rPr>
          <w:rFonts w:hint="eastAsia"/>
          <w:color w:val="auto"/>
          <w:lang w:val="en-US" w:eastAsia="zh-CN"/>
        </w:rPr>
        <w:t>2</w:t>
      </w:r>
      <w:r>
        <w:rPr>
          <w:rFonts w:hint="eastAsia"/>
          <w:color w:val="auto"/>
        </w:rPr>
        <w:t>-2007)</w:t>
      </w:r>
      <w:r>
        <w:rPr>
          <w:rFonts w:hint="eastAsia"/>
          <w:color w:val="auto"/>
          <w:lang w:eastAsia="zh-CN"/>
        </w:rPr>
        <w:t>；</w:t>
      </w:r>
    </w:p>
    <w:p w14:paraId="31F7B0B3">
      <w:pPr>
        <w:ind w:firstLine="560"/>
        <w:rPr>
          <w:rFonts w:hint="eastAsia" w:eastAsia="宋体"/>
          <w:color w:val="auto"/>
          <w:lang w:eastAsia="zh-CN"/>
        </w:rPr>
      </w:pPr>
      <w:r>
        <w:rPr>
          <w:rFonts w:hint="eastAsia"/>
          <w:color w:val="auto"/>
        </w:rPr>
        <w:t>(2)《安全评价通则》(AQ8001-2007)</w:t>
      </w:r>
      <w:r>
        <w:rPr>
          <w:rFonts w:hint="eastAsia"/>
          <w:color w:val="auto"/>
          <w:lang w:eastAsia="zh-CN"/>
        </w:rPr>
        <w:t>；</w:t>
      </w:r>
    </w:p>
    <w:p w14:paraId="7A17243A">
      <w:pPr>
        <w:ind w:firstLine="560"/>
        <w:rPr>
          <w:rFonts w:hint="eastAsia" w:eastAsia="宋体"/>
          <w:color w:val="auto"/>
          <w:lang w:eastAsia="zh-CN"/>
        </w:rPr>
      </w:pPr>
      <w:r>
        <w:rPr>
          <w:rFonts w:hint="eastAsia"/>
          <w:color w:val="auto"/>
        </w:rPr>
        <w:t>(3)《金属非金属地下矿山通风技术规范通风系统》(AQ2013.1-2008)</w:t>
      </w:r>
      <w:r>
        <w:rPr>
          <w:rFonts w:hint="eastAsia"/>
          <w:color w:val="auto"/>
          <w:lang w:eastAsia="zh-CN"/>
        </w:rPr>
        <w:t>；</w:t>
      </w:r>
    </w:p>
    <w:p w14:paraId="7F56DF2B">
      <w:pPr>
        <w:ind w:firstLine="560"/>
        <w:rPr>
          <w:rFonts w:hint="eastAsia" w:eastAsia="宋体"/>
          <w:color w:val="auto"/>
          <w:lang w:eastAsia="zh-CN"/>
        </w:rPr>
      </w:pPr>
      <w:r>
        <w:rPr>
          <w:rFonts w:hint="eastAsia"/>
          <w:color w:val="auto"/>
        </w:rPr>
        <w:t>(4)《金属非金属地下矿山通风技术规范局部通风》(AQ2013.2-2008)</w:t>
      </w:r>
      <w:r>
        <w:rPr>
          <w:rFonts w:hint="eastAsia"/>
          <w:color w:val="auto"/>
          <w:lang w:eastAsia="zh-CN"/>
        </w:rPr>
        <w:t>；</w:t>
      </w:r>
    </w:p>
    <w:p w14:paraId="3BC09E4E">
      <w:pPr>
        <w:ind w:firstLine="560"/>
        <w:rPr>
          <w:rFonts w:hint="eastAsia" w:eastAsia="宋体"/>
          <w:color w:val="auto"/>
          <w:lang w:eastAsia="zh-CN"/>
        </w:rPr>
      </w:pPr>
      <w:r>
        <w:rPr>
          <w:rFonts w:hint="eastAsia"/>
          <w:color w:val="auto"/>
        </w:rPr>
        <w:t>(5)《金属非金属地下矿山通风技术规范通风系统检测》(AQ2013.3-2008)</w:t>
      </w:r>
      <w:r>
        <w:rPr>
          <w:rFonts w:hint="eastAsia"/>
          <w:color w:val="auto"/>
          <w:lang w:eastAsia="zh-CN"/>
        </w:rPr>
        <w:t>；</w:t>
      </w:r>
    </w:p>
    <w:p w14:paraId="359657D1">
      <w:pPr>
        <w:ind w:firstLine="560"/>
        <w:rPr>
          <w:rFonts w:hint="eastAsia" w:eastAsia="宋体"/>
          <w:color w:val="auto"/>
          <w:lang w:eastAsia="zh-CN"/>
        </w:rPr>
      </w:pPr>
      <w:r>
        <w:rPr>
          <w:rFonts w:hint="eastAsia"/>
          <w:color w:val="auto"/>
        </w:rPr>
        <w:t>(6)《金属非金属地下矿山监测监控系统建设规范》(AQ2031-2011)</w:t>
      </w:r>
      <w:r>
        <w:rPr>
          <w:rFonts w:hint="eastAsia"/>
          <w:color w:val="auto"/>
          <w:lang w:eastAsia="zh-CN"/>
        </w:rPr>
        <w:t>；</w:t>
      </w:r>
    </w:p>
    <w:p w14:paraId="66AD7BA7">
      <w:pPr>
        <w:ind w:firstLine="560"/>
        <w:rPr>
          <w:rFonts w:hint="eastAsia"/>
          <w:color w:val="auto"/>
          <w:lang w:eastAsia="zh-CN"/>
        </w:rPr>
      </w:pPr>
      <w:r>
        <w:rPr>
          <w:rFonts w:hint="eastAsia"/>
          <w:color w:val="auto"/>
        </w:rPr>
        <w:t>(7)《金属非金属地下矿山人员定位系统建设规范》(AQ2032-2011)</w:t>
      </w:r>
      <w:r>
        <w:rPr>
          <w:rFonts w:hint="eastAsia"/>
          <w:color w:val="auto"/>
          <w:lang w:eastAsia="zh-CN"/>
        </w:rPr>
        <w:t>；</w:t>
      </w:r>
    </w:p>
    <w:p w14:paraId="263B970D">
      <w:pPr>
        <w:ind w:firstLine="560"/>
        <w:rPr>
          <w:rFonts w:hint="eastAsia"/>
          <w:color w:val="auto"/>
          <w:lang w:eastAsia="zh-CN"/>
        </w:rPr>
      </w:pPr>
      <w:r>
        <w:rPr>
          <w:rFonts w:hint="eastAsia"/>
          <w:color w:val="auto"/>
        </w:rPr>
        <w:t>(</w:t>
      </w:r>
      <w:r>
        <w:rPr>
          <w:rFonts w:hint="eastAsia"/>
          <w:color w:val="auto"/>
          <w:lang w:val="en-US" w:eastAsia="zh-CN"/>
        </w:rPr>
        <w:t>8</w:t>
      </w:r>
      <w:r>
        <w:rPr>
          <w:rFonts w:hint="eastAsia"/>
          <w:color w:val="auto"/>
        </w:rPr>
        <w:t>)《金属非金属地下矿山通信联络系统建设规范》(AQ2036-2011)</w:t>
      </w:r>
      <w:r>
        <w:rPr>
          <w:rFonts w:hint="eastAsia"/>
          <w:color w:val="auto"/>
          <w:lang w:eastAsia="zh-CN"/>
        </w:rPr>
        <w:t>；</w:t>
      </w:r>
    </w:p>
    <w:p w14:paraId="6216D5A4">
      <w:pPr>
        <w:keepNext w:val="0"/>
        <w:keepLines w:val="0"/>
        <w:pageBreakBefore w:val="0"/>
        <w:widowControl w:val="0"/>
        <w:kinsoku/>
        <w:wordWrap/>
        <w:overflowPunct/>
        <w:topLinePunct w:val="0"/>
        <w:autoSpaceDE/>
        <w:autoSpaceDN/>
        <w:bidi w:val="0"/>
        <w:adjustRightInd/>
        <w:snapToGrid/>
        <w:spacing w:line="480" w:lineRule="exact"/>
        <w:ind w:firstLine="560"/>
        <w:textAlignment w:val="auto"/>
        <w:rPr>
          <w:rFonts w:hint="eastAsia"/>
          <w:color w:val="auto"/>
          <w:lang w:eastAsia="zh-CN"/>
        </w:rPr>
      </w:pPr>
      <w:r>
        <w:rPr>
          <w:rFonts w:hint="eastAsia" w:ascii="宋体" w:hAnsi="宋体" w:eastAsia="宋体"/>
          <w:color w:val="auto"/>
        </w:rPr>
        <w:t>(</w:t>
      </w:r>
      <w:r>
        <w:rPr>
          <w:rFonts w:hint="eastAsia" w:ascii="宋体" w:hAnsi="宋体" w:eastAsia="宋体"/>
          <w:color w:val="auto"/>
          <w:lang w:val="en-US" w:eastAsia="zh-CN"/>
        </w:rPr>
        <w:t>9</w:t>
      </w:r>
      <w:r>
        <w:rPr>
          <w:rFonts w:hint="eastAsia" w:ascii="宋体" w:hAnsi="宋体" w:eastAsia="宋体"/>
          <w:color w:val="auto"/>
        </w:rPr>
        <w:t>)《金属非金属地下矿山防治水安全技术规范》(AQ2061-2018)</w:t>
      </w:r>
      <w:r>
        <w:rPr>
          <w:rFonts w:hint="eastAsia"/>
          <w:color w:val="auto"/>
          <w:lang w:eastAsia="zh-CN"/>
        </w:rPr>
        <w:t>；</w:t>
      </w:r>
    </w:p>
    <w:p w14:paraId="1BCE4C56">
      <w:pPr>
        <w:keepNext w:val="0"/>
        <w:keepLines w:val="0"/>
        <w:pageBreakBefore w:val="0"/>
        <w:widowControl w:val="0"/>
        <w:kinsoku/>
        <w:wordWrap/>
        <w:overflowPunct/>
        <w:topLinePunct w:val="0"/>
        <w:autoSpaceDE/>
        <w:autoSpaceDN/>
        <w:bidi w:val="0"/>
        <w:adjustRightInd/>
        <w:snapToGrid/>
        <w:spacing w:line="480" w:lineRule="exact"/>
        <w:ind w:firstLine="560"/>
        <w:textAlignment w:val="auto"/>
        <w:rPr>
          <w:rFonts w:hint="eastAsia"/>
          <w:color w:val="auto"/>
          <w:lang w:eastAsia="zh-CN"/>
        </w:rPr>
      </w:pPr>
      <w:r>
        <w:rPr>
          <w:rFonts w:hint="eastAsia"/>
          <w:color w:val="auto"/>
        </w:rPr>
        <w:t>(</w:t>
      </w:r>
      <w:r>
        <w:rPr>
          <w:rFonts w:hint="eastAsia"/>
          <w:color w:val="auto"/>
          <w:lang w:val="en-US" w:eastAsia="zh-CN"/>
        </w:rPr>
        <w:t>10</w:t>
      </w:r>
      <w:r>
        <w:rPr>
          <w:rFonts w:hint="eastAsia"/>
          <w:color w:val="auto"/>
        </w:rPr>
        <w:t>)《金属非金属矿山安全标准化规范地下矿山实施指南》(</w:t>
      </w:r>
      <w:r>
        <w:rPr>
          <w:rFonts w:hint="eastAsia"/>
          <w:color w:val="auto"/>
          <w:lang w:val="en-US" w:eastAsia="zh-CN"/>
        </w:rPr>
        <w:t>KA/T</w:t>
      </w:r>
      <w:r>
        <w:rPr>
          <w:rFonts w:hint="eastAsia"/>
          <w:color w:val="auto"/>
        </w:rPr>
        <w:t xml:space="preserve"> 2050.2-2016)</w:t>
      </w:r>
      <w:r>
        <w:rPr>
          <w:rFonts w:hint="eastAsia"/>
          <w:color w:val="auto"/>
          <w:lang w:eastAsia="zh-CN"/>
        </w:rPr>
        <w:t>；</w:t>
      </w:r>
    </w:p>
    <w:p w14:paraId="210CC5AC">
      <w:pPr>
        <w:keepNext w:val="0"/>
        <w:keepLines w:val="0"/>
        <w:pageBreakBefore w:val="0"/>
        <w:widowControl w:val="0"/>
        <w:kinsoku/>
        <w:wordWrap/>
        <w:overflowPunct/>
        <w:topLinePunct w:val="0"/>
        <w:autoSpaceDE/>
        <w:autoSpaceDN/>
        <w:bidi w:val="0"/>
        <w:adjustRightInd/>
        <w:snapToGrid/>
        <w:spacing w:line="480" w:lineRule="exact"/>
        <w:ind w:firstLine="560"/>
        <w:textAlignment w:val="auto"/>
        <w:rPr>
          <w:rFonts w:hint="eastAsia"/>
          <w:color w:val="auto"/>
          <w:lang w:eastAsia="zh-CN"/>
        </w:rPr>
      </w:pPr>
      <w:r>
        <w:rPr>
          <w:rFonts w:hint="eastAsia"/>
          <w:color w:val="auto"/>
        </w:rPr>
        <w:t>(</w:t>
      </w:r>
      <w:r>
        <w:rPr>
          <w:rFonts w:hint="eastAsia"/>
          <w:color w:val="auto"/>
          <w:lang w:val="en-US" w:eastAsia="zh-CN"/>
        </w:rPr>
        <w:t>11</w:t>
      </w:r>
      <w:r>
        <w:rPr>
          <w:rFonts w:hint="eastAsia"/>
          <w:color w:val="auto"/>
        </w:rPr>
        <w:t>)《</w:t>
      </w:r>
      <w:r>
        <w:rPr>
          <w:rFonts w:hint="default" w:ascii="瀹嬩綋" w:hAnsi="瀹嬩綋" w:eastAsia="瀹嬩綋" w:cs="瀹嬩綋"/>
          <w:i w:val="0"/>
          <w:iCs w:val="0"/>
          <w:caps w:val="0"/>
          <w:color w:val="auto"/>
          <w:spacing w:val="0"/>
          <w:shd w:val="clear" w:fill="FFFFFF"/>
        </w:rPr>
        <w:t>金属非金属地下矿山人员定位系统通用技术要求</w:t>
      </w:r>
      <w:r>
        <w:rPr>
          <w:rFonts w:hint="eastAsia"/>
          <w:color w:val="auto"/>
        </w:rPr>
        <w:t>》(</w:t>
      </w:r>
      <w:r>
        <w:rPr>
          <w:rFonts w:hint="eastAsia"/>
          <w:color w:val="auto"/>
          <w:lang w:val="en-US" w:eastAsia="zh-CN"/>
        </w:rPr>
        <w:t>KA/T</w:t>
      </w:r>
      <w:r>
        <w:rPr>
          <w:rFonts w:hint="eastAsia"/>
          <w:color w:val="auto"/>
        </w:rPr>
        <w:t>20</w:t>
      </w:r>
      <w:r>
        <w:rPr>
          <w:rFonts w:hint="eastAsia"/>
          <w:color w:val="auto"/>
          <w:lang w:val="en-US" w:eastAsia="zh-CN"/>
        </w:rPr>
        <w:t>51</w:t>
      </w:r>
      <w:r>
        <w:rPr>
          <w:rFonts w:hint="eastAsia"/>
          <w:color w:val="auto"/>
        </w:rPr>
        <w:t>-</w:t>
      </w:r>
      <w:r>
        <w:rPr>
          <w:rFonts w:hint="eastAsia" w:ascii="宋体" w:hAnsi="宋体" w:cs="宋体"/>
          <w:color w:val="auto"/>
          <w:szCs w:val="28"/>
        </w:rPr>
        <w:t>20</w:t>
      </w:r>
      <w:r>
        <w:rPr>
          <w:rFonts w:hint="eastAsia" w:ascii="宋体" w:hAnsi="宋体" w:cs="宋体"/>
          <w:color w:val="auto"/>
          <w:szCs w:val="28"/>
          <w:lang w:val="en-US" w:eastAsia="zh-CN"/>
        </w:rPr>
        <w:t>16</w:t>
      </w:r>
      <w:r>
        <w:rPr>
          <w:rFonts w:hint="eastAsia"/>
          <w:color w:val="auto"/>
        </w:rPr>
        <w:t>)</w:t>
      </w:r>
      <w:r>
        <w:rPr>
          <w:rFonts w:hint="eastAsia"/>
          <w:color w:val="auto"/>
          <w:lang w:eastAsia="zh-CN"/>
        </w:rPr>
        <w:t>；</w:t>
      </w:r>
    </w:p>
    <w:p w14:paraId="30689C14">
      <w:pPr>
        <w:keepNext w:val="0"/>
        <w:keepLines w:val="0"/>
        <w:pageBreakBefore w:val="0"/>
        <w:widowControl w:val="0"/>
        <w:kinsoku/>
        <w:wordWrap/>
        <w:overflowPunct/>
        <w:topLinePunct w:val="0"/>
        <w:autoSpaceDE/>
        <w:autoSpaceDN/>
        <w:bidi w:val="0"/>
        <w:adjustRightInd/>
        <w:snapToGrid/>
        <w:spacing w:line="480" w:lineRule="exact"/>
        <w:ind w:firstLine="560"/>
        <w:textAlignment w:val="auto"/>
        <w:rPr>
          <w:rFonts w:hint="eastAsia"/>
          <w:color w:val="auto"/>
          <w:lang w:eastAsia="zh-CN"/>
        </w:rPr>
      </w:pPr>
      <w:r>
        <w:rPr>
          <w:rFonts w:hint="eastAsia" w:ascii="宋体" w:hAnsi="宋体" w:eastAsia="宋体"/>
          <w:color w:val="auto"/>
        </w:rPr>
        <w:t>(1</w:t>
      </w:r>
      <w:r>
        <w:rPr>
          <w:rFonts w:hint="eastAsia" w:ascii="宋体" w:hAnsi="宋体" w:eastAsia="宋体"/>
          <w:color w:val="auto"/>
          <w:lang w:val="en-US" w:eastAsia="zh-CN"/>
        </w:rPr>
        <w:t>2</w:t>
      </w:r>
      <w:r>
        <w:rPr>
          <w:rFonts w:hint="eastAsia" w:ascii="宋体" w:hAnsi="宋体" w:eastAsia="宋体"/>
          <w:color w:val="auto"/>
        </w:rPr>
        <w:t>)《金属非金属矿山在用设备设施安全检测检验目录》(</w:t>
      </w:r>
      <w:r>
        <w:rPr>
          <w:rFonts w:hint="eastAsia" w:ascii="宋体" w:hAnsi="宋体" w:eastAsia="宋体"/>
          <w:color w:val="auto"/>
          <w:lang w:val="en-US" w:eastAsia="zh-CN"/>
        </w:rPr>
        <w:t>KA/T</w:t>
      </w:r>
      <w:r>
        <w:rPr>
          <w:rFonts w:hint="eastAsia" w:ascii="宋体" w:hAnsi="宋体" w:eastAsia="宋体"/>
          <w:color w:val="auto"/>
        </w:rPr>
        <w:t>2075-2019)</w:t>
      </w:r>
      <w:r>
        <w:rPr>
          <w:rFonts w:hint="eastAsia"/>
          <w:color w:val="auto"/>
          <w:lang w:eastAsia="zh-CN"/>
        </w:rPr>
        <w:t>。</w:t>
      </w:r>
    </w:p>
    <w:p w14:paraId="78E4E150">
      <w:pPr>
        <w:keepNext w:val="0"/>
        <w:keepLines w:val="0"/>
        <w:pageBreakBefore w:val="0"/>
        <w:widowControl w:val="0"/>
        <w:kinsoku/>
        <w:wordWrap/>
        <w:overflowPunct/>
        <w:topLinePunct w:val="0"/>
        <w:autoSpaceDE/>
        <w:autoSpaceDN/>
        <w:bidi w:val="0"/>
        <w:adjustRightInd/>
        <w:snapToGrid/>
        <w:spacing w:line="480" w:lineRule="exact"/>
        <w:ind w:firstLine="560"/>
        <w:textAlignment w:val="auto"/>
        <w:rPr>
          <w:rFonts w:hint="eastAsia" w:eastAsia="宋体"/>
          <w:color w:val="auto"/>
          <w:lang w:eastAsia="zh-CN"/>
        </w:rPr>
      </w:pPr>
      <w:r>
        <w:rPr>
          <w:rFonts w:hint="eastAsia"/>
          <w:color w:val="auto"/>
        </w:rPr>
        <w:t>(</w:t>
      </w:r>
      <w:r>
        <w:rPr>
          <w:rFonts w:hint="eastAsia"/>
          <w:color w:val="auto"/>
          <w:lang w:val="en-US" w:eastAsia="zh-CN"/>
        </w:rPr>
        <w:t>13</w:t>
      </w:r>
      <w:r>
        <w:rPr>
          <w:rFonts w:hint="eastAsia"/>
          <w:color w:val="auto"/>
        </w:rPr>
        <w:t>)《金属非金属地下矿山紧急避险系统建设规范》(</w:t>
      </w:r>
      <w:r>
        <w:rPr>
          <w:rFonts w:hint="eastAsia"/>
          <w:color w:val="auto"/>
          <w:lang w:val="en-US" w:eastAsia="zh-CN"/>
        </w:rPr>
        <w:t>KA/T</w:t>
      </w:r>
      <w:r>
        <w:rPr>
          <w:rFonts w:hint="eastAsia"/>
          <w:color w:val="auto"/>
        </w:rPr>
        <w:t>2033-</w:t>
      </w:r>
      <w:r>
        <w:rPr>
          <w:rFonts w:hint="eastAsia" w:ascii="宋体" w:hAnsi="宋体" w:cs="宋体"/>
          <w:color w:val="auto"/>
          <w:szCs w:val="28"/>
        </w:rPr>
        <w:t>20</w:t>
      </w:r>
      <w:r>
        <w:rPr>
          <w:rFonts w:hint="eastAsia" w:ascii="宋体" w:hAnsi="宋体" w:cs="宋体"/>
          <w:color w:val="auto"/>
          <w:szCs w:val="28"/>
          <w:lang w:val="en-US" w:eastAsia="zh-CN"/>
        </w:rPr>
        <w:t>23</w:t>
      </w:r>
      <w:r>
        <w:rPr>
          <w:rFonts w:hint="eastAsia"/>
          <w:color w:val="auto"/>
        </w:rPr>
        <w:t>)</w:t>
      </w:r>
      <w:r>
        <w:rPr>
          <w:rFonts w:hint="eastAsia"/>
          <w:color w:val="auto"/>
          <w:lang w:eastAsia="zh-CN"/>
        </w:rPr>
        <w:t>；</w:t>
      </w:r>
    </w:p>
    <w:p w14:paraId="4179CC03">
      <w:pPr>
        <w:keepNext w:val="0"/>
        <w:keepLines w:val="0"/>
        <w:pageBreakBefore w:val="0"/>
        <w:widowControl w:val="0"/>
        <w:kinsoku/>
        <w:wordWrap/>
        <w:overflowPunct/>
        <w:topLinePunct w:val="0"/>
        <w:autoSpaceDE/>
        <w:autoSpaceDN/>
        <w:bidi w:val="0"/>
        <w:adjustRightInd/>
        <w:snapToGrid/>
        <w:spacing w:line="480" w:lineRule="exact"/>
        <w:ind w:firstLine="560"/>
        <w:textAlignment w:val="auto"/>
        <w:rPr>
          <w:rFonts w:hint="eastAsia" w:eastAsia="宋体"/>
          <w:color w:val="auto"/>
          <w:lang w:eastAsia="zh-CN"/>
        </w:rPr>
      </w:pPr>
      <w:r>
        <w:rPr>
          <w:rFonts w:hint="eastAsia"/>
          <w:color w:val="auto"/>
        </w:rPr>
        <w:t>(</w:t>
      </w:r>
      <w:r>
        <w:rPr>
          <w:rFonts w:hint="eastAsia"/>
          <w:color w:val="auto"/>
          <w:lang w:val="en-US" w:eastAsia="zh-CN"/>
        </w:rPr>
        <w:t>14</w:t>
      </w:r>
      <w:r>
        <w:rPr>
          <w:rFonts w:hint="eastAsia"/>
          <w:color w:val="auto"/>
        </w:rPr>
        <w:t>)《金属非金属地下矿山压风自救系统建设规范》(</w:t>
      </w:r>
      <w:r>
        <w:rPr>
          <w:rFonts w:hint="eastAsia"/>
          <w:color w:val="auto"/>
          <w:lang w:val="en-US" w:eastAsia="zh-CN"/>
        </w:rPr>
        <w:t>KA/T</w:t>
      </w:r>
      <w:r>
        <w:rPr>
          <w:rFonts w:hint="eastAsia"/>
          <w:color w:val="auto"/>
        </w:rPr>
        <w:t>2034-</w:t>
      </w:r>
      <w:r>
        <w:rPr>
          <w:rFonts w:hint="eastAsia" w:ascii="宋体" w:hAnsi="宋体" w:cs="宋体"/>
          <w:color w:val="auto"/>
          <w:szCs w:val="28"/>
        </w:rPr>
        <w:t>20</w:t>
      </w:r>
      <w:r>
        <w:rPr>
          <w:rFonts w:hint="eastAsia" w:ascii="宋体" w:hAnsi="宋体" w:cs="宋体"/>
          <w:color w:val="auto"/>
          <w:szCs w:val="28"/>
          <w:lang w:val="en-US" w:eastAsia="zh-CN"/>
        </w:rPr>
        <w:t>23</w:t>
      </w:r>
      <w:r>
        <w:rPr>
          <w:rFonts w:hint="eastAsia"/>
          <w:color w:val="auto"/>
        </w:rPr>
        <w:t>)</w:t>
      </w:r>
      <w:r>
        <w:rPr>
          <w:rFonts w:hint="eastAsia"/>
          <w:color w:val="auto"/>
          <w:lang w:eastAsia="zh-CN"/>
        </w:rPr>
        <w:t>；</w:t>
      </w:r>
    </w:p>
    <w:p w14:paraId="0C7F590C">
      <w:pPr>
        <w:keepNext w:val="0"/>
        <w:keepLines w:val="0"/>
        <w:pageBreakBefore w:val="0"/>
        <w:widowControl w:val="0"/>
        <w:kinsoku/>
        <w:wordWrap/>
        <w:overflowPunct/>
        <w:topLinePunct w:val="0"/>
        <w:autoSpaceDE/>
        <w:autoSpaceDN/>
        <w:bidi w:val="0"/>
        <w:adjustRightInd/>
        <w:snapToGrid/>
        <w:spacing w:line="480" w:lineRule="exact"/>
        <w:ind w:firstLine="560"/>
        <w:textAlignment w:val="auto"/>
        <w:rPr>
          <w:rFonts w:hint="eastAsia" w:eastAsia="宋体"/>
          <w:color w:val="auto"/>
          <w:lang w:eastAsia="zh-CN"/>
        </w:rPr>
      </w:pPr>
      <w:r>
        <w:rPr>
          <w:rFonts w:hint="eastAsia"/>
          <w:color w:val="auto"/>
        </w:rPr>
        <w:t>(1</w:t>
      </w:r>
      <w:r>
        <w:rPr>
          <w:rFonts w:hint="eastAsia"/>
          <w:color w:val="auto"/>
          <w:lang w:val="en-US" w:eastAsia="zh-CN"/>
        </w:rPr>
        <w:t>5</w:t>
      </w:r>
      <w:r>
        <w:rPr>
          <w:rFonts w:hint="eastAsia"/>
          <w:color w:val="auto"/>
        </w:rPr>
        <w:t>)《金属非金属地下矿山供水施救系统建设规范》(</w:t>
      </w:r>
      <w:r>
        <w:rPr>
          <w:rFonts w:hint="eastAsia"/>
          <w:color w:val="auto"/>
          <w:lang w:val="en-US" w:eastAsia="zh-CN"/>
        </w:rPr>
        <w:t>KA/T</w:t>
      </w:r>
      <w:r>
        <w:rPr>
          <w:rFonts w:hint="eastAsia"/>
          <w:color w:val="auto"/>
        </w:rPr>
        <w:t>2035-</w:t>
      </w:r>
      <w:r>
        <w:rPr>
          <w:rFonts w:hint="eastAsia" w:ascii="宋体" w:hAnsi="宋体" w:cs="宋体"/>
          <w:color w:val="auto"/>
          <w:szCs w:val="28"/>
        </w:rPr>
        <w:t>20</w:t>
      </w:r>
      <w:r>
        <w:rPr>
          <w:rFonts w:hint="eastAsia" w:ascii="宋体" w:hAnsi="宋体" w:cs="宋体"/>
          <w:color w:val="auto"/>
          <w:szCs w:val="28"/>
          <w:lang w:val="en-US" w:eastAsia="zh-CN"/>
        </w:rPr>
        <w:t>23</w:t>
      </w:r>
      <w:r>
        <w:rPr>
          <w:rFonts w:hint="eastAsia"/>
          <w:color w:val="auto"/>
        </w:rPr>
        <w:t>)</w:t>
      </w:r>
      <w:r>
        <w:rPr>
          <w:rFonts w:hint="eastAsia"/>
          <w:color w:val="auto"/>
          <w:lang w:eastAsia="zh-CN"/>
        </w:rPr>
        <w:t>；</w:t>
      </w:r>
    </w:p>
    <w:p w14:paraId="43A291AF">
      <w:pPr>
        <w:keepNext w:val="0"/>
        <w:keepLines w:val="0"/>
        <w:pageBreakBefore w:val="0"/>
        <w:widowControl w:val="0"/>
        <w:kinsoku/>
        <w:wordWrap/>
        <w:overflowPunct/>
        <w:topLinePunct w:val="0"/>
        <w:autoSpaceDE/>
        <w:autoSpaceDN/>
        <w:bidi w:val="0"/>
        <w:adjustRightInd/>
        <w:snapToGrid/>
        <w:spacing w:line="480" w:lineRule="exact"/>
        <w:ind w:firstLine="560"/>
        <w:textAlignment w:val="auto"/>
        <w:rPr>
          <w:rFonts w:hint="eastAsia" w:eastAsia="宋体"/>
          <w:color w:val="auto"/>
          <w:lang w:eastAsia="zh-CN"/>
        </w:rPr>
      </w:pPr>
      <w:r>
        <w:rPr>
          <w:rFonts w:hint="eastAsia"/>
          <w:color w:val="auto"/>
        </w:rPr>
        <w:t>(1</w:t>
      </w:r>
      <w:r>
        <w:rPr>
          <w:rFonts w:hint="eastAsia"/>
          <w:color w:val="auto"/>
          <w:lang w:val="en-US" w:eastAsia="zh-CN"/>
        </w:rPr>
        <w:t>6</w:t>
      </w:r>
      <w:r>
        <w:rPr>
          <w:rFonts w:hint="eastAsia"/>
          <w:color w:val="auto"/>
        </w:rPr>
        <w:t>)《民用爆炸物品重大危险源辨识》(WJ/T9093-2018)</w:t>
      </w:r>
      <w:r>
        <w:rPr>
          <w:rFonts w:hint="eastAsia"/>
          <w:color w:val="auto"/>
          <w:lang w:eastAsia="zh-CN"/>
        </w:rPr>
        <w:t>。</w:t>
      </w:r>
    </w:p>
    <w:p w14:paraId="2CB236AE">
      <w:pPr>
        <w:pStyle w:val="4"/>
        <w:spacing w:before="0" w:after="0"/>
        <w:rPr>
          <w:color w:val="auto"/>
        </w:rPr>
      </w:pPr>
      <w:r>
        <w:rPr>
          <w:color w:val="auto"/>
        </w:rPr>
        <w:t>1.2.3建设项目合法</w:t>
      </w:r>
      <w:r>
        <w:rPr>
          <w:rFonts w:hint="eastAsia"/>
          <w:color w:val="auto"/>
          <w:lang w:val="en-US" w:eastAsia="zh-CN"/>
        </w:rPr>
        <w:t>性</w:t>
      </w:r>
      <w:r>
        <w:rPr>
          <w:color w:val="auto"/>
        </w:rPr>
        <w:t>证明文件</w:t>
      </w:r>
    </w:p>
    <w:bookmarkEnd w:id="23"/>
    <w:bookmarkEnd w:id="24"/>
    <w:bookmarkEnd w:id="25"/>
    <w:p w14:paraId="63C9CDEF">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left="0" w:leftChars="0" w:firstLine="560" w:firstLineChars="200"/>
        <w:textAlignment w:val="auto"/>
        <w:rPr>
          <w:rFonts w:hint="eastAsia"/>
          <w:color w:val="auto"/>
          <w:lang w:eastAsia="zh-CN"/>
        </w:rPr>
      </w:pPr>
      <w:bookmarkStart w:id="26" w:name="_Toc223516693"/>
      <w:bookmarkStart w:id="27" w:name="_Toc200534905"/>
      <w:r>
        <w:rPr>
          <w:rFonts w:hint="eastAsia"/>
          <w:color w:val="auto"/>
          <w:lang w:eastAsia="zh-CN"/>
        </w:rPr>
        <w:t>《营业执照</w:t>
      </w:r>
      <w:r>
        <w:rPr>
          <w:rFonts w:hint="eastAsia"/>
          <w:color w:val="auto"/>
          <w:lang w:val="en-US" w:eastAsia="zh-CN"/>
        </w:rPr>
        <w:t>(副本)</w:t>
      </w:r>
      <w:r>
        <w:rPr>
          <w:rFonts w:hint="eastAsia"/>
          <w:color w:val="auto"/>
          <w:lang w:eastAsia="zh-CN"/>
        </w:rPr>
        <w:t>》</w:t>
      </w:r>
      <w:r>
        <w:rPr>
          <w:rFonts w:hint="eastAsia"/>
          <w:color w:val="auto"/>
          <w:lang w:val="en-US" w:eastAsia="zh-CN"/>
        </w:rPr>
        <w:t>(</w:t>
      </w:r>
      <w:r>
        <w:rPr>
          <w:rFonts w:hint="eastAsia"/>
          <w:color w:val="auto"/>
          <w:lang w:eastAsia="zh-CN"/>
        </w:rPr>
        <w:t>统一社会信用代码：91610330MAC00E4F56</w:t>
      </w:r>
      <w:r>
        <w:rPr>
          <w:rFonts w:hint="eastAsia"/>
          <w:color w:val="auto"/>
          <w:lang w:val="en-US" w:eastAsia="zh-CN"/>
        </w:rPr>
        <w:t>)；</w:t>
      </w:r>
    </w:p>
    <w:p w14:paraId="09843158">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left="0" w:leftChars="0" w:firstLine="560" w:firstLineChars="200"/>
        <w:textAlignment w:val="auto"/>
        <w:rPr>
          <w:rFonts w:hint="eastAsia"/>
          <w:color w:val="auto"/>
          <w:lang w:eastAsia="zh-CN"/>
        </w:rPr>
      </w:pPr>
      <w:r>
        <w:rPr>
          <w:rFonts w:hint="eastAsia"/>
          <w:color w:val="auto"/>
          <w:lang w:val="en-US" w:eastAsia="zh-CN"/>
        </w:rPr>
        <w:t>《</w:t>
      </w:r>
      <w:r>
        <w:rPr>
          <w:rFonts w:hint="eastAsia"/>
          <w:color w:val="auto"/>
          <w:lang w:eastAsia="zh-CN"/>
        </w:rPr>
        <w:t>采矿许可证</w:t>
      </w:r>
      <w:r>
        <w:rPr>
          <w:rFonts w:hint="eastAsia"/>
          <w:color w:val="auto"/>
          <w:lang w:val="en-US" w:eastAsia="zh-CN"/>
        </w:rPr>
        <w:t>(副本)》(证号：C6103002024116110157671，</w:t>
      </w:r>
      <w:r>
        <w:rPr>
          <w:rFonts w:hint="eastAsia"/>
          <w:color w:val="auto"/>
          <w:lang w:eastAsia="zh-CN"/>
        </w:rPr>
        <w:t>有效期限：2024年11月25日至2029年11月25日</w:t>
      </w:r>
      <w:r>
        <w:rPr>
          <w:rFonts w:hint="eastAsia"/>
          <w:color w:val="auto"/>
          <w:lang w:val="en-US" w:eastAsia="zh-CN"/>
        </w:rPr>
        <w:t>)；</w:t>
      </w:r>
    </w:p>
    <w:p w14:paraId="217D7223">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left="0" w:leftChars="0" w:firstLine="560" w:firstLineChars="200"/>
        <w:textAlignment w:val="auto"/>
        <w:rPr>
          <w:rFonts w:hint="eastAsia"/>
          <w:color w:val="auto"/>
          <w:lang w:eastAsia="zh-CN"/>
        </w:rPr>
      </w:pPr>
      <w:r>
        <w:rPr>
          <w:rFonts w:hint="eastAsia"/>
          <w:color w:val="auto"/>
          <w:lang w:eastAsia="zh-CN"/>
        </w:rPr>
        <w:t>《陕西省企业投资项目备案确认书</w:t>
      </w:r>
      <w:r>
        <w:rPr>
          <w:rFonts w:hint="eastAsia"/>
          <w:color w:val="auto"/>
          <w:lang w:val="en-US" w:eastAsia="zh-CN"/>
        </w:rPr>
        <w:t>》(项目代码：2209-610330-04-01-149055)；</w:t>
      </w:r>
    </w:p>
    <w:p w14:paraId="04FA882B">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left="0" w:leftChars="0" w:firstLine="560" w:firstLineChars="200"/>
        <w:textAlignment w:val="auto"/>
        <w:rPr>
          <w:rFonts w:hint="eastAsia" w:ascii="宋体" w:hAnsi="宋体" w:eastAsia="宋体"/>
          <w:color w:val="auto"/>
          <w:lang w:val="en-US" w:eastAsia="zh-CN"/>
        </w:rPr>
      </w:pPr>
      <w:r>
        <w:rPr>
          <w:rFonts w:hint="eastAsia"/>
          <w:color w:val="auto"/>
          <w:lang w:val="en-US" w:eastAsia="zh-CN"/>
        </w:rPr>
        <w:t>关于《陕西省凤县李家庄方解石矿详查地质报告》矿产资源储量审查意见的函(宝市自然资矿储评字〔2023〕4号，2023年10月7日)。</w:t>
      </w:r>
    </w:p>
    <w:p w14:paraId="4450060F">
      <w:pPr>
        <w:pStyle w:val="4"/>
        <w:spacing w:before="0" w:after="0"/>
        <w:rPr>
          <w:color w:val="auto"/>
        </w:rPr>
      </w:pPr>
      <w:r>
        <w:rPr>
          <w:color w:val="auto"/>
        </w:rPr>
        <w:t>1.2.4建设项目技术资料</w:t>
      </w:r>
      <w:bookmarkEnd w:id="26"/>
      <w:bookmarkEnd w:id="27"/>
    </w:p>
    <w:p w14:paraId="0AA78DDA">
      <w:pPr>
        <w:keepNext w:val="0"/>
        <w:keepLines w:val="0"/>
        <w:pageBreakBefore w:val="0"/>
        <w:widowControl w:val="0"/>
        <w:numPr>
          <w:ilvl w:val="0"/>
          <w:numId w:val="2"/>
        </w:numPr>
        <w:kinsoku/>
        <w:wordWrap/>
        <w:overflowPunct/>
        <w:topLinePunct w:val="0"/>
        <w:autoSpaceDE/>
        <w:autoSpaceDN/>
        <w:bidi w:val="0"/>
        <w:adjustRightInd/>
        <w:snapToGrid/>
        <w:spacing w:line="480" w:lineRule="exact"/>
        <w:ind w:left="0" w:leftChars="0" w:firstLine="560" w:firstLineChars="200"/>
        <w:textAlignment w:val="auto"/>
        <w:rPr>
          <w:rFonts w:hint="eastAsia" w:ascii="宋体" w:hAnsi="宋体" w:eastAsia="宋体"/>
          <w:color w:val="auto"/>
          <w:lang w:eastAsia="zh-CN"/>
        </w:rPr>
      </w:pPr>
      <w:bookmarkStart w:id="28" w:name="_Toc242888347"/>
      <w:bookmarkStart w:id="29" w:name="_Toc353779258"/>
      <w:r>
        <w:rPr>
          <w:rFonts w:hint="eastAsia"/>
          <w:color w:val="auto"/>
          <w:lang w:eastAsia="zh-CN"/>
        </w:rPr>
        <w:t>《</w:t>
      </w:r>
      <w:r>
        <w:rPr>
          <w:rFonts w:hint="eastAsia" w:ascii="宋体" w:hAnsi="宋体" w:eastAsia="宋体"/>
          <w:color w:val="auto"/>
          <w:lang w:eastAsia="zh-CN"/>
        </w:rPr>
        <w:t>陕西省凤县李家庄方解石矿详查地质报告</w:t>
      </w:r>
      <w:r>
        <w:rPr>
          <w:rFonts w:hint="eastAsia"/>
          <w:color w:val="auto"/>
          <w:lang w:eastAsia="zh-CN"/>
        </w:rPr>
        <w:t>》</w:t>
      </w:r>
      <w:r>
        <w:rPr>
          <w:rFonts w:hint="eastAsia"/>
          <w:color w:val="auto"/>
          <w:lang w:val="en-US" w:eastAsia="zh-CN"/>
        </w:rPr>
        <w:t>(宝鸡西北有色七一七总队有限公司，</w:t>
      </w:r>
      <w:r>
        <w:rPr>
          <w:rFonts w:hint="eastAsia" w:ascii="宋体" w:hAnsi="宋体" w:eastAsia="宋体"/>
          <w:color w:val="auto"/>
          <w:lang w:eastAsia="zh-CN"/>
        </w:rPr>
        <w:t>20</w:t>
      </w:r>
      <w:r>
        <w:rPr>
          <w:rFonts w:hint="eastAsia" w:ascii="宋体" w:hAnsi="宋体" w:eastAsia="宋体"/>
          <w:color w:val="auto"/>
          <w:lang w:val="en-US" w:eastAsia="zh-CN"/>
        </w:rPr>
        <w:t>2</w:t>
      </w:r>
      <w:r>
        <w:rPr>
          <w:rFonts w:hint="eastAsia"/>
          <w:color w:val="auto"/>
          <w:lang w:val="en-US" w:eastAsia="zh-CN"/>
        </w:rPr>
        <w:t>3</w:t>
      </w:r>
      <w:r>
        <w:rPr>
          <w:rFonts w:hint="eastAsia" w:ascii="宋体" w:hAnsi="宋体" w:eastAsia="宋体"/>
          <w:color w:val="auto"/>
          <w:lang w:eastAsia="zh-CN"/>
        </w:rPr>
        <w:t>年</w:t>
      </w:r>
      <w:r>
        <w:rPr>
          <w:rFonts w:hint="eastAsia"/>
          <w:color w:val="auto"/>
          <w:lang w:val="en-US" w:eastAsia="zh-CN"/>
        </w:rPr>
        <w:t>10</w:t>
      </w:r>
      <w:r>
        <w:rPr>
          <w:rFonts w:hint="eastAsia" w:ascii="宋体" w:hAnsi="宋体" w:eastAsia="宋体"/>
          <w:color w:val="auto"/>
          <w:lang w:eastAsia="zh-CN"/>
        </w:rPr>
        <w:t>月)；</w:t>
      </w:r>
    </w:p>
    <w:p w14:paraId="7BCF6191">
      <w:pPr>
        <w:keepNext w:val="0"/>
        <w:keepLines w:val="0"/>
        <w:pageBreakBefore w:val="0"/>
        <w:widowControl w:val="0"/>
        <w:numPr>
          <w:ilvl w:val="0"/>
          <w:numId w:val="2"/>
        </w:numPr>
        <w:kinsoku/>
        <w:wordWrap/>
        <w:overflowPunct/>
        <w:topLinePunct w:val="0"/>
        <w:autoSpaceDE/>
        <w:autoSpaceDN/>
        <w:bidi w:val="0"/>
        <w:adjustRightInd/>
        <w:snapToGrid/>
        <w:spacing w:line="480" w:lineRule="exact"/>
        <w:ind w:left="0" w:leftChars="0" w:firstLine="560" w:firstLineChars="200"/>
        <w:textAlignment w:val="auto"/>
        <w:rPr>
          <w:rFonts w:hint="eastAsia"/>
          <w:color w:val="auto"/>
          <w:lang w:val="en-US" w:eastAsia="zh-CN"/>
        </w:rPr>
      </w:pPr>
      <w:r>
        <w:rPr>
          <w:rFonts w:hint="eastAsia"/>
          <w:color w:val="auto"/>
          <w:lang w:val="en-US" w:eastAsia="zh-CN"/>
        </w:rPr>
        <w:t>《凤县绿能诚睿矿业有限公司陕西省李家庄方解石矿地下开采建设项目可行性研究》(中国有色金属工业西安勘察设计研究院有限公司，2025年5月)；</w:t>
      </w:r>
    </w:p>
    <w:p w14:paraId="6E8F5ED2">
      <w:pPr>
        <w:keepNext w:val="0"/>
        <w:keepLines w:val="0"/>
        <w:pageBreakBefore w:val="0"/>
        <w:widowControl w:val="0"/>
        <w:numPr>
          <w:ilvl w:val="0"/>
          <w:numId w:val="2"/>
        </w:numPr>
        <w:kinsoku/>
        <w:wordWrap/>
        <w:overflowPunct/>
        <w:topLinePunct w:val="0"/>
        <w:autoSpaceDE/>
        <w:autoSpaceDN/>
        <w:bidi w:val="0"/>
        <w:adjustRightInd/>
        <w:snapToGrid/>
        <w:spacing w:line="480" w:lineRule="exact"/>
        <w:ind w:left="0" w:leftChars="0" w:firstLine="560" w:firstLineChars="200"/>
        <w:textAlignment w:val="auto"/>
        <w:rPr>
          <w:rFonts w:hint="eastAsia"/>
          <w:color w:val="auto"/>
          <w:lang w:val="en-US" w:eastAsia="zh-CN"/>
        </w:rPr>
      </w:pPr>
      <w:r>
        <w:rPr>
          <w:rFonts w:hint="eastAsia"/>
          <w:color w:val="auto"/>
          <w:lang w:val="en-US" w:eastAsia="zh-CN"/>
        </w:rPr>
        <w:t>建设单位提供的其他有关技术资料。</w:t>
      </w:r>
    </w:p>
    <w:p w14:paraId="3A450A27">
      <w:pPr>
        <w:pStyle w:val="4"/>
        <w:pageBreakBefore w:val="0"/>
        <w:widowControl w:val="0"/>
        <w:kinsoku/>
        <w:wordWrap/>
        <w:overflowPunct/>
        <w:topLinePunct w:val="0"/>
        <w:autoSpaceDE/>
        <w:autoSpaceDN/>
        <w:bidi w:val="0"/>
        <w:adjustRightInd/>
        <w:snapToGrid/>
        <w:spacing w:before="0" w:after="0" w:line="500" w:lineRule="exact"/>
        <w:textAlignment w:val="auto"/>
        <w:rPr>
          <w:color w:val="auto"/>
        </w:rPr>
      </w:pPr>
      <w:r>
        <w:rPr>
          <w:color w:val="auto"/>
        </w:rPr>
        <w:t>1.2.5其他评价依据</w:t>
      </w:r>
    </w:p>
    <w:p w14:paraId="0C7B4294">
      <w:pPr>
        <w:pageBreakBefore w:val="0"/>
        <w:widowControl w:val="0"/>
        <w:kinsoku/>
        <w:wordWrap/>
        <w:overflowPunct/>
        <w:topLinePunct w:val="0"/>
        <w:autoSpaceDE/>
        <w:autoSpaceDN/>
        <w:bidi w:val="0"/>
        <w:adjustRightInd/>
        <w:snapToGrid/>
        <w:spacing w:line="500" w:lineRule="exact"/>
        <w:ind w:firstLine="560"/>
        <w:textAlignment w:val="auto"/>
        <w:rPr>
          <w:color w:val="auto"/>
        </w:rPr>
      </w:pPr>
      <w:r>
        <w:rPr>
          <w:color w:val="auto"/>
        </w:rPr>
        <w:t>(1)安全评价委托书；</w:t>
      </w:r>
    </w:p>
    <w:bookmarkEnd w:id="28"/>
    <w:bookmarkEnd w:id="29"/>
    <w:p w14:paraId="638D2154">
      <w:pPr>
        <w:pageBreakBefore w:val="0"/>
        <w:widowControl w:val="0"/>
        <w:kinsoku/>
        <w:wordWrap/>
        <w:overflowPunct/>
        <w:topLinePunct w:val="0"/>
        <w:autoSpaceDE/>
        <w:autoSpaceDN/>
        <w:bidi w:val="0"/>
        <w:adjustRightInd/>
        <w:snapToGrid/>
        <w:spacing w:line="500" w:lineRule="exact"/>
        <w:ind w:firstLine="560"/>
        <w:textAlignment w:val="auto"/>
        <w:rPr>
          <w:color w:val="auto"/>
        </w:rPr>
      </w:pPr>
      <w:r>
        <w:rPr>
          <w:color w:val="auto"/>
        </w:rPr>
        <w:t>(2)技术服务合同</w:t>
      </w:r>
      <w:bookmarkEnd w:id="17"/>
      <w:bookmarkEnd w:id="18"/>
      <w:bookmarkEnd w:id="19"/>
      <w:bookmarkEnd w:id="20"/>
      <w:bookmarkEnd w:id="21"/>
      <w:bookmarkEnd w:id="22"/>
      <w:r>
        <w:rPr>
          <w:rFonts w:hint="eastAsia"/>
          <w:color w:val="auto"/>
        </w:rPr>
        <w:t>。</w:t>
      </w:r>
      <w:bookmarkStart w:id="30" w:name="_Toc225062527"/>
      <w:bookmarkStart w:id="31" w:name="_Toc225062029"/>
      <w:bookmarkStart w:id="32" w:name="_Toc338762954"/>
      <w:bookmarkStart w:id="33" w:name="_Toc386552458"/>
    </w:p>
    <w:p w14:paraId="132FB3E7">
      <w:pPr>
        <w:spacing w:line="360" w:lineRule="auto"/>
        <w:ind w:firstLine="560"/>
        <w:jc w:val="center"/>
        <w:rPr>
          <w:rFonts w:ascii="黑体" w:eastAsia="黑体"/>
          <w:color w:val="auto"/>
          <w:szCs w:val="32"/>
        </w:rPr>
      </w:pPr>
      <w:r>
        <w:rPr>
          <w:rFonts w:hint="eastAsia"/>
          <w:color w:val="auto"/>
        </w:rPr>
        <w:br w:type="page"/>
      </w:r>
    </w:p>
    <w:p w14:paraId="33661114">
      <w:pPr>
        <w:pStyle w:val="2"/>
        <w:rPr>
          <w:color w:val="auto"/>
        </w:rPr>
      </w:pPr>
      <w:bookmarkStart w:id="34" w:name="_Toc3961"/>
      <w:r>
        <w:rPr>
          <w:rFonts w:hint="eastAsia"/>
          <w:color w:val="auto"/>
        </w:rPr>
        <w:t xml:space="preserve">2 </w:t>
      </w:r>
      <w:bookmarkEnd w:id="30"/>
      <w:bookmarkEnd w:id="31"/>
      <w:r>
        <w:rPr>
          <w:rFonts w:hint="eastAsia"/>
          <w:color w:val="auto"/>
        </w:rPr>
        <w:t>建设项目概述</w:t>
      </w:r>
      <w:bookmarkEnd w:id="32"/>
      <w:bookmarkEnd w:id="33"/>
      <w:bookmarkEnd w:id="34"/>
    </w:p>
    <w:p w14:paraId="790D8FB6">
      <w:pPr>
        <w:pStyle w:val="3"/>
        <w:rPr>
          <w:color w:val="auto"/>
        </w:rPr>
      </w:pPr>
      <w:bookmarkStart w:id="35" w:name="_Toc225062532"/>
      <w:bookmarkStart w:id="36" w:name="_Toc225062031"/>
      <w:bookmarkStart w:id="37" w:name="_Toc29585"/>
      <w:bookmarkStart w:id="38" w:name="_Toc338762955"/>
      <w:r>
        <w:rPr>
          <w:rFonts w:hint="eastAsia"/>
          <w:color w:val="auto"/>
        </w:rPr>
        <w:t>2.1</w:t>
      </w:r>
      <w:bookmarkEnd w:id="35"/>
      <w:bookmarkEnd w:id="36"/>
      <w:r>
        <w:rPr>
          <w:rFonts w:hint="eastAsia"/>
          <w:color w:val="auto"/>
        </w:rPr>
        <w:t>建设单位概况</w:t>
      </w:r>
      <w:bookmarkEnd w:id="37"/>
      <w:bookmarkEnd w:id="38"/>
    </w:p>
    <w:p w14:paraId="7E2DC2DD">
      <w:pPr>
        <w:pStyle w:val="4"/>
        <w:rPr>
          <w:color w:val="auto"/>
        </w:rPr>
      </w:pPr>
      <w:r>
        <w:rPr>
          <w:rFonts w:hint="eastAsia"/>
          <w:color w:val="auto"/>
        </w:rPr>
        <w:t>2.1.1</w:t>
      </w:r>
      <w:r>
        <w:rPr>
          <w:rFonts w:hint="eastAsia"/>
          <w:color w:val="auto"/>
          <w:lang w:val="en-US" w:eastAsia="zh-CN"/>
        </w:rPr>
        <w:t>建设单位</w:t>
      </w:r>
      <w:r>
        <w:rPr>
          <w:rFonts w:hint="eastAsia"/>
          <w:color w:val="auto"/>
        </w:rPr>
        <w:t>简介</w:t>
      </w:r>
    </w:p>
    <w:p w14:paraId="76F8EFD2">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eastAsia" w:cs="宋体"/>
          <w:color w:val="auto"/>
          <w:kern w:val="0"/>
          <w:sz w:val="28"/>
          <w:szCs w:val="28"/>
          <w:lang w:val="en-US" w:eastAsia="zh-CN"/>
        </w:rPr>
      </w:pPr>
      <w:r>
        <w:rPr>
          <w:rFonts w:hint="eastAsia" w:cs="宋体"/>
          <w:color w:val="auto"/>
          <w:kern w:val="0"/>
          <w:sz w:val="28"/>
          <w:szCs w:val="28"/>
          <w:lang w:val="en-US" w:eastAsia="zh-CN"/>
        </w:rPr>
        <w:t>凤县绿能诚睿矿业有限公司陕西省凤县李家庄方解石矿采矿权人为凤县绿能诚睿矿业有限公司，诚睿矿业成立于2022年09月09日，统一社会信用代码为91610330MAC00E4F56，注册资本为伍佰万元人民币，类型为有限责任公司，住所为陕西省宝鸡市凤县双石铺镇迎宾路1号观景台二楼，经营范围为：一般项目：矿物洗选加工；非金属废料和碎屑加工处理；石灰和石膏制造；建筑用石加工；非金属矿物制品制造。许可项目：非煤矿山矿产资源开采。</w:t>
      </w:r>
    </w:p>
    <w:p w14:paraId="5E744A9A">
      <w:pPr>
        <w:pStyle w:val="4"/>
        <w:bidi w:val="0"/>
        <w:rPr>
          <w:rFonts w:hint="default"/>
          <w:color w:val="auto"/>
          <w:lang w:val="en-US" w:eastAsia="zh-CN"/>
        </w:rPr>
      </w:pPr>
      <w:r>
        <w:rPr>
          <w:rFonts w:hint="eastAsia"/>
          <w:color w:val="auto"/>
          <w:lang w:val="en-US" w:eastAsia="zh-CN"/>
        </w:rPr>
        <w:t>2.1.2建设项目背景及立项情况</w:t>
      </w:r>
    </w:p>
    <w:p w14:paraId="0ED7367C">
      <w:pPr>
        <w:pStyle w:val="51"/>
        <w:keepNext w:val="0"/>
        <w:keepLines w:val="0"/>
        <w:pageBreakBefore w:val="0"/>
        <w:widowControl w:val="0"/>
        <w:kinsoku/>
        <w:wordWrap/>
        <w:overflowPunct/>
        <w:topLinePunct w:val="0"/>
        <w:autoSpaceDE/>
        <w:autoSpaceDN/>
        <w:bidi w:val="0"/>
        <w:adjustRightInd/>
        <w:snapToGrid/>
        <w:spacing w:line="520" w:lineRule="exact"/>
        <w:ind w:left="0" w:firstLine="560" w:firstLineChars="200"/>
        <w:textAlignment w:val="auto"/>
        <w:rPr>
          <w:rFonts w:hint="eastAsia" w:ascii="宋体" w:hAnsi="宋体" w:cstheme="minorBidi"/>
          <w:color w:val="auto"/>
          <w:kern w:val="2"/>
          <w:sz w:val="28"/>
          <w:szCs w:val="22"/>
          <w:lang w:val="en-US" w:eastAsia="zh-CN" w:bidi="ar-SA"/>
        </w:rPr>
      </w:pPr>
      <w:r>
        <w:rPr>
          <w:rFonts w:hint="eastAsia" w:ascii="宋体" w:hAnsi="宋体" w:cstheme="minorBidi"/>
          <w:color w:val="auto"/>
          <w:kern w:val="2"/>
          <w:sz w:val="28"/>
          <w:szCs w:val="22"/>
          <w:lang w:val="en-US" w:eastAsia="zh-CN" w:bidi="ar-SA"/>
        </w:rPr>
        <w:t>诚睿矿业于2024年11月25日取得了宝鸡市自然资源和规划局颁发的《采矿许可证》，证号为C6103002024116110157671，采矿权人为凤县绿能诚睿矿业有限公司，矿山名称为凤县绿能诚睿矿业有限公司陕西省凤县李家庄方解石矿，开采矿种为方解石，开采方式为地下开采，生产规模为20.00万吨/年，矿区面积为0.34km</w:t>
      </w:r>
      <w:r>
        <w:rPr>
          <w:rFonts w:hint="eastAsia" w:ascii="宋体" w:hAnsi="宋体" w:cstheme="minorBidi"/>
          <w:color w:val="auto"/>
          <w:kern w:val="2"/>
          <w:sz w:val="28"/>
          <w:szCs w:val="22"/>
          <w:vertAlign w:val="superscript"/>
          <w:lang w:val="en-US" w:eastAsia="zh-CN" w:bidi="ar-SA"/>
        </w:rPr>
        <w:t>2</w:t>
      </w:r>
      <w:r>
        <w:rPr>
          <w:rFonts w:hint="eastAsia" w:ascii="宋体" w:hAnsi="宋体" w:cstheme="minorBidi"/>
          <w:color w:val="auto"/>
          <w:kern w:val="2"/>
          <w:sz w:val="28"/>
          <w:szCs w:val="22"/>
          <w:lang w:val="en-US" w:eastAsia="zh-CN" w:bidi="ar-SA"/>
        </w:rPr>
        <w:t>，有效期限：2024年11月25日至2029年11月25日，开采深度：由1325米至1230米标高。矿区范围由6个拐点圈定，拐点坐标详见表1-1。</w:t>
      </w:r>
    </w:p>
    <w:p w14:paraId="7987AB38">
      <w:pPr>
        <w:keepNext w:val="0"/>
        <w:keepLines w:val="0"/>
        <w:pageBreakBefore w:val="0"/>
        <w:widowControl w:val="0"/>
        <w:kinsoku/>
        <w:wordWrap/>
        <w:overflowPunct/>
        <w:topLinePunct w:val="0"/>
        <w:autoSpaceDE/>
        <w:autoSpaceDN/>
        <w:bidi w:val="0"/>
        <w:adjustRightInd/>
        <w:snapToGrid/>
        <w:ind w:firstLine="560"/>
        <w:textAlignment w:val="auto"/>
        <w:rPr>
          <w:rFonts w:hint="eastAsia" w:ascii="宋体" w:hAnsi="宋体" w:eastAsia="宋体" w:cstheme="minorBidi"/>
          <w:color w:val="auto"/>
          <w:kern w:val="2"/>
          <w:sz w:val="28"/>
          <w:szCs w:val="22"/>
          <w:lang w:val="en-US" w:eastAsia="zh-CN" w:bidi="ar-SA"/>
        </w:rPr>
      </w:pPr>
      <w:r>
        <w:rPr>
          <w:rFonts w:hint="eastAsia" w:ascii="宋体" w:hAnsi="宋体" w:eastAsia="宋体" w:cstheme="minorBidi"/>
          <w:color w:val="auto"/>
          <w:kern w:val="2"/>
          <w:sz w:val="28"/>
          <w:szCs w:val="22"/>
          <w:lang w:val="en-US" w:eastAsia="zh-CN" w:bidi="ar-SA"/>
        </w:rPr>
        <w:t>凤县绿能诚睿矿业有限公司陕西省李家庄方解石矿地下开采建设项目为新建项目。2023年8月，</w:t>
      </w:r>
      <w:r>
        <w:rPr>
          <w:rFonts w:hint="eastAsia"/>
          <w:color w:val="auto"/>
          <w:lang w:val="en-US" w:eastAsia="zh-CN"/>
        </w:rPr>
        <w:t>诚睿矿业委托宝鸡西北有色七一七总队有限公司进行了方解石资源勘查、资源量估算并提交了</w:t>
      </w:r>
      <w:r>
        <w:rPr>
          <w:rFonts w:hint="eastAsia" w:ascii="宋体" w:hAnsi="宋体" w:eastAsia="宋体" w:cstheme="minorBidi"/>
          <w:color w:val="auto"/>
          <w:kern w:val="2"/>
          <w:sz w:val="28"/>
          <w:szCs w:val="22"/>
          <w:lang w:val="en-US" w:eastAsia="zh-CN" w:bidi="ar-SA"/>
        </w:rPr>
        <w:t>《陕西省凤县李家庄方解石矿详查地质报告》。</w:t>
      </w:r>
      <w:r>
        <w:rPr>
          <w:rFonts w:hint="eastAsia" w:cstheme="minorBidi"/>
          <w:color w:val="auto"/>
          <w:kern w:val="2"/>
          <w:sz w:val="28"/>
          <w:szCs w:val="22"/>
          <w:lang w:val="en-US" w:eastAsia="zh-CN" w:bidi="ar-SA"/>
        </w:rPr>
        <w:t>此次勘察</w:t>
      </w:r>
      <w:r>
        <w:rPr>
          <w:rFonts w:hint="eastAsia" w:ascii="宋体" w:hAnsi="宋体" w:eastAsia="宋体" w:cstheme="minorBidi"/>
          <w:color w:val="auto"/>
          <w:kern w:val="2"/>
          <w:sz w:val="28"/>
          <w:szCs w:val="22"/>
          <w:lang w:val="en-US" w:eastAsia="zh-CN" w:bidi="ar-SA"/>
        </w:rPr>
        <w:t>共探获了方解石矿552.93万吨。随后</w:t>
      </w:r>
      <w:r>
        <w:rPr>
          <w:rFonts w:hint="eastAsia"/>
          <w:color w:val="auto"/>
          <w:lang w:val="en-US" w:eastAsia="zh-CN"/>
        </w:rPr>
        <w:t>诚睿矿业</w:t>
      </w:r>
      <w:r>
        <w:rPr>
          <w:rFonts w:hint="eastAsia" w:ascii="宋体" w:hAnsi="宋体" w:eastAsia="宋体" w:cstheme="minorBidi"/>
          <w:color w:val="auto"/>
          <w:kern w:val="2"/>
          <w:sz w:val="28"/>
          <w:szCs w:val="22"/>
          <w:lang w:val="en-US" w:eastAsia="zh-CN" w:bidi="ar-SA"/>
        </w:rPr>
        <w:t>委托宝鸡西北有色七一七总队有限公司于2023年9月编制提交了《陕西省凤县李家庄方解石矿矿产资源开发利用方案》，并依法取得采矿许可证。</w:t>
      </w:r>
    </w:p>
    <w:p w14:paraId="3205DE1B">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theme="minorBidi"/>
          <w:color w:val="auto"/>
          <w:kern w:val="2"/>
          <w:sz w:val="28"/>
          <w:szCs w:val="22"/>
          <w:lang w:val="en-US" w:eastAsia="zh-CN" w:bidi="ar-SA"/>
        </w:rPr>
      </w:pPr>
      <w:r>
        <w:rPr>
          <w:rFonts w:hint="eastAsia" w:ascii="宋体" w:hAnsi="宋体" w:eastAsia="宋体" w:cstheme="minorBidi"/>
          <w:color w:val="auto"/>
          <w:kern w:val="2"/>
          <w:sz w:val="28"/>
          <w:szCs w:val="22"/>
          <w:lang w:val="en-US" w:eastAsia="zh-CN" w:bidi="ar-SA"/>
        </w:rPr>
        <w:t>2025年5月，</w:t>
      </w:r>
      <w:r>
        <w:rPr>
          <w:rFonts w:hint="eastAsia"/>
          <w:color w:val="auto"/>
          <w:lang w:val="en-US" w:eastAsia="zh-CN"/>
        </w:rPr>
        <w:t>诚睿矿业</w:t>
      </w:r>
      <w:r>
        <w:rPr>
          <w:rFonts w:hint="eastAsia" w:ascii="宋体" w:hAnsi="宋体" w:eastAsia="宋体" w:cstheme="minorBidi"/>
          <w:color w:val="auto"/>
          <w:kern w:val="2"/>
          <w:sz w:val="28"/>
          <w:szCs w:val="22"/>
          <w:lang w:val="en-US" w:eastAsia="zh-CN" w:bidi="ar-SA"/>
        </w:rPr>
        <w:t>委托中国有色金属工业西安勘察设计研究院有限公司编制完成了《凤县绿能诚睿矿业有限公司陕西省李家庄方解石矿地下开采建设项目可行性研究》</w:t>
      </w:r>
      <w:r>
        <w:rPr>
          <w:rFonts w:hint="eastAsia" w:cstheme="minorBidi"/>
          <w:color w:val="auto"/>
          <w:kern w:val="2"/>
          <w:sz w:val="28"/>
          <w:szCs w:val="22"/>
          <w:lang w:val="en-US" w:eastAsia="zh-CN" w:bidi="ar-SA"/>
        </w:rPr>
        <w:t>。《可研报告》</w:t>
      </w:r>
      <w:r>
        <w:rPr>
          <w:rFonts w:hint="eastAsia" w:ascii="宋体" w:hAnsi="宋体" w:eastAsia="宋体" w:cstheme="minorBidi"/>
          <w:color w:val="auto"/>
          <w:kern w:val="2"/>
          <w:sz w:val="28"/>
          <w:szCs w:val="22"/>
          <w:lang w:val="en-US" w:eastAsia="zh-CN" w:bidi="ar-SA"/>
        </w:rPr>
        <w:t>拟采用平硐+斜坡道开拓方式，采矿方法为中深孔房柱法</w:t>
      </w:r>
      <w:r>
        <w:rPr>
          <w:rFonts w:hint="eastAsia" w:cstheme="minorBidi"/>
          <w:color w:val="auto"/>
          <w:kern w:val="2"/>
          <w:sz w:val="28"/>
          <w:szCs w:val="22"/>
          <w:lang w:val="en-US" w:eastAsia="zh-CN" w:bidi="ar-SA"/>
        </w:rPr>
        <w:t>，</w:t>
      </w:r>
      <w:r>
        <w:rPr>
          <w:rFonts w:hint="eastAsia" w:ascii="宋体" w:hAnsi="宋体" w:eastAsia="宋体" w:cstheme="minorBidi"/>
          <w:color w:val="auto"/>
          <w:kern w:val="2"/>
          <w:sz w:val="28"/>
          <w:szCs w:val="22"/>
          <w:lang w:val="en-US" w:eastAsia="zh-CN" w:bidi="ar-SA"/>
        </w:rPr>
        <w:t>井下采用单翼对角抽出式通风系统，1230m主平硐进风，1305m回风平硐回风</w:t>
      </w:r>
      <w:r>
        <w:rPr>
          <w:rFonts w:hint="eastAsia" w:cstheme="minorBidi"/>
          <w:color w:val="auto"/>
          <w:kern w:val="2"/>
          <w:sz w:val="28"/>
          <w:szCs w:val="22"/>
          <w:lang w:val="en-US" w:eastAsia="zh-CN" w:bidi="ar-SA"/>
        </w:rPr>
        <w:t>，</w:t>
      </w:r>
      <w:r>
        <w:rPr>
          <w:rFonts w:hint="eastAsia" w:ascii="宋体" w:hAnsi="宋体" w:eastAsia="宋体" w:cstheme="minorBidi"/>
          <w:color w:val="auto"/>
          <w:kern w:val="2"/>
          <w:sz w:val="28"/>
          <w:szCs w:val="22"/>
          <w:lang w:val="en-US" w:eastAsia="zh-CN" w:bidi="ar-SA"/>
        </w:rPr>
        <w:t>建设规模</w:t>
      </w:r>
      <w:r>
        <w:rPr>
          <w:rFonts w:hint="eastAsia" w:cstheme="minorBidi"/>
          <w:color w:val="auto"/>
          <w:kern w:val="2"/>
          <w:sz w:val="28"/>
          <w:szCs w:val="22"/>
          <w:lang w:val="en-US" w:eastAsia="zh-CN" w:bidi="ar-SA"/>
        </w:rPr>
        <w:t>为</w:t>
      </w:r>
      <w:r>
        <w:rPr>
          <w:rFonts w:hint="eastAsia" w:ascii="宋体" w:hAnsi="宋体" w:eastAsia="宋体" w:cstheme="minorBidi"/>
          <w:color w:val="auto"/>
          <w:kern w:val="2"/>
          <w:sz w:val="28"/>
          <w:szCs w:val="22"/>
          <w:lang w:val="en-US" w:eastAsia="zh-CN" w:bidi="ar-SA"/>
        </w:rPr>
        <w:t>20万吨/年，服务年限</w:t>
      </w:r>
      <w:r>
        <w:rPr>
          <w:rFonts w:hint="eastAsia" w:cstheme="minorBidi"/>
          <w:color w:val="auto"/>
          <w:kern w:val="2"/>
          <w:sz w:val="28"/>
          <w:szCs w:val="22"/>
          <w:lang w:val="en-US" w:eastAsia="zh-CN" w:bidi="ar-SA"/>
        </w:rPr>
        <w:t>为</w:t>
      </w:r>
      <w:r>
        <w:rPr>
          <w:rFonts w:hint="eastAsia" w:ascii="宋体" w:hAnsi="宋体" w:eastAsia="宋体" w:cstheme="minorBidi"/>
          <w:color w:val="auto"/>
          <w:kern w:val="2"/>
          <w:sz w:val="28"/>
          <w:szCs w:val="22"/>
          <w:lang w:val="en-US" w:eastAsia="zh-CN" w:bidi="ar-SA"/>
        </w:rPr>
        <w:t>13年</w:t>
      </w:r>
      <w:r>
        <w:rPr>
          <w:rFonts w:hint="eastAsia" w:cstheme="minorBidi"/>
          <w:color w:val="auto"/>
          <w:kern w:val="2"/>
          <w:sz w:val="28"/>
          <w:szCs w:val="22"/>
          <w:lang w:val="en-US" w:eastAsia="zh-CN" w:bidi="ar-SA"/>
        </w:rPr>
        <w:t>。</w:t>
      </w:r>
    </w:p>
    <w:p w14:paraId="016A5108">
      <w:pPr>
        <w:keepNext w:val="0"/>
        <w:keepLines w:val="0"/>
        <w:pageBreakBefore w:val="0"/>
        <w:widowControl w:val="0"/>
        <w:kinsoku/>
        <w:wordWrap/>
        <w:overflowPunct/>
        <w:topLinePunct w:val="0"/>
        <w:autoSpaceDE/>
        <w:autoSpaceDN/>
        <w:bidi w:val="0"/>
        <w:adjustRightInd/>
        <w:snapToGrid/>
        <w:ind w:firstLine="560"/>
        <w:textAlignment w:val="auto"/>
        <w:rPr>
          <w:rFonts w:hint="eastAsia" w:ascii="宋体" w:hAnsi="宋体" w:eastAsia="宋体" w:cstheme="minorBidi"/>
          <w:color w:val="auto"/>
          <w:kern w:val="2"/>
          <w:sz w:val="28"/>
          <w:szCs w:val="22"/>
          <w:lang w:val="en-US" w:eastAsia="zh-CN" w:bidi="ar-SA"/>
        </w:rPr>
      </w:pPr>
      <w:r>
        <w:rPr>
          <w:rFonts w:hint="eastAsia" w:cstheme="minorBidi"/>
          <w:color w:val="auto"/>
          <w:kern w:val="2"/>
          <w:sz w:val="28"/>
          <w:szCs w:val="22"/>
          <w:lang w:val="en-US" w:eastAsia="zh-CN" w:bidi="ar-SA"/>
        </w:rPr>
        <w:t>诚睿矿业于2022年9月30日在凤县发展和改革局对建设项目进行了备案。项目名称：凤县唐藏镇方解石矿开采加工建设项目，新建项目，总投资9800万元。建设规模及内容为新建机械化洞采系统一套，配套建设1个破碎车间，1个成品车间及辅助生产设施；购置安装鄂破、圆锥破、输送机组等设备10台(套)，年处理方解石原料100万吨。</w:t>
      </w:r>
    </w:p>
    <w:p w14:paraId="4ED3F69C">
      <w:pPr>
        <w:pStyle w:val="4"/>
        <w:rPr>
          <w:rFonts w:hint="eastAsia"/>
          <w:color w:val="auto"/>
        </w:rPr>
      </w:pPr>
      <w:r>
        <w:rPr>
          <w:rFonts w:hint="eastAsia"/>
          <w:color w:val="auto"/>
        </w:rPr>
        <w:t>2.1.</w:t>
      </w:r>
      <w:r>
        <w:rPr>
          <w:rFonts w:hint="eastAsia"/>
          <w:color w:val="auto"/>
          <w:lang w:val="en-US" w:eastAsia="zh-CN"/>
        </w:rPr>
        <w:t>3</w:t>
      </w:r>
      <w:r>
        <w:rPr>
          <w:rFonts w:hint="eastAsia"/>
          <w:color w:val="auto"/>
        </w:rPr>
        <w:t>矿区地理位置及交通条件</w:t>
      </w:r>
    </w:p>
    <w:p w14:paraId="50AB9ADF">
      <w:pPr>
        <w:rPr>
          <w:rFonts w:hint="eastAsia"/>
          <w:color w:val="auto"/>
        </w:rPr>
      </w:pPr>
      <w:r>
        <w:rPr>
          <w:rFonts w:hint="eastAsia"/>
          <w:color w:val="auto"/>
        </w:rPr>
        <w:t>矿区位于陕西省宝鸡市凤县21°方位23</w:t>
      </w:r>
      <w:r>
        <w:rPr>
          <w:rFonts w:hint="eastAsia"/>
          <w:color w:val="auto"/>
          <w:lang w:val="en-US" w:eastAsia="zh-CN"/>
        </w:rPr>
        <w:t>km</w:t>
      </w:r>
      <w:r>
        <w:rPr>
          <w:rFonts w:hint="eastAsia"/>
          <w:color w:val="auto"/>
        </w:rPr>
        <w:t>处，行政区划隶属唐藏镇管辖。矿区坐标范围(CGCS2000坐标系)</w:t>
      </w:r>
      <w:r>
        <w:rPr>
          <w:rFonts w:hint="eastAsia"/>
          <w:color w:val="auto"/>
          <w:lang w:eastAsia="zh-CN"/>
        </w:rPr>
        <w:t>：</w:t>
      </w:r>
      <w:r>
        <w:rPr>
          <w:rFonts w:hint="eastAsia"/>
          <w:color w:val="auto"/>
        </w:rPr>
        <w:t>东经106°36</w:t>
      </w:r>
      <w:r>
        <w:rPr>
          <w:rFonts w:hint="eastAsia" w:ascii="宋体" w:hAnsi="宋体" w:eastAsia="宋体" w:cs="宋体"/>
          <w:color w:val="auto"/>
        </w:rPr>
        <w:t>′</w:t>
      </w:r>
      <w:r>
        <w:rPr>
          <w:rFonts w:hint="eastAsia"/>
          <w:color w:val="auto"/>
        </w:rPr>
        <w:t>31.081</w:t>
      </w:r>
      <w:r>
        <w:rPr>
          <w:rFonts w:hint="eastAsia" w:ascii="宋体" w:hAnsi="宋体" w:eastAsia="宋体" w:cs="宋体"/>
          <w:color w:val="auto"/>
        </w:rPr>
        <w:t>″</w:t>
      </w:r>
      <w:r>
        <w:rPr>
          <w:rFonts w:hint="eastAsia"/>
          <w:color w:val="auto"/>
        </w:rPr>
        <w:t>～106°37</w:t>
      </w:r>
      <w:r>
        <w:rPr>
          <w:rFonts w:hint="eastAsia" w:ascii="宋体" w:hAnsi="宋体" w:eastAsia="宋体" w:cs="宋体"/>
          <w:color w:val="auto"/>
        </w:rPr>
        <w:t>′</w:t>
      </w:r>
      <w:r>
        <w:rPr>
          <w:rFonts w:hint="eastAsia"/>
          <w:color w:val="auto"/>
        </w:rPr>
        <w:t>04.485</w:t>
      </w:r>
      <w:r>
        <w:rPr>
          <w:rFonts w:hint="eastAsia" w:ascii="宋体" w:hAnsi="宋体" w:eastAsia="宋体" w:cs="宋体"/>
          <w:color w:val="auto"/>
        </w:rPr>
        <w:t>″</w:t>
      </w:r>
      <w:r>
        <w:rPr>
          <w:rFonts w:hint="eastAsia" w:eastAsia="宋体"/>
          <w:color w:val="auto"/>
          <w:lang w:eastAsia="zh-CN"/>
        </w:rPr>
        <w:t>，</w:t>
      </w:r>
      <w:r>
        <w:rPr>
          <w:rFonts w:hint="eastAsia"/>
          <w:color w:val="auto"/>
        </w:rPr>
        <w:t>北纬34°05</w:t>
      </w:r>
      <w:r>
        <w:rPr>
          <w:rFonts w:hint="eastAsia" w:ascii="宋体" w:hAnsi="宋体" w:eastAsia="宋体" w:cs="宋体"/>
          <w:color w:val="auto"/>
        </w:rPr>
        <w:t>′</w:t>
      </w:r>
      <w:r>
        <w:rPr>
          <w:rFonts w:hint="eastAsia"/>
          <w:color w:val="auto"/>
        </w:rPr>
        <w:t>54.064</w:t>
      </w:r>
      <w:r>
        <w:rPr>
          <w:rFonts w:hint="eastAsia" w:ascii="宋体" w:hAnsi="宋体" w:eastAsia="宋体" w:cs="宋体"/>
          <w:color w:val="auto"/>
        </w:rPr>
        <w:t>″</w:t>
      </w:r>
      <w:r>
        <w:rPr>
          <w:rFonts w:hint="eastAsia"/>
          <w:color w:val="auto"/>
        </w:rPr>
        <w:t>～34°06</w:t>
      </w:r>
      <w:r>
        <w:rPr>
          <w:rFonts w:hint="eastAsia" w:ascii="宋体" w:hAnsi="宋体" w:eastAsia="宋体" w:cs="宋体"/>
          <w:color w:val="auto"/>
        </w:rPr>
        <w:t>′</w:t>
      </w:r>
      <w:r>
        <w:rPr>
          <w:rFonts w:hint="eastAsia"/>
          <w:color w:val="auto"/>
        </w:rPr>
        <w:t>37.431</w:t>
      </w:r>
      <w:r>
        <w:rPr>
          <w:rFonts w:hint="eastAsia" w:ascii="宋体" w:hAnsi="宋体" w:eastAsia="宋体" w:cs="宋体"/>
          <w:color w:val="auto"/>
        </w:rPr>
        <w:t>″</w:t>
      </w:r>
      <w:r>
        <w:rPr>
          <w:rFonts w:hint="eastAsia"/>
          <w:color w:val="auto"/>
        </w:rPr>
        <w:t>。</w:t>
      </w:r>
    </w:p>
    <w:p w14:paraId="68883956">
      <w:pPr>
        <w:rPr>
          <w:rFonts w:hint="eastAsia"/>
          <w:color w:val="auto"/>
        </w:rPr>
      </w:pPr>
      <w:r>
        <w:rPr>
          <w:rFonts w:hint="eastAsia"/>
          <w:color w:val="auto"/>
        </w:rPr>
        <w:t>矿区西侧</w:t>
      </w:r>
      <w:r>
        <w:rPr>
          <w:rFonts w:hint="eastAsia"/>
          <w:color w:val="auto"/>
          <w:lang w:val="en-US" w:eastAsia="zh-CN"/>
        </w:rPr>
        <w:t>约150m</w:t>
      </w:r>
      <w:r>
        <w:rPr>
          <w:rFonts w:hint="eastAsia"/>
          <w:color w:val="auto"/>
        </w:rPr>
        <w:t>有双-唐-红公路穿过，南与G342日凤线相接，北与G310连工线相接，南至凤县(双石铺镇)20余公里</w:t>
      </w:r>
      <w:r>
        <w:rPr>
          <w:rFonts w:hint="eastAsia"/>
          <w:color w:val="auto"/>
          <w:lang w:eastAsia="zh-CN"/>
        </w:rPr>
        <w:t>，</w:t>
      </w:r>
      <w:r>
        <w:rPr>
          <w:rFonts w:hint="eastAsia"/>
          <w:color w:val="auto"/>
        </w:rPr>
        <w:t>交通极为便利</w:t>
      </w:r>
      <w:r>
        <w:rPr>
          <w:rFonts w:hint="eastAsia"/>
          <w:color w:val="auto"/>
          <w:lang w:eastAsia="zh-CN"/>
        </w:rPr>
        <w:t>，</w:t>
      </w:r>
      <w:r>
        <w:rPr>
          <w:rFonts w:hint="eastAsia"/>
          <w:color w:val="auto"/>
          <w:lang w:val="en-US" w:eastAsia="zh-CN"/>
        </w:rPr>
        <w:t>详</w:t>
      </w:r>
      <w:r>
        <w:rPr>
          <w:rFonts w:hint="eastAsia"/>
          <w:color w:val="auto"/>
        </w:rPr>
        <w:t>见交通位置图。</w:t>
      </w:r>
    </w:p>
    <w:p w14:paraId="1EDA26F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color w:val="auto"/>
          <w:lang w:val="en-US"/>
        </w:rPr>
      </w:pPr>
      <w:r>
        <w:rPr>
          <w:b/>
          <w:bCs/>
          <w:color w:val="auto"/>
        </w:rPr>
        <w:drawing>
          <wp:anchor distT="0" distB="0" distL="114300" distR="114300" simplePos="0" relativeHeight="251659264" behindDoc="0" locked="0" layoutInCell="1" allowOverlap="1">
            <wp:simplePos x="0" y="0"/>
            <wp:positionH relativeFrom="column">
              <wp:posOffset>-3175</wp:posOffset>
            </wp:positionH>
            <wp:positionV relativeFrom="paragraph">
              <wp:posOffset>80645</wp:posOffset>
            </wp:positionV>
            <wp:extent cx="5721350" cy="4756785"/>
            <wp:effectExtent l="0" t="0" r="12700" b="5715"/>
            <wp:wrapTopAndBottom/>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25"/>
                    <a:stretch>
                      <a:fillRect/>
                    </a:stretch>
                  </pic:blipFill>
                  <pic:spPr>
                    <a:xfrm>
                      <a:off x="0" y="0"/>
                      <a:ext cx="5721350" cy="4756785"/>
                    </a:xfrm>
                    <a:prstGeom prst="rect">
                      <a:avLst/>
                    </a:prstGeom>
                    <a:noFill/>
                    <a:ln w="12700">
                      <a:solidFill>
                        <a:schemeClr val="tx1"/>
                      </a:solidFill>
                    </a:ln>
                  </pic:spPr>
                </pic:pic>
              </a:graphicData>
            </a:graphic>
          </wp:anchor>
        </w:drawing>
      </w:r>
      <w:r>
        <w:rPr>
          <w:rFonts w:hint="eastAsia"/>
          <w:b/>
          <w:bCs/>
          <w:color w:val="auto"/>
          <w:lang w:val="en-US" w:eastAsia="zh-CN"/>
        </w:rPr>
        <w:t>图2.1-1 矿区交通位置图</w:t>
      </w:r>
    </w:p>
    <w:p w14:paraId="40486E34">
      <w:pPr>
        <w:pStyle w:val="4"/>
        <w:rPr>
          <w:rFonts w:hint="eastAsia" w:eastAsia="黑体"/>
          <w:color w:val="auto"/>
          <w:lang w:eastAsia="zh-CN"/>
        </w:rPr>
      </w:pPr>
      <w:bookmarkStart w:id="39" w:name="_Toc225062032"/>
      <w:bookmarkStart w:id="40" w:name="_Toc225062533"/>
      <w:bookmarkStart w:id="41" w:name="_Toc140290377"/>
      <w:r>
        <w:rPr>
          <w:rFonts w:hint="eastAsia"/>
          <w:color w:val="auto"/>
        </w:rPr>
        <w:t>2.1.</w:t>
      </w:r>
      <w:r>
        <w:rPr>
          <w:rFonts w:hint="eastAsia"/>
          <w:color w:val="auto"/>
          <w:lang w:val="en-US" w:eastAsia="zh-CN"/>
        </w:rPr>
        <w:t>4</w:t>
      </w:r>
      <w:r>
        <w:rPr>
          <w:rFonts w:hint="eastAsia"/>
          <w:color w:val="auto"/>
        </w:rPr>
        <w:t>矿区周边环境</w:t>
      </w:r>
      <w:bookmarkEnd w:id="39"/>
      <w:bookmarkEnd w:id="40"/>
      <w:bookmarkEnd w:id="41"/>
    </w:p>
    <w:p w14:paraId="25EBA194">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eastAsia"/>
          <w:color w:val="auto"/>
          <w:lang w:eastAsia="zh-CN"/>
        </w:rPr>
      </w:pPr>
      <w:bookmarkStart w:id="42" w:name="_Toc356030897"/>
      <w:bookmarkStart w:id="43" w:name="_Toc376269733"/>
      <w:bookmarkStart w:id="44" w:name="_Toc225062528"/>
      <w:bookmarkStart w:id="45" w:name="_Toc225062030"/>
      <w:bookmarkStart w:id="46" w:name="_Toc338762956"/>
      <w:r>
        <w:rPr>
          <w:rFonts w:hint="eastAsia" w:ascii="宋体" w:hAnsi="宋体" w:eastAsia="宋体" w:cs="宋体"/>
          <w:color w:val="auto"/>
          <w:szCs w:val="20"/>
        </w:rPr>
        <w:t>矿区东北侧及西侧分布有少量居民房屋(大部分已废弃)，其中东北侧居民房屋距离开采点距离约为400m，西侧居民房屋距离开采点距离约为140m，均位于矿山开采移动保护带以外。矿山采用地下开采方式，开采方式对矿区范围内的地形地貌及生态环境不会造成较大的影响</w:t>
      </w:r>
      <w:r>
        <w:rPr>
          <w:rFonts w:hint="eastAsia"/>
          <w:color w:val="auto"/>
          <w:lang w:eastAsia="zh-CN"/>
        </w:rPr>
        <w:t>。</w:t>
      </w:r>
    </w:p>
    <w:p w14:paraId="56C0D00D">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eastAsia" w:ascii="宋体" w:hAnsi="宋体" w:eastAsia="宋体" w:cs="宋体"/>
          <w:color w:val="auto"/>
          <w:szCs w:val="20"/>
        </w:rPr>
      </w:pPr>
      <w:r>
        <w:rPr>
          <w:rFonts w:hint="eastAsia" w:ascii="宋体" w:hAnsi="宋体" w:eastAsia="宋体" w:cs="宋体"/>
          <w:color w:val="auto"/>
          <w:szCs w:val="20"/>
        </w:rPr>
        <w:t>凤县李家庄方解石矿周边无其他探、采矿权设置，本矿权内无“国家公园、自然保护区、风景名胜区、地质公园、森林公园、湿地公园.水产种质资源保护区、野生植物原生境保护区(点)、野生动物重要栖息地以及饮用水水源保护区、文物保护区”等。</w:t>
      </w:r>
    </w:p>
    <w:p w14:paraId="43D6420A">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eastAsia" w:ascii="Times New Roman" w:hAnsi="Times New Roman" w:eastAsia="宋体" w:cs="Times New Roman"/>
          <w:color w:val="auto"/>
          <w:szCs w:val="20"/>
        </w:rPr>
      </w:pPr>
      <w:r>
        <w:rPr>
          <w:rFonts w:hint="eastAsia" w:ascii="宋体" w:hAnsi="宋体" w:eastAsia="宋体" w:cs="宋体"/>
          <w:color w:val="auto"/>
          <w:szCs w:val="20"/>
        </w:rPr>
        <w:t>本矿权与周边矿业权无重叠，无矿业权纠纷</w:t>
      </w:r>
      <w:r>
        <w:rPr>
          <w:rFonts w:hint="eastAsia" w:cs="宋体"/>
          <w:color w:val="auto"/>
          <w:szCs w:val="20"/>
          <w:lang w:eastAsia="zh-CN"/>
        </w:rPr>
        <w:t>。</w:t>
      </w:r>
      <w:r>
        <w:rPr>
          <w:rFonts w:hint="eastAsia"/>
          <w:color w:val="auto"/>
        </w:rPr>
        <w:t>采矿权</w:t>
      </w:r>
      <w:r>
        <w:rPr>
          <w:rFonts w:hint="eastAsia" w:ascii="宋体" w:hAnsi="宋体" w:eastAsia="宋体" w:cs="宋体"/>
          <w:bCs/>
          <w:color w:val="auto"/>
          <w:szCs w:val="28"/>
        </w:rPr>
        <w:t>详见图</w:t>
      </w:r>
      <w:r>
        <w:rPr>
          <w:rFonts w:hint="eastAsia" w:ascii="宋体" w:hAnsi="宋体" w:eastAsia="宋体" w:cs="宋体"/>
          <w:bCs/>
          <w:color w:val="auto"/>
          <w:szCs w:val="28"/>
          <w:lang w:val="en-US" w:eastAsia="zh-CN"/>
        </w:rPr>
        <w:t>2.1.3</w:t>
      </w:r>
      <w:r>
        <w:rPr>
          <w:rFonts w:hint="eastAsia" w:ascii="宋体" w:hAnsi="宋体" w:eastAsia="宋体" w:cs="宋体"/>
          <w:color w:val="auto"/>
          <w:szCs w:val="20"/>
        </w:rPr>
        <w:t>。</w:t>
      </w:r>
    </w:p>
    <w:p w14:paraId="77CFA2E4">
      <w:pPr>
        <w:adjustRightInd w:val="0"/>
        <w:snapToGrid w:val="0"/>
        <w:spacing w:line="360" w:lineRule="auto"/>
        <w:ind w:firstLine="0" w:firstLineChars="0"/>
        <w:jc w:val="center"/>
        <w:rPr>
          <w:rFonts w:hint="eastAsia" w:ascii="宋体" w:hAnsi="宋体" w:eastAsia="宋体" w:cs="宋体"/>
          <w:color w:val="auto"/>
          <w:szCs w:val="20"/>
          <w:lang w:eastAsia="zh-CN"/>
        </w:rPr>
      </w:pPr>
      <w:r>
        <w:rPr>
          <w:color w:val="auto"/>
          <w:bdr w:val="single" w:sz="4" w:space="0"/>
        </w:rPr>
        <w:drawing>
          <wp:inline distT="0" distB="0" distL="114300" distR="114300">
            <wp:extent cx="4162425" cy="4200525"/>
            <wp:effectExtent l="0" t="0" r="9525" b="952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26"/>
                    <a:stretch>
                      <a:fillRect/>
                    </a:stretch>
                  </pic:blipFill>
                  <pic:spPr>
                    <a:xfrm>
                      <a:off x="0" y="0"/>
                      <a:ext cx="4162425" cy="4200525"/>
                    </a:xfrm>
                    <a:prstGeom prst="rect">
                      <a:avLst/>
                    </a:prstGeom>
                    <a:noFill/>
                    <a:ln>
                      <a:noFill/>
                    </a:ln>
                  </pic:spPr>
                </pic:pic>
              </a:graphicData>
            </a:graphic>
          </wp:inline>
        </w:drawing>
      </w:r>
    </w:p>
    <w:p w14:paraId="13E0424B">
      <w:pPr>
        <w:keepNext w:val="0"/>
        <w:keepLines w:val="0"/>
        <w:pageBreakBefore w:val="0"/>
        <w:widowControl w:val="0"/>
        <w:kinsoku/>
        <w:wordWrap/>
        <w:overflowPunct/>
        <w:topLinePunct w:val="0"/>
        <w:autoSpaceDE/>
        <w:autoSpaceDN/>
        <w:bidi w:val="0"/>
        <w:adjustRightInd w:val="0"/>
        <w:snapToGrid w:val="0"/>
        <w:spacing w:line="520" w:lineRule="exact"/>
        <w:ind w:firstLine="0" w:firstLineChars="0"/>
        <w:jc w:val="center"/>
        <w:textAlignment w:val="auto"/>
        <w:rPr>
          <w:color w:val="auto"/>
        </w:rPr>
      </w:pPr>
      <w:r>
        <w:rPr>
          <w:rFonts w:hint="eastAsia" w:ascii="宋体" w:hAnsi="宋体" w:eastAsia="宋体" w:cs="宋体"/>
          <w:b/>
          <w:color w:val="auto"/>
          <w:sz w:val="28"/>
          <w:szCs w:val="28"/>
        </w:rPr>
        <w:t>图</w:t>
      </w:r>
      <w:r>
        <w:rPr>
          <w:rFonts w:hint="eastAsia" w:ascii="宋体" w:hAnsi="宋体" w:eastAsia="宋体" w:cs="宋体"/>
          <w:b/>
          <w:color w:val="auto"/>
          <w:sz w:val="28"/>
          <w:szCs w:val="28"/>
          <w:lang w:val="en-US" w:eastAsia="zh-CN"/>
        </w:rPr>
        <w:t>2.1.3</w:t>
      </w:r>
      <w:r>
        <w:rPr>
          <w:rFonts w:hint="eastAsia" w:ascii="宋体" w:hAnsi="宋体" w:eastAsia="宋体" w:cs="宋体"/>
          <w:b/>
          <w:color w:val="auto"/>
          <w:sz w:val="28"/>
          <w:szCs w:val="28"/>
        </w:rPr>
        <w:t xml:space="preserve">  周边矿权分布图</w:t>
      </w:r>
    </w:p>
    <w:p w14:paraId="0CC23334">
      <w:pPr>
        <w:pStyle w:val="3"/>
        <w:rPr>
          <w:color w:val="auto"/>
        </w:rPr>
      </w:pPr>
      <w:bookmarkStart w:id="47" w:name="_Toc1920"/>
      <w:r>
        <w:rPr>
          <w:rFonts w:hint="eastAsia"/>
          <w:color w:val="auto"/>
        </w:rPr>
        <w:t>2.2自然环境概况</w:t>
      </w:r>
      <w:bookmarkEnd w:id="42"/>
      <w:bookmarkEnd w:id="43"/>
      <w:bookmarkEnd w:id="47"/>
    </w:p>
    <w:p w14:paraId="49352C96">
      <w:pPr>
        <w:pStyle w:val="4"/>
        <w:rPr>
          <w:color w:val="auto"/>
        </w:rPr>
      </w:pPr>
      <w:r>
        <w:rPr>
          <w:rFonts w:hint="eastAsia"/>
          <w:color w:val="auto"/>
        </w:rPr>
        <w:t>2.2.1地形地貌</w:t>
      </w:r>
    </w:p>
    <w:p w14:paraId="0AFB3638">
      <w:pPr>
        <w:keepNext w:val="0"/>
        <w:keepLines w:val="0"/>
        <w:pageBreakBefore w:val="0"/>
        <w:widowControl w:val="0"/>
        <w:kinsoku/>
        <w:wordWrap/>
        <w:overflowPunct/>
        <w:topLinePunct w:val="0"/>
        <w:autoSpaceDE/>
        <w:autoSpaceDN/>
        <w:bidi w:val="0"/>
        <w:adjustRightInd w:val="0"/>
        <w:snapToGrid w:val="0"/>
        <w:spacing w:line="520" w:lineRule="exact"/>
        <w:ind w:firstLine="560"/>
        <w:textAlignment w:val="auto"/>
        <w:rPr>
          <w:rFonts w:hint="default" w:ascii="宋体" w:hAnsi="宋体" w:eastAsia="宋体" w:cs="宋体"/>
          <w:color w:val="auto"/>
          <w:szCs w:val="28"/>
          <w:lang w:val="en-US" w:eastAsia="zh-CN"/>
        </w:rPr>
      </w:pPr>
      <w:r>
        <w:rPr>
          <w:rFonts w:hint="default" w:ascii="宋体" w:hAnsi="宋体" w:eastAsia="宋体" w:cs="宋体"/>
          <w:color w:val="auto"/>
          <w:szCs w:val="28"/>
          <w:lang w:val="en-US" w:eastAsia="zh-CN"/>
        </w:rPr>
        <w:t>矿区地处秦岭之西中低山区，地形主要为秦岭褶皱带，地势北高南低，地形切割强烈，海拔1200</w:t>
      </w:r>
      <w:r>
        <w:rPr>
          <w:rFonts w:hint="eastAsia" w:cs="宋体"/>
          <w:color w:val="auto"/>
          <w:szCs w:val="28"/>
          <w:lang w:val="en-US" w:eastAsia="zh-CN"/>
        </w:rPr>
        <w:t>m</w:t>
      </w:r>
      <w:r>
        <w:rPr>
          <w:rFonts w:hint="eastAsia" w:ascii="宋体" w:hAnsi="宋体" w:eastAsia="宋体" w:cs="宋体"/>
          <w:color w:val="auto"/>
          <w:szCs w:val="28"/>
          <w:lang w:val="en-US" w:eastAsia="zh-CN"/>
        </w:rPr>
        <w:t>～</w:t>
      </w:r>
      <w:r>
        <w:rPr>
          <w:rFonts w:hint="default" w:ascii="宋体" w:hAnsi="宋体" w:eastAsia="宋体" w:cs="宋体"/>
          <w:color w:val="auto"/>
          <w:szCs w:val="28"/>
          <w:lang w:val="en-US" w:eastAsia="zh-CN"/>
        </w:rPr>
        <w:t>1480</w:t>
      </w:r>
      <w:r>
        <w:rPr>
          <w:rFonts w:hint="eastAsia" w:cs="宋体"/>
          <w:color w:val="auto"/>
          <w:szCs w:val="28"/>
          <w:lang w:val="en-US" w:eastAsia="zh-CN"/>
        </w:rPr>
        <w:t>m</w:t>
      </w:r>
      <w:r>
        <w:rPr>
          <w:rFonts w:hint="default" w:ascii="宋体" w:hAnsi="宋体" w:eastAsia="宋体" w:cs="宋体"/>
          <w:color w:val="auto"/>
          <w:szCs w:val="28"/>
          <w:lang w:val="en-US" w:eastAsia="zh-CN"/>
        </w:rPr>
        <w:t>，最大高差约280m。山势陡峻，水系发育，地表植被主要为乔木林，覆盖率85%以上。</w:t>
      </w:r>
    </w:p>
    <w:p w14:paraId="73CFAB9F">
      <w:pPr>
        <w:pStyle w:val="4"/>
        <w:rPr>
          <w:color w:val="auto"/>
        </w:rPr>
      </w:pPr>
      <w:r>
        <w:rPr>
          <w:rFonts w:hint="eastAsia"/>
          <w:color w:val="auto"/>
        </w:rPr>
        <w:t>2.2.2气候条件</w:t>
      </w:r>
    </w:p>
    <w:p w14:paraId="54AF98E0">
      <w:pPr>
        <w:keepNext w:val="0"/>
        <w:keepLines w:val="0"/>
        <w:pageBreakBefore w:val="0"/>
        <w:widowControl/>
        <w:kinsoku/>
        <w:wordWrap/>
        <w:overflowPunct/>
        <w:topLinePunct w:val="0"/>
        <w:autoSpaceDE/>
        <w:autoSpaceDN/>
        <w:bidi w:val="0"/>
        <w:adjustRightInd/>
        <w:snapToGrid w:val="0"/>
        <w:spacing w:line="520" w:lineRule="exact"/>
        <w:ind w:left="0" w:firstLine="560" w:firstLineChars="200"/>
        <w:textAlignment w:val="auto"/>
        <w:rPr>
          <w:rFonts w:hint="default" w:ascii="宋体" w:hAnsi="宋体" w:eastAsia="宋体"/>
          <w:color w:val="auto"/>
          <w:szCs w:val="28"/>
          <w:lang w:val="en-US" w:eastAsia="zh-CN"/>
        </w:rPr>
      </w:pPr>
      <w:r>
        <w:rPr>
          <w:rFonts w:hint="eastAsia"/>
          <w:color w:val="auto"/>
          <w:szCs w:val="28"/>
          <w:lang w:val="en-US" w:eastAsia="zh-CN"/>
        </w:rPr>
        <w:t>矿</w:t>
      </w:r>
      <w:r>
        <w:rPr>
          <w:rFonts w:hint="default" w:ascii="宋体" w:hAnsi="宋体" w:eastAsia="宋体"/>
          <w:color w:val="auto"/>
          <w:szCs w:val="28"/>
          <w:lang w:val="en-US" w:eastAsia="zh-CN"/>
        </w:rPr>
        <w:t>区气候属暖温带湿润大陆性季风气候，其特点是四季分明，雨热同季，光照充足，无霜期长。春季干旱多风，夏季雨量集中，秋季温和凉爽，冬季干冷少雪。多年平均气温10.5℃</w:t>
      </w:r>
      <w:r>
        <w:rPr>
          <w:rFonts w:hint="eastAsia"/>
          <w:color w:val="auto"/>
          <w:szCs w:val="28"/>
          <w:lang w:val="en-US" w:eastAsia="zh-CN"/>
        </w:rPr>
        <w:t>，</w:t>
      </w:r>
      <w:r>
        <w:rPr>
          <w:rFonts w:hint="default" w:ascii="宋体" w:hAnsi="宋体" w:eastAsia="宋体"/>
          <w:color w:val="auto"/>
          <w:szCs w:val="28"/>
          <w:lang w:val="en-US" w:eastAsia="zh-CN"/>
        </w:rPr>
        <w:t>1月平均气温-15.6℃</w:t>
      </w:r>
      <w:r>
        <w:rPr>
          <w:rFonts w:hint="eastAsia"/>
          <w:color w:val="auto"/>
          <w:szCs w:val="28"/>
          <w:lang w:val="en-US" w:eastAsia="zh-CN"/>
        </w:rPr>
        <w:t>，</w:t>
      </w:r>
      <w:r>
        <w:rPr>
          <w:rFonts w:hint="default" w:ascii="宋体" w:hAnsi="宋体" w:eastAsia="宋体"/>
          <w:color w:val="auto"/>
          <w:szCs w:val="28"/>
          <w:lang w:val="en-US" w:eastAsia="zh-CN"/>
        </w:rPr>
        <w:t>7月平均气温30.7℃</w:t>
      </w:r>
      <w:r>
        <w:rPr>
          <w:rFonts w:hint="eastAsia"/>
          <w:color w:val="auto"/>
          <w:szCs w:val="28"/>
          <w:lang w:val="en-US" w:eastAsia="zh-CN"/>
        </w:rPr>
        <w:t>，</w:t>
      </w:r>
      <w:r>
        <w:rPr>
          <w:rFonts w:hint="default" w:ascii="宋体" w:hAnsi="宋体" w:eastAsia="宋体"/>
          <w:color w:val="auto"/>
          <w:szCs w:val="28"/>
          <w:lang w:val="en-US" w:eastAsia="zh-CN"/>
        </w:rPr>
        <w:t>最高气温35℃。生长期年平均246天</w:t>
      </w:r>
      <w:r>
        <w:rPr>
          <w:rFonts w:hint="eastAsia"/>
          <w:color w:val="auto"/>
          <w:szCs w:val="28"/>
          <w:lang w:val="en-US" w:eastAsia="zh-CN"/>
        </w:rPr>
        <w:t>，</w:t>
      </w:r>
      <w:r>
        <w:rPr>
          <w:rFonts w:hint="default" w:ascii="宋体" w:hAnsi="宋体" w:eastAsia="宋体"/>
          <w:color w:val="auto"/>
          <w:szCs w:val="28"/>
          <w:lang w:val="en-US" w:eastAsia="zh-CN"/>
        </w:rPr>
        <w:t>无霜期年平均212天。年平均降水量600</w:t>
      </w:r>
      <w:r>
        <w:rPr>
          <w:rFonts w:hint="eastAsia"/>
          <w:color w:val="auto"/>
          <w:szCs w:val="28"/>
          <w:lang w:val="en-US" w:eastAsia="zh-CN"/>
        </w:rPr>
        <w:t>mm</w:t>
      </w:r>
      <w:r>
        <w:rPr>
          <w:rFonts w:hint="default" w:ascii="宋体" w:hAnsi="宋体" w:eastAsia="宋体"/>
          <w:color w:val="auto"/>
          <w:szCs w:val="28"/>
          <w:lang w:val="en-US" w:eastAsia="zh-CN"/>
        </w:rPr>
        <w:t>，降雨主要集中在每年的7</w:t>
      </w:r>
      <w:r>
        <w:rPr>
          <w:rFonts w:hint="eastAsia" w:ascii="宋体" w:hAnsi="宋体" w:eastAsia="宋体" w:cs="宋体"/>
          <w:color w:val="auto"/>
          <w:szCs w:val="28"/>
          <w:lang w:val="en-US" w:eastAsia="zh-CN"/>
        </w:rPr>
        <w:t>～</w:t>
      </w:r>
      <w:r>
        <w:rPr>
          <w:rFonts w:hint="default" w:ascii="宋体" w:hAnsi="宋体" w:eastAsia="宋体"/>
          <w:color w:val="auto"/>
          <w:szCs w:val="28"/>
          <w:lang w:val="en-US" w:eastAsia="zh-CN"/>
        </w:rPr>
        <w:t>9月，雨量充沛，11月至翌年4月中旬为冰冻期。</w:t>
      </w:r>
    </w:p>
    <w:p w14:paraId="3F54032F">
      <w:pPr>
        <w:pStyle w:val="4"/>
        <w:rPr>
          <w:color w:val="auto"/>
        </w:rPr>
      </w:pPr>
      <w:r>
        <w:rPr>
          <w:rFonts w:hint="eastAsia"/>
          <w:color w:val="auto"/>
        </w:rPr>
        <w:t>2.2.3</w:t>
      </w:r>
      <w:r>
        <w:rPr>
          <w:color w:val="auto"/>
        </w:rPr>
        <w:t>地震烈度</w:t>
      </w:r>
    </w:p>
    <w:p w14:paraId="309E10D4">
      <w:pPr>
        <w:keepNext w:val="0"/>
        <w:keepLines w:val="0"/>
        <w:pageBreakBefore w:val="0"/>
        <w:widowControl w:val="0"/>
        <w:kinsoku/>
        <w:wordWrap/>
        <w:overflowPunct/>
        <w:topLinePunct w:val="0"/>
        <w:autoSpaceDE/>
        <w:autoSpaceDN/>
        <w:bidi w:val="0"/>
        <w:adjustRightInd/>
        <w:snapToGrid/>
        <w:ind w:firstLine="568"/>
        <w:textAlignment w:val="auto"/>
        <w:rPr>
          <w:rFonts w:hint="eastAsia" w:cs="宋体"/>
          <w:color w:val="auto"/>
          <w:spacing w:val="2"/>
          <w:szCs w:val="28"/>
        </w:rPr>
      </w:pPr>
      <w:r>
        <w:rPr>
          <w:rFonts w:hint="eastAsia" w:cs="宋体"/>
          <w:color w:val="auto"/>
          <w:spacing w:val="2"/>
          <w:szCs w:val="28"/>
          <w:lang w:val="en-US" w:eastAsia="zh-CN"/>
        </w:rPr>
        <w:t>矿区</w:t>
      </w:r>
      <w:r>
        <w:rPr>
          <w:rFonts w:hint="eastAsia" w:cs="宋体"/>
          <w:color w:val="auto"/>
          <w:spacing w:val="2"/>
          <w:szCs w:val="28"/>
        </w:rPr>
        <w:t>位于凤县</w:t>
      </w:r>
      <w:r>
        <w:rPr>
          <w:rFonts w:hint="eastAsia" w:cs="宋体"/>
          <w:color w:val="auto"/>
          <w:spacing w:val="2"/>
          <w:szCs w:val="28"/>
          <w:lang w:val="en-US" w:eastAsia="zh-CN"/>
        </w:rPr>
        <w:t>唐藏</w:t>
      </w:r>
      <w:r>
        <w:rPr>
          <w:rFonts w:hint="eastAsia" w:cs="宋体"/>
          <w:color w:val="auto"/>
          <w:spacing w:val="2"/>
          <w:szCs w:val="28"/>
        </w:rPr>
        <w:t>镇，根据《建筑抗震设计标准》[2024年版](GB/T50011-2010)及《中国地震动参数区划图》(GB18306-2015)划分，</w:t>
      </w:r>
      <w:r>
        <w:rPr>
          <w:rFonts w:hint="eastAsia" w:cs="宋体"/>
          <w:color w:val="auto"/>
          <w:spacing w:val="2"/>
          <w:szCs w:val="28"/>
          <w:lang w:val="en-US" w:eastAsia="zh-CN"/>
        </w:rPr>
        <w:t>矿区</w:t>
      </w:r>
      <w:r>
        <w:rPr>
          <w:rFonts w:hint="eastAsia" w:cs="宋体"/>
          <w:color w:val="auto"/>
          <w:spacing w:val="2"/>
          <w:szCs w:val="28"/>
        </w:rPr>
        <w:t>所在区域地震基本设防烈度为7度，地震动峰值加速度0.</w:t>
      </w:r>
      <w:r>
        <w:rPr>
          <w:rFonts w:hint="eastAsia" w:cs="宋体"/>
          <w:color w:val="auto"/>
          <w:spacing w:val="2"/>
          <w:szCs w:val="28"/>
          <w:lang w:val="en-US" w:eastAsia="zh-CN"/>
        </w:rPr>
        <w:t>20</w:t>
      </w:r>
      <w:r>
        <w:rPr>
          <w:rFonts w:hint="eastAsia" w:cs="宋体"/>
          <w:color w:val="auto"/>
          <w:spacing w:val="2"/>
          <w:szCs w:val="28"/>
        </w:rPr>
        <w:t>(g)，地震动加速度反应谱特征周期为0.45(s)。</w:t>
      </w:r>
    </w:p>
    <w:p w14:paraId="3523EF36">
      <w:pPr>
        <w:pStyle w:val="3"/>
        <w:rPr>
          <w:color w:val="auto"/>
        </w:rPr>
      </w:pPr>
      <w:bookmarkStart w:id="48" w:name="_Toc20672"/>
      <w:bookmarkStart w:id="49" w:name="_Toc376269734"/>
      <w:bookmarkStart w:id="50" w:name="_Toc356030898"/>
      <w:r>
        <w:rPr>
          <w:rFonts w:hint="eastAsia"/>
          <w:color w:val="auto"/>
        </w:rPr>
        <w:t>2.3地质概况</w:t>
      </w:r>
      <w:bookmarkEnd w:id="48"/>
      <w:bookmarkEnd w:id="49"/>
      <w:bookmarkEnd w:id="50"/>
    </w:p>
    <w:p w14:paraId="5D74B99D">
      <w:pPr>
        <w:pStyle w:val="4"/>
        <w:rPr>
          <w:rFonts w:hint="eastAsia" w:ascii="宋体" w:hAnsi="宋体" w:eastAsia="宋体" w:cs="宋体"/>
          <w:color w:val="auto"/>
          <w:kern w:val="2"/>
          <w:sz w:val="28"/>
          <w:szCs w:val="28"/>
          <w:lang w:val="en-US" w:eastAsia="zh-CN" w:bidi="ar-SA"/>
        </w:rPr>
      </w:pPr>
      <w:r>
        <w:rPr>
          <w:rFonts w:hint="eastAsia"/>
          <w:color w:val="auto"/>
        </w:rPr>
        <w:t>2.3.1矿区地质概况</w:t>
      </w:r>
    </w:p>
    <w:p w14:paraId="7F062376">
      <w:pPr>
        <w:pStyle w:val="5"/>
        <w:keepNext/>
        <w:keepLines/>
        <w:pageBreakBefore w:val="0"/>
        <w:widowControl w:val="0"/>
        <w:kinsoku/>
        <w:wordWrap/>
        <w:overflowPunct/>
        <w:topLinePunct w:val="0"/>
        <w:autoSpaceDE/>
        <w:autoSpaceDN/>
        <w:bidi w:val="0"/>
        <w:adjustRightInd/>
        <w:snapToGrid/>
        <w:ind w:firstLine="560" w:firstLineChars="200"/>
        <w:textAlignment w:val="auto"/>
        <w:rPr>
          <w:rFonts w:hint="eastAsia"/>
          <w:color w:val="auto"/>
          <w:lang w:val="en-US" w:eastAsia="zh-CN"/>
        </w:rPr>
      </w:pPr>
      <w:r>
        <w:rPr>
          <w:rFonts w:hint="eastAsia"/>
          <w:color w:val="auto"/>
          <w:lang w:val="en-US" w:eastAsia="zh-CN"/>
        </w:rPr>
        <w:t>2.3.1.1地层</w:t>
      </w:r>
    </w:p>
    <w:p w14:paraId="27EA2108">
      <w:pPr>
        <w:keepNext w:val="0"/>
        <w:keepLines w:val="0"/>
        <w:pageBreakBefore w:val="0"/>
        <w:widowControl w:val="0"/>
        <w:kinsoku/>
        <w:wordWrap/>
        <w:overflowPunct/>
        <w:topLinePunct w:val="0"/>
        <w:autoSpaceDE/>
        <w:autoSpaceDN/>
        <w:bidi w:val="0"/>
        <w:adjustRightInd/>
        <w:snapToGrid/>
        <w:spacing w:line="520" w:lineRule="exact"/>
        <w:ind w:left="0" w:right="0" w:firstLine="568" w:firstLineChars="200"/>
        <w:jc w:val="both"/>
        <w:textAlignment w:val="auto"/>
        <w:rPr>
          <w:rFonts w:ascii="宋体" w:hAnsi="宋体" w:eastAsia="宋体" w:cs="宋体"/>
          <w:color w:val="auto"/>
          <w:sz w:val="28"/>
          <w:szCs w:val="28"/>
        </w:rPr>
      </w:pPr>
      <w:bookmarkStart w:id="51" w:name="_Toc310497635"/>
      <w:bookmarkStart w:id="52" w:name="_Toc11124"/>
      <w:r>
        <w:rPr>
          <w:rFonts w:ascii="宋体" w:hAnsi="宋体" w:eastAsia="宋体" w:cs="宋体"/>
          <w:color w:val="auto"/>
          <w:spacing w:val="2"/>
          <w:sz w:val="28"/>
          <w:szCs w:val="28"/>
        </w:rPr>
        <w:t>李家庄方解石矿区出露地层为一套古元古-早古生代中深程度变质岩地层。主要地</w:t>
      </w:r>
      <w:r>
        <w:rPr>
          <w:rFonts w:ascii="宋体" w:hAnsi="宋体" w:eastAsia="宋体" w:cs="宋体"/>
          <w:color w:val="auto"/>
          <w:spacing w:val="-2"/>
          <w:sz w:val="28"/>
          <w:szCs w:val="28"/>
        </w:rPr>
        <w:t>层有下元古界秦岭岩群郭庄岩组（Pt</w:t>
      </w:r>
      <w:r>
        <w:rPr>
          <w:rFonts w:ascii="宋体" w:hAnsi="宋体" w:eastAsia="宋体" w:cs="宋体"/>
          <w:color w:val="auto"/>
          <w:spacing w:val="-2"/>
          <w:position w:val="-1"/>
          <w:sz w:val="28"/>
          <w:szCs w:val="28"/>
        </w:rPr>
        <w:t>1</w:t>
      </w:r>
      <w:r>
        <w:rPr>
          <w:rFonts w:ascii="宋体" w:hAnsi="宋体" w:eastAsia="宋体" w:cs="宋体"/>
          <w:color w:val="auto"/>
          <w:spacing w:val="-2"/>
          <w:sz w:val="28"/>
          <w:szCs w:val="28"/>
        </w:rPr>
        <w:t>Qg</w:t>
      </w:r>
      <w:r>
        <w:rPr>
          <w:rFonts w:ascii="宋体" w:hAnsi="宋体" w:eastAsia="宋体" w:cs="宋体"/>
          <w:color w:val="auto"/>
          <w:spacing w:val="7"/>
          <w:sz w:val="28"/>
          <w:szCs w:val="28"/>
        </w:rPr>
        <w:t>）；</w:t>
      </w:r>
      <w:r>
        <w:rPr>
          <w:rFonts w:ascii="宋体" w:hAnsi="宋体" w:eastAsia="宋体" w:cs="宋体"/>
          <w:color w:val="auto"/>
          <w:spacing w:val="-2"/>
          <w:sz w:val="28"/>
          <w:szCs w:val="28"/>
        </w:rPr>
        <w:t>下古生界丹凤岩群a岩组（Pz</w:t>
      </w:r>
      <w:r>
        <w:rPr>
          <w:rFonts w:ascii="宋体" w:hAnsi="宋体" w:eastAsia="宋体" w:cs="宋体"/>
          <w:color w:val="auto"/>
          <w:spacing w:val="-2"/>
          <w:position w:val="-1"/>
          <w:sz w:val="28"/>
          <w:szCs w:val="28"/>
        </w:rPr>
        <w:t>1</w:t>
      </w:r>
      <w:r>
        <w:rPr>
          <w:rFonts w:ascii="宋体" w:hAnsi="宋体" w:eastAsia="宋体" w:cs="宋体"/>
          <w:color w:val="auto"/>
          <w:spacing w:val="-2"/>
          <w:sz w:val="28"/>
          <w:szCs w:val="28"/>
        </w:rPr>
        <w:t>D</w:t>
      </w:r>
      <w:r>
        <w:rPr>
          <w:rFonts w:ascii="宋体" w:hAnsi="宋体" w:eastAsia="宋体" w:cs="宋体"/>
          <w:color w:val="auto"/>
          <w:spacing w:val="-2"/>
          <w:position w:val="11"/>
          <w:sz w:val="28"/>
          <w:szCs w:val="28"/>
        </w:rPr>
        <w:t>a</w:t>
      </w:r>
      <w:r>
        <w:rPr>
          <w:rFonts w:ascii="宋体" w:hAnsi="宋体" w:eastAsia="宋体" w:cs="宋体"/>
          <w:color w:val="auto"/>
          <w:spacing w:val="-2"/>
          <w:sz w:val="28"/>
          <w:szCs w:val="28"/>
        </w:rPr>
        <w:t>）、b岩组（Pz</w:t>
      </w:r>
      <w:r>
        <w:rPr>
          <w:rFonts w:ascii="宋体" w:hAnsi="宋体" w:eastAsia="宋体" w:cs="宋体"/>
          <w:color w:val="auto"/>
          <w:spacing w:val="-2"/>
          <w:position w:val="-2"/>
          <w:sz w:val="28"/>
          <w:szCs w:val="28"/>
        </w:rPr>
        <w:t>1</w:t>
      </w:r>
      <w:r>
        <w:rPr>
          <w:rFonts w:ascii="宋体" w:hAnsi="宋体" w:eastAsia="宋体" w:cs="宋体"/>
          <w:color w:val="auto"/>
          <w:spacing w:val="-2"/>
          <w:sz w:val="28"/>
          <w:szCs w:val="28"/>
        </w:rPr>
        <w:t>D</w:t>
      </w:r>
      <w:r>
        <w:rPr>
          <w:rFonts w:ascii="宋体" w:hAnsi="宋体" w:eastAsia="宋体" w:cs="宋体"/>
          <w:color w:val="auto"/>
          <w:spacing w:val="-2"/>
          <w:position w:val="11"/>
          <w:sz w:val="28"/>
          <w:szCs w:val="28"/>
        </w:rPr>
        <w:t>b</w:t>
      </w:r>
      <w:r>
        <w:rPr>
          <w:rFonts w:ascii="宋体" w:hAnsi="宋体" w:eastAsia="宋体" w:cs="宋体"/>
          <w:color w:val="auto"/>
          <w:spacing w:val="-19"/>
          <w:sz w:val="28"/>
          <w:szCs w:val="28"/>
        </w:rPr>
        <w:t>）、c岩组（Pz</w:t>
      </w:r>
      <w:r>
        <w:rPr>
          <w:rFonts w:ascii="宋体" w:hAnsi="宋体" w:eastAsia="宋体" w:cs="宋体"/>
          <w:color w:val="auto"/>
          <w:position w:val="-2"/>
          <w:sz w:val="28"/>
          <w:szCs w:val="28"/>
        </w:rPr>
        <w:t>1</w:t>
      </w:r>
      <w:r>
        <w:rPr>
          <w:rFonts w:ascii="宋体" w:hAnsi="宋体" w:eastAsia="宋体" w:cs="宋体"/>
          <w:color w:val="auto"/>
          <w:sz w:val="28"/>
          <w:szCs w:val="28"/>
        </w:rPr>
        <w:t>D</w:t>
      </w:r>
      <w:r>
        <w:rPr>
          <w:rFonts w:ascii="宋体" w:hAnsi="宋体" w:eastAsia="宋体" w:cs="宋体"/>
          <w:color w:val="auto"/>
          <w:position w:val="11"/>
          <w:sz w:val="28"/>
          <w:szCs w:val="28"/>
        </w:rPr>
        <w:t>c</w:t>
      </w:r>
      <w:r>
        <w:rPr>
          <w:rFonts w:ascii="宋体" w:hAnsi="宋体" w:eastAsia="宋体" w:cs="宋体"/>
          <w:color w:val="auto"/>
          <w:spacing w:val="-42"/>
          <w:sz w:val="28"/>
          <w:szCs w:val="28"/>
        </w:rPr>
        <w:t>）；</w:t>
      </w:r>
      <w:r>
        <w:rPr>
          <w:rFonts w:ascii="宋体" w:hAnsi="宋体" w:eastAsia="宋体" w:cs="宋体"/>
          <w:color w:val="auto"/>
          <w:spacing w:val="-13"/>
          <w:sz w:val="28"/>
          <w:szCs w:val="28"/>
        </w:rPr>
        <w:t>第四系更新统（Qp）、全新统（Qh）。丹凤岩群c岩组（Pz</w:t>
      </w:r>
      <w:r>
        <w:rPr>
          <w:rFonts w:ascii="宋体" w:hAnsi="宋体" w:eastAsia="宋体" w:cs="宋体"/>
          <w:color w:val="auto"/>
          <w:spacing w:val="-1"/>
          <w:position w:val="-2"/>
          <w:sz w:val="28"/>
          <w:szCs w:val="28"/>
        </w:rPr>
        <w:t>1</w:t>
      </w:r>
      <w:r>
        <w:rPr>
          <w:rFonts w:ascii="宋体" w:hAnsi="宋体" w:eastAsia="宋体" w:cs="宋体"/>
          <w:color w:val="auto"/>
          <w:spacing w:val="-1"/>
          <w:sz w:val="28"/>
          <w:szCs w:val="28"/>
        </w:rPr>
        <w:t>D</w:t>
      </w:r>
      <w:r>
        <w:rPr>
          <w:rFonts w:ascii="宋体" w:hAnsi="宋体" w:eastAsia="宋体" w:cs="宋体"/>
          <w:color w:val="auto"/>
          <w:spacing w:val="-1"/>
          <w:position w:val="11"/>
          <w:sz w:val="28"/>
          <w:szCs w:val="28"/>
        </w:rPr>
        <w:t>c</w:t>
      </w:r>
      <w:r>
        <w:rPr>
          <w:rFonts w:ascii="宋体" w:hAnsi="宋体" w:eastAsia="宋体" w:cs="宋体"/>
          <w:color w:val="auto"/>
          <w:spacing w:val="-1"/>
          <w:sz w:val="28"/>
          <w:szCs w:val="28"/>
        </w:rPr>
        <w:t>）</w:t>
      </w:r>
      <w:r>
        <w:rPr>
          <w:rFonts w:ascii="宋体" w:hAnsi="宋体" w:eastAsia="宋体" w:cs="宋体"/>
          <w:color w:val="auto"/>
          <w:spacing w:val="-3"/>
          <w:sz w:val="28"/>
          <w:szCs w:val="28"/>
        </w:rPr>
        <w:t>方解石矿的赋矿层位。区内地层从老到新分述如下：</w:t>
      </w:r>
    </w:p>
    <w:p w14:paraId="52F4D1D5">
      <w:pPr>
        <w:keepNext w:val="0"/>
        <w:keepLines w:val="0"/>
        <w:pageBreakBefore w:val="0"/>
        <w:widowControl w:val="0"/>
        <w:kinsoku/>
        <w:wordWrap/>
        <w:overflowPunct/>
        <w:topLinePunct w:val="0"/>
        <w:autoSpaceDE/>
        <w:autoSpaceDN/>
        <w:bidi w:val="0"/>
        <w:adjustRightInd/>
        <w:snapToGrid/>
        <w:spacing w:line="520" w:lineRule="exact"/>
        <w:ind w:left="0" w:right="0" w:firstLine="548" w:firstLineChars="200"/>
        <w:textAlignment w:val="auto"/>
        <w:rPr>
          <w:rFonts w:ascii="宋体" w:hAnsi="宋体" w:eastAsia="宋体" w:cs="宋体"/>
          <w:color w:val="auto"/>
          <w:sz w:val="28"/>
          <w:szCs w:val="28"/>
        </w:rPr>
      </w:pPr>
      <w:r>
        <w:rPr>
          <w:rFonts w:ascii="宋体" w:hAnsi="宋体" w:eastAsia="宋体" w:cs="宋体"/>
          <w:color w:val="auto"/>
          <w:spacing w:val="-3"/>
          <w:sz w:val="28"/>
          <w:szCs w:val="28"/>
        </w:rPr>
        <w:t>下元古界秦岭岩群郭庄岩组（Pt</w:t>
      </w:r>
      <w:r>
        <w:rPr>
          <w:rFonts w:ascii="宋体" w:hAnsi="宋体" w:eastAsia="宋体" w:cs="宋体"/>
          <w:color w:val="auto"/>
          <w:spacing w:val="-3"/>
          <w:position w:val="-1"/>
          <w:sz w:val="28"/>
          <w:szCs w:val="28"/>
        </w:rPr>
        <w:t>1</w:t>
      </w:r>
      <w:r>
        <w:rPr>
          <w:rFonts w:ascii="宋体" w:hAnsi="宋体" w:eastAsia="宋体" w:cs="宋体"/>
          <w:color w:val="auto"/>
          <w:spacing w:val="-3"/>
          <w:sz w:val="28"/>
          <w:szCs w:val="28"/>
        </w:rPr>
        <w:t>Qg</w:t>
      </w:r>
      <w:r>
        <w:rPr>
          <w:rFonts w:ascii="宋体" w:hAnsi="宋体" w:eastAsia="宋体" w:cs="宋体"/>
          <w:color w:val="auto"/>
          <w:sz w:val="28"/>
          <w:szCs w:val="28"/>
        </w:rPr>
        <w:t>）：</w:t>
      </w:r>
      <w:r>
        <w:rPr>
          <w:rFonts w:ascii="宋体" w:hAnsi="宋体" w:eastAsia="宋体" w:cs="宋体"/>
          <w:color w:val="auto"/>
          <w:spacing w:val="-3"/>
          <w:sz w:val="28"/>
          <w:szCs w:val="28"/>
        </w:rPr>
        <w:t>出露于工作区东北部，岩性为黑云斜长片麻</w:t>
      </w:r>
      <w:r>
        <w:rPr>
          <w:rFonts w:ascii="宋体" w:hAnsi="宋体" w:eastAsia="宋体" w:cs="宋体"/>
          <w:color w:val="auto"/>
          <w:spacing w:val="-1"/>
          <w:sz w:val="28"/>
          <w:szCs w:val="28"/>
        </w:rPr>
        <w:t>岩、石榴黑云斜长片麻岩夹斜长角闪岩、变粒岩及大理岩透镜体，局部混合岩化强</w:t>
      </w:r>
      <w:r>
        <w:rPr>
          <w:rFonts w:ascii="宋体" w:hAnsi="宋体" w:eastAsia="宋体" w:cs="宋体"/>
          <w:color w:val="auto"/>
          <w:spacing w:val="-2"/>
          <w:sz w:val="28"/>
          <w:szCs w:val="28"/>
        </w:rPr>
        <w:t>烈。</w:t>
      </w:r>
      <w:r>
        <w:rPr>
          <w:rFonts w:ascii="宋体" w:hAnsi="宋体" w:eastAsia="宋体" w:cs="宋体"/>
          <w:color w:val="auto"/>
          <w:spacing w:val="2"/>
          <w:sz w:val="28"/>
          <w:szCs w:val="28"/>
        </w:rPr>
        <w:t>厚度大于100米，未见底，产状40°-55°∠47°-65°,与</w:t>
      </w:r>
      <w:r>
        <w:rPr>
          <w:rFonts w:ascii="宋体" w:hAnsi="宋体" w:eastAsia="宋体" w:cs="宋体"/>
          <w:color w:val="auto"/>
          <w:spacing w:val="1"/>
          <w:sz w:val="28"/>
          <w:szCs w:val="28"/>
        </w:rPr>
        <w:t>上覆地层下古生界丹凤岩群c</w:t>
      </w:r>
      <w:r>
        <w:rPr>
          <w:rFonts w:ascii="宋体" w:hAnsi="宋体" w:eastAsia="宋体" w:cs="宋体"/>
          <w:color w:val="auto"/>
          <w:spacing w:val="-3"/>
          <w:sz w:val="28"/>
          <w:szCs w:val="28"/>
        </w:rPr>
        <w:t>岩组（Pz</w:t>
      </w:r>
      <w:r>
        <w:rPr>
          <w:rFonts w:ascii="宋体" w:hAnsi="宋体" w:eastAsia="宋体" w:cs="宋体"/>
          <w:color w:val="auto"/>
          <w:spacing w:val="-3"/>
          <w:position w:val="-2"/>
          <w:sz w:val="28"/>
          <w:szCs w:val="28"/>
        </w:rPr>
        <w:t>1</w:t>
      </w:r>
      <w:r>
        <w:rPr>
          <w:rFonts w:ascii="宋体" w:hAnsi="宋体" w:eastAsia="宋体" w:cs="宋体"/>
          <w:color w:val="auto"/>
          <w:spacing w:val="-3"/>
          <w:sz w:val="28"/>
          <w:szCs w:val="28"/>
        </w:rPr>
        <w:t>D</w:t>
      </w:r>
      <w:r>
        <w:rPr>
          <w:rFonts w:ascii="宋体" w:hAnsi="宋体" w:eastAsia="宋体" w:cs="宋体"/>
          <w:color w:val="auto"/>
          <w:spacing w:val="-3"/>
          <w:position w:val="11"/>
          <w:sz w:val="28"/>
          <w:szCs w:val="28"/>
        </w:rPr>
        <w:t>c</w:t>
      </w:r>
      <w:r>
        <w:rPr>
          <w:rFonts w:ascii="宋体" w:hAnsi="宋体" w:eastAsia="宋体" w:cs="宋体"/>
          <w:color w:val="auto"/>
          <w:spacing w:val="-3"/>
          <w:sz w:val="28"/>
          <w:szCs w:val="28"/>
        </w:rPr>
        <w:t>）呈断层接触。</w:t>
      </w:r>
    </w:p>
    <w:p w14:paraId="13F32936">
      <w:pPr>
        <w:keepNext w:val="0"/>
        <w:keepLines w:val="0"/>
        <w:pageBreakBefore w:val="0"/>
        <w:widowControl w:val="0"/>
        <w:kinsoku/>
        <w:wordWrap/>
        <w:overflowPunct/>
        <w:topLinePunct w:val="0"/>
        <w:autoSpaceDE/>
        <w:autoSpaceDN/>
        <w:bidi w:val="0"/>
        <w:adjustRightInd/>
        <w:snapToGrid/>
        <w:spacing w:line="520" w:lineRule="exact"/>
        <w:ind w:left="0" w:right="0" w:firstLine="544" w:firstLineChars="200"/>
        <w:jc w:val="both"/>
        <w:textAlignment w:val="auto"/>
        <w:rPr>
          <w:rFonts w:ascii="宋体" w:hAnsi="宋体" w:eastAsia="宋体" w:cs="宋体"/>
          <w:color w:val="auto"/>
          <w:sz w:val="28"/>
          <w:szCs w:val="28"/>
        </w:rPr>
      </w:pPr>
      <w:r>
        <w:rPr>
          <w:rFonts w:ascii="宋体" w:hAnsi="宋体" w:eastAsia="宋体" w:cs="宋体"/>
          <w:color w:val="auto"/>
          <w:spacing w:val="-4"/>
          <w:sz w:val="28"/>
          <w:szCs w:val="28"/>
        </w:rPr>
        <w:t>下古生界丹凤岩群</w:t>
      </w:r>
      <w:r>
        <w:rPr>
          <w:rFonts w:ascii="宋体" w:hAnsi="宋体" w:eastAsia="宋体" w:cs="宋体"/>
          <w:color w:val="auto"/>
          <w:spacing w:val="-49"/>
          <w:sz w:val="28"/>
          <w:szCs w:val="28"/>
        </w:rPr>
        <w:t xml:space="preserve"> </w:t>
      </w:r>
      <w:r>
        <w:rPr>
          <w:rFonts w:ascii="宋体" w:hAnsi="宋体" w:eastAsia="宋体" w:cs="宋体"/>
          <w:color w:val="auto"/>
          <w:spacing w:val="-4"/>
          <w:sz w:val="28"/>
          <w:szCs w:val="28"/>
        </w:rPr>
        <w:t>a</w:t>
      </w:r>
      <w:r>
        <w:rPr>
          <w:rFonts w:ascii="宋体" w:hAnsi="宋体" w:eastAsia="宋体" w:cs="宋体"/>
          <w:color w:val="auto"/>
          <w:spacing w:val="-51"/>
          <w:sz w:val="28"/>
          <w:szCs w:val="28"/>
        </w:rPr>
        <w:t xml:space="preserve"> </w:t>
      </w:r>
      <w:r>
        <w:rPr>
          <w:rFonts w:ascii="宋体" w:hAnsi="宋体" w:eastAsia="宋体" w:cs="宋体"/>
          <w:color w:val="auto"/>
          <w:spacing w:val="-4"/>
          <w:sz w:val="28"/>
          <w:szCs w:val="28"/>
        </w:rPr>
        <w:t>岩组（Pz</w:t>
      </w:r>
      <w:r>
        <w:rPr>
          <w:rFonts w:ascii="宋体" w:hAnsi="宋体" w:eastAsia="宋体" w:cs="宋体"/>
          <w:color w:val="auto"/>
          <w:spacing w:val="-4"/>
          <w:position w:val="-1"/>
          <w:sz w:val="28"/>
          <w:szCs w:val="28"/>
        </w:rPr>
        <w:t>1</w:t>
      </w:r>
      <w:r>
        <w:rPr>
          <w:rFonts w:ascii="宋体" w:hAnsi="宋体" w:eastAsia="宋体" w:cs="宋体"/>
          <w:color w:val="auto"/>
          <w:spacing w:val="-4"/>
          <w:sz w:val="28"/>
          <w:szCs w:val="28"/>
        </w:rPr>
        <w:t>D</w:t>
      </w:r>
      <w:r>
        <w:rPr>
          <w:rFonts w:ascii="宋体" w:hAnsi="宋体" w:eastAsia="宋体" w:cs="宋体"/>
          <w:color w:val="auto"/>
          <w:spacing w:val="-4"/>
          <w:position w:val="11"/>
          <w:sz w:val="28"/>
          <w:szCs w:val="28"/>
        </w:rPr>
        <w:t>a</w:t>
      </w:r>
      <w:r>
        <w:rPr>
          <w:rFonts w:ascii="宋体" w:hAnsi="宋体" w:eastAsia="宋体" w:cs="宋体"/>
          <w:color w:val="auto"/>
          <w:spacing w:val="-18"/>
          <w:sz w:val="28"/>
          <w:szCs w:val="28"/>
        </w:rPr>
        <w:t>）：</w:t>
      </w:r>
      <w:r>
        <w:rPr>
          <w:rFonts w:ascii="宋体" w:hAnsi="宋体" w:eastAsia="宋体" w:cs="宋体"/>
          <w:color w:val="auto"/>
          <w:spacing w:val="-4"/>
          <w:sz w:val="28"/>
          <w:szCs w:val="28"/>
        </w:rPr>
        <w:t>出露于工作区西南部，岩性以绢云绿泥石英(构</w:t>
      </w:r>
      <w:r>
        <w:rPr>
          <w:rFonts w:ascii="宋体" w:hAnsi="宋体" w:eastAsia="宋体" w:cs="宋体"/>
          <w:color w:val="auto"/>
          <w:spacing w:val="-3"/>
          <w:sz w:val="28"/>
          <w:szCs w:val="28"/>
        </w:rPr>
        <w:t>造)片岩、长英质(构造)片岩、变晶凝灰岩夹安山岩、构造砾岩为主。厚度大于10</w:t>
      </w:r>
      <w:r>
        <w:rPr>
          <w:rFonts w:ascii="宋体" w:hAnsi="宋体" w:eastAsia="宋体" w:cs="宋体"/>
          <w:color w:val="auto"/>
          <w:spacing w:val="-4"/>
          <w:sz w:val="28"/>
          <w:szCs w:val="28"/>
        </w:rPr>
        <w:t>0</w:t>
      </w:r>
      <w:r>
        <w:rPr>
          <w:rFonts w:hint="eastAsia" w:cs="宋体"/>
          <w:color w:val="auto"/>
          <w:spacing w:val="-4"/>
          <w:sz w:val="28"/>
          <w:szCs w:val="28"/>
          <w:lang w:val="en-US" w:eastAsia="zh-CN"/>
        </w:rPr>
        <w:t>m</w:t>
      </w:r>
      <w:r>
        <w:rPr>
          <w:rFonts w:ascii="宋体" w:hAnsi="宋体" w:eastAsia="宋体" w:cs="宋体"/>
          <w:color w:val="auto"/>
          <w:spacing w:val="-4"/>
          <w:sz w:val="28"/>
          <w:szCs w:val="28"/>
        </w:rPr>
        <w:t>，</w:t>
      </w:r>
      <w:r>
        <w:rPr>
          <w:rFonts w:ascii="宋体" w:hAnsi="宋体" w:eastAsia="宋体" w:cs="宋体"/>
          <w:color w:val="auto"/>
          <w:spacing w:val="-2"/>
          <w:sz w:val="28"/>
          <w:szCs w:val="28"/>
        </w:rPr>
        <w:t>未见底，产状35</w:t>
      </w:r>
      <w:r>
        <w:rPr>
          <w:rFonts w:ascii="宋体" w:hAnsi="宋体" w:eastAsia="宋体" w:cs="宋体"/>
          <w:color w:val="auto"/>
          <w:spacing w:val="2"/>
          <w:sz w:val="28"/>
          <w:szCs w:val="28"/>
        </w:rPr>
        <w:t>°</w:t>
      </w:r>
      <w:r>
        <w:rPr>
          <w:rFonts w:ascii="宋体" w:hAnsi="宋体" w:eastAsia="宋体" w:cs="宋体"/>
          <w:color w:val="auto"/>
          <w:spacing w:val="-2"/>
          <w:sz w:val="28"/>
          <w:szCs w:val="28"/>
        </w:rPr>
        <w:t>-40°∠55</w:t>
      </w:r>
      <w:r>
        <w:rPr>
          <w:rFonts w:ascii="宋体" w:hAnsi="宋体" w:eastAsia="宋体" w:cs="宋体"/>
          <w:color w:val="auto"/>
          <w:spacing w:val="2"/>
          <w:sz w:val="28"/>
          <w:szCs w:val="28"/>
        </w:rPr>
        <w:t>°</w:t>
      </w:r>
      <w:r>
        <w:rPr>
          <w:rFonts w:ascii="宋体" w:hAnsi="宋体" w:eastAsia="宋体" w:cs="宋体"/>
          <w:color w:val="auto"/>
          <w:spacing w:val="-2"/>
          <w:sz w:val="28"/>
          <w:szCs w:val="28"/>
        </w:rPr>
        <w:t>-67°。</w:t>
      </w:r>
    </w:p>
    <w:p w14:paraId="7A739D44">
      <w:pPr>
        <w:keepNext w:val="0"/>
        <w:keepLines w:val="0"/>
        <w:pageBreakBefore w:val="0"/>
        <w:widowControl w:val="0"/>
        <w:kinsoku/>
        <w:wordWrap/>
        <w:overflowPunct/>
        <w:topLinePunct w:val="0"/>
        <w:autoSpaceDE/>
        <w:autoSpaceDN/>
        <w:bidi w:val="0"/>
        <w:adjustRightInd/>
        <w:snapToGrid/>
        <w:spacing w:line="520" w:lineRule="exact"/>
        <w:ind w:left="0" w:right="0" w:firstLine="552" w:firstLineChars="200"/>
        <w:textAlignment w:val="auto"/>
        <w:rPr>
          <w:rFonts w:ascii="宋体" w:hAnsi="宋体" w:eastAsia="宋体" w:cs="宋体"/>
          <w:color w:val="auto"/>
          <w:sz w:val="28"/>
          <w:szCs w:val="28"/>
        </w:rPr>
      </w:pPr>
      <w:r>
        <w:rPr>
          <w:rFonts w:ascii="宋体" w:hAnsi="宋体" w:eastAsia="宋体" w:cs="宋体"/>
          <w:color w:val="auto"/>
          <w:spacing w:val="-2"/>
          <w:sz w:val="28"/>
          <w:szCs w:val="28"/>
        </w:rPr>
        <w:t>下古生界丹凤岩群b岩组（Pz</w:t>
      </w:r>
      <w:r>
        <w:rPr>
          <w:rFonts w:ascii="宋体" w:hAnsi="宋体" w:eastAsia="宋体" w:cs="宋体"/>
          <w:color w:val="auto"/>
          <w:spacing w:val="-2"/>
          <w:position w:val="-1"/>
          <w:sz w:val="28"/>
          <w:szCs w:val="28"/>
        </w:rPr>
        <w:t>1</w:t>
      </w:r>
      <w:r>
        <w:rPr>
          <w:rFonts w:ascii="宋体" w:hAnsi="宋体" w:eastAsia="宋体" w:cs="宋体"/>
          <w:color w:val="auto"/>
          <w:spacing w:val="-2"/>
          <w:sz w:val="28"/>
          <w:szCs w:val="28"/>
        </w:rPr>
        <w:t>D</w:t>
      </w:r>
      <w:r>
        <w:rPr>
          <w:rFonts w:ascii="宋体" w:hAnsi="宋体" w:eastAsia="宋体" w:cs="宋体"/>
          <w:color w:val="auto"/>
          <w:spacing w:val="-2"/>
          <w:position w:val="11"/>
          <w:sz w:val="28"/>
          <w:szCs w:val="28"/>
        </w:rPr>
        <w:t>b</w:t>
      </w:r>
      <w:r>
        <w:rPr>
          <w:rFonts w:ascii="宋体" w:hAnsi="宋体" w:eastAsia="宋体" w:cs="宋体"/>
          <w:color w:val="auto"/>
          <w:spacing w:val="-10"/>
          <w:sz w:val="28"/>
          <w:szCs w:val="28"/>
        </w:rPr>
        <w:t>）：</w:t>
      </w:r>
      <w:r>
        <w:rPr>
          <w:rFonts w:ascii="宋体" w:hAnsi="宋体" w:eastAsia="宋体" w:cs="宋体"/>
          <w:color w:val="auto"/>
          <w:spacing w:val="-2"/>
          <w:sz w:val="28"/>
          <w:szCs w:val="28"/>
        </w:rPr>
        <w:t>出露于工作区中部，北西—南</w:t>
      </w:r>
      <w:r>
        <w:rPr>
          <w:rFonts w:ascii="宋体" w:hAnsi="宋体" w:eastAsia="宋体" w:cs="宋体"/>
          <w:color w:val="auto"/>
          <w:spacing w:val="-3"/>
          <w:sz w:val="28"/>
          <w:szCs w:val="28"/>
        </w:rPr>
        <w:t>东走向。岩性以</w:t>
      </w:r>
      <w:r>
        <w:rPr>
          <w:rFonts w:ascii="宋体" w:hAnsi="宋体" w:eastAsia="宋体" w:cs="宋体"/>
          <w:color w:val="auto"/>
          <w:spacing w:val="-1"/>
          <w:sz w:val="28"/>
          <w:szCs w:val="28"/>
        </w:rPr>
        <w:t>绢云绿泥钠长片岩为主，夹大理岩透镜体。厚</w:t>
      </w:r>
      <w:r>
        <w:rPr>
          <w:rFonts w:ascii="宋体" w:hAnsi="宋体" w:eastAsia="宋体" w:cs="宋体"/>
          <w:color w:val="auto"/>
          <w:spacing w:val="-2"/>
          <w:sz w:val="28"/>
          <w:szCs w:val="28"/>
        </w:rPr>
        <w:t>度约580</w:t>
      </w:r>
      <w:r>
        <w:rPr>
          <w:rFonts w:hint="eastAsia" w:cs="宋体"/>
          <w:color w:val="auto"/>
          <w:spacing w:val="-2"/>
          <w:sz w:val="28"/>
          <w:szCs w:val="28"/>
          <w:lang w:val="en-US" w:eastAsia="zh-CN"/>
        </w:rPr>
        <w:t>m</w:t>
      </w:r>
      <w:r>
        <w:rPr>
          <w:rFonts w:ascii="宋体" w:hAnsi="宋体" w:eastAsia="宋体" w:cs="宋体"/>
          <w:color w:val="auto"/>
          <w:spacing w:val="-2"/>
          <w:sz w:val="28"/>
          <w:szCs w:val="28"/>
        </w:rPr>
        <w:t>，产状</w:t>
      </w:r>
      <w:r>
        <w:rPr>
          <w:rFonts w:ascii="宋体" w:hAnsi="宋体" w:eastAsia="宋体" w:cs="宋体"/>
          <w:color w:val="auto"/>
          <w:spacing w:val="-4"/>
          <w:sz w:val="28"/>
          <w:szCs w:val="28"/>
        </w:rPr>
        <w:t>25</w:t>
      </w:r>
      <w:r>
        <w:rPr>
          <w:rFonts w:ascii="宋体" w:hAnsi="宋体" w:eastAsia="宋体" w:cs="宋体"/>
          <w:color w:val="auto"/>
          <w:spacing w:val="2"/>
          <w:sz w:val="28"/>
          <w:szCs w:val="28"/>
        </w:rPr>
        <w:t>°</w:t>
      </w:r>
      <w:r>
        <w:rPr>
          <w:rFonts w:ascii="宋体" w:hAnsi="宋体" w:eastAsia="宋体" w:cs="宋体"/>
          <w:color w:val="auto"/>
          <w:spacing w:val="-2"/>
          <w:sz w:val="28"/>
          <w:szCs w:val="28"/>
        </w:rPr>
        <w:t>-40°∠</w:t>
      </w:r>
      <w:r>
        <w:rPr>
          <w:rFonts w:ascii="宋体" w:hAnsi="宋体" w:eastAsia="宋体" w:cs="宋体"/>
          <w:color w:val="auto"/>
          <w:spacing w:val="-4"/>
          <w:sz w:val="28"/>
          <w:szCs w:val="28"/>
        </w:rPr>
        <w:t>45</w:t>
      </w:r>
      <w:r>
        <w:rPr>
          <w:rFonts w:ascii="宋体" w:hAnsi="宋体" w:eastAsia="宋体" w:cs="宋体"/>
          <w:color w:val="auto"/>
          <w:spacing w:val="2"/>
          <w:sz w:val="28"/>
          <w:szCs w:val="28"/>
        </w:rPr>
        <w:t>°</w:t>
      </w:r>
      <w:r>
        <w:rPr>
          <w:rFonts w:ascii="宋体" w:hAnsi="宋体" w:eastAsia="宋体" w:cs="宋体"/>
          <w:color w:val="auto"/>
          <w:spacing w:val="-2"/>
          <w:sz w:val="28"/>
          <w:szCs w:val="28"/>
        </w:rPr>
        <w:t>-62°。</w:t>
      </w:r>
    </w:p>
    <w:p w14:paraId="611A10D2">
      <w:pPr>
        <w:keepNext w:val="0"/>
        <w:keepLines w:val="0"/>
        <w:pageBreakBefore w:val="0"/>
        <w:widowControl w:val="0"/>
        <w:kinsoku/>
        <w:wordWrap/>
        <w:overflowPunct/>
        <w:topLinePunct w:val="0"/>
        <w:autoSpaceDE/>
        <w:autoSpaceDN/>
        <w:bidi w:val="0"/>
        <w:adjustRightInd/>
        <w:snapToGrid/>
        <w:spacing w:line="520" w:lineRule="exact"/>
        <w:ind w:left="0" w:right="0" w:firstLine="552" w:firstLineChars="200"/>
        <w:textAlignment w:val="auto"/>
        <w:rPr>
          <w:rFonts w:ascii="宋体" w:hAnsi="宋体" w:eastAsia="宋体" w:cs="宋体"/>
          <w:color w:val="auto"/>
          <w:sz w:val="28"/>
          <w:szCs w:val="28"/>
        </w:rPr>
      </w:pPr>
      <w:r>
        <w:rPr>
          <w:rFonts w:ascii="宋体" w:hAnsi="宋体" w:eastAsia="宋体" w:cs="宋体"/>
          <w:color w:val="auto"/>
          <w:spacing w:val="-2"/>
          <w:sz w:val="28"/>
          <w:szCs w:val="28"/>
        </w:rPr>
        <w:t>下古生界丹凤岩群c岩组（Pz</w:t>
      </w:r>
      <w:r>
        <w:rPr>
          <w:rFonts w:ascii="宋体" w:hAnsi="宋体" w:eastAsia="宋体" w:cs="宋体"/>
          <w:color w:val="auto"/>
          <w:spacing w:val="-2"/>
          <w:position w:val="-1"/>
          <w:sz w:val="28"/>
          <w:szCs w:val="28"/>
        </w:rPr>
        <w:t>1</w:t>
      </w:r>
      <w:r>
        <w:rPr>
          <w:rFonts w:ascii="宋体" w:hAnsi="宋体" w:eastAsia="宋体" w:cs="宋体"/>
          <w:color w:val="auto"/>
          <w:spacing w:val="-2"/>
          <w:sz w:val="28"/>
          <w:szCs w:val="28"/>
        </w:rPr>
        <w:t>D</w:t>
      </w:r>
      <w:r>
        <w:rPr>
          <w:rFonts w:ascii="宋体" w:hAnsi="宋体" w:eastAsia="宋体" w:cs="宋体"/>
          <w:color w:val="auto"/>
          <w:spacing w:val="-2"/>
          <w:position w:val="11"/>
          <w:sz w:val="28"/>
          <w:szCs w:val="28"/>
        </w:rPr>
        <w:t>c</w:t>
      </w:r>
      <w:r>
        <w:rPr>
          <w:rFonts w:ascii="宋体" w:hAnsi="宋体" w:eastAsia="宋体" w:cs="宋体"/>
          <w:color w:val="auto"/>
          <w:spacing w:val="-10"/>
          <w:sz w:val="28"/>
          <w:szCs w:val="28"/>
        </w:rPr>
        <w:t>）：</w:t>
      </w:r>
      <w:r>
        <w:rPr>
          <w:rFonts w:ascii="宋体" w:hAnsi="宋体" w:eastAsia="宋体" w:cs="宋体"/>
          <w:color w:val="auto"/>
          <w:spacing w:val="-2"/>
          <w:sz w:val="28"/>
          <w:szCs w:val="28"/>
        </w:rPr>
        <w:t>出露于工作区</w:t>
      </w:r>
      <w:r>
        <w:rPr>
          <w:rFonts w:ascii="宋体" w:hAnsi="宋体" w:eastAsia="宋体" w:cs="宋体"/>
          <w:color w:val="auto"/>
          <w:spacing w:val="-3"/>
          <w:sz w:val="28"/>
          <w:szCs w:val="28"/>
        </w:rPr>
        <w:t>北部李家庄一带，北西—南东走</w:t>
      </w:r>
      <w:r>
        <w:rPr>
          <w:rFonts w:ascii="宋体" w:hAnsi="宋体" w:eastAsia="宋体" w:cs="宋体"/>
          <w:color w:val="auto"/>
          <w:spacing w:val="-6"/>
          <w:sz w:val="28"/>
          <w:szCs w:val="28"/>
        </w:rPr>
        <w:t>向，岩性主要为灰色含炭钙质千枚岩、含炭大理岩化灰岩为主，夹大理岩透镜体。厚度</w:t>
      </w:r>
      <w:r>
        <w:rPr>
          <w:rFonts w:ascii="宋体" w:hAnsi="宋体" w:eastAsia="宋体" w:cs="宋体"/>
          <w:color w:val="auto"/>
          <w:spacing w:val="-3"/>
          <w:sz w:val="28"/>
          <w:szCs w:val="28"/>
        </w:rPr>
        <w:t>约475</w:t>
      </w:r>
      <w:r>
        <w:rPr>
          <w:rFonts w:hint="eastAsia" w:cs="宋体"/>
          <w:color w:val="auto"/>
          <w:spacing w:val="-4"/>
          <w:sz w:val="28"/>
          <w:szCs w:val="28"/>
          <w:lang w:val="en-US" w:eastAsia="zh-CN"/>
        </w:rPr>
        <w:t>m</w:t>
      </w:r>
      <w:r>
        <w:rPr>
          <w:rFonts w:ascii="宋体" w:hAnsi="宋体" w:eastAsia="宋体" w:cs="宋体"/>
          <w:color w:val="auto"/>
          <w:spacing w:val="-3"/>
          <w:sz w:val="28"/>
          <w:szCs w:val="28"/>
        </w:rPr>
        <w:t>，产状</w:t>
      </w:r>
      <w:r>
        <w:rPr>
          <w:rFonts w:ascii="宋体" w:hAnsi="宋体" w:eastAsia="宋体" w:cs="宋体"/>
          <w:color w:val="auto"/>
          <w:spacing w:val="-4"/>
          <w:sz w:val="28"/>
          <w:szCs w:val="28"/>
        </w:rPr>
        <w:t>30</w:t>
      </w:r>
      <w:r>
        <w:rPr>
          <w:rFonts w:ascii="宋体" w:hAnsi="宋体" w:eastAsia="宋体" w:cs="宋体"/>
          <w:color w:val="auto"/>
          <w:spacing w:val="2"/>
          <w:sz w:val="28"/>
          <w:szCs w:val="28"/>
        </w:rPr>
        <w:t>°</w:t>
      </w:r>
      <w:r>
        <w:rPr>
          <w:rFonts w:ascii="宋体" w:hAnsi="宋体" w:eastAsia="宋体" w:cs="宋体"/>
          <w:color w:val="auto"/>
          <w:spacing w:val="-3"/>
          <w:sz w:val="28"/>
          <w:szCs w:val="28"/>
        </w:rPr>
        <w:t>-45°∠</w:t>
      </w:r>
      <w:r>
        <w:rPr>
          <w:rFonts w:ascii="宋体" w:hAnsi="宋体" w:eastAsia="宋体" w:cs="宋体"/>
          <w:color w:val="auto"/>
          <w:spacing w:val="-4"/>
          <w:sz w:val="28"/>
          <w:szCs w:val="28"/>
        </w:rPr>
        <w:t>58</w:t>
      </w:r>
      <w:r>
        <w:rPr>
          <w:rFonts w:ascii="宋体" w:hAnsi="宋体" w:eastAsia="宋体" w:cs="宋体"/>
          <w:color w:val="auto"/>
          <w:spacing w:val="2"/>
          <w:sz w:val="28"/>
          <w:szCs w:val="28"/>
        </w:rPr>
        <w:t>°</w:t>
      </w:r>
      <w:r>
        <w:rPr>
          <w:rFonts w:ascii="宋体" w:hAnsi="宋体" w:eastAsia="宋体" w:cs="宋体"/>
          <w:color w:val="auto"/>
          <w:spacing w:val="-3"/>
          <w:sz w:val="28"/>
          <w:szCs w:val="28"/>
        </w:rPr>
        <w:t>-65°。此地层为区内方解石矿的赋矿层位，灰白色大</w:t>
      </w:r>
      <w:r>
        <w:rPr>
          <w:rFonts w:ascii="宋体" w:hAnsi="宋体" w:eastAsia="宋体" w:cs="宋体"/>
          <w:color w:val="auto"/>
          <w:spacing w:val="-4"/>
          <w:sz w:val="28"/>
          <w:szCs w:val="28"/>
        </w:rPr>
        <w:t>理岩</w:t>
      </w:r>
      <w:r>
        <w:rPr>
          <w:rFonts w:ascii="宋体" w:hAnsi="宋体" w:eastAsia="宋体" w:cs="宋体"/>
          <w:color w:val="auto"/>
          <w:sz w:val="28"/>
          <w:szCs w:val="28"/>
        </w:rPr>
        <w:t>透镜体为矿体，矿体总体走向</w:t>
      </w:r>
      <w:r>
        <w:rPr>
          <w:rFonts w:ascii="宋体" w:hAnsi="宋体" w:eastAsia="宋体" w:cs="宋体"/>
          <w:color w:val="auto"/>
          <w:spacing w:val="-4"/>
          <w:sz w:val="28"/>
          <w:szCs w:val="28"/>
        </w:rPr>
        <w:t>125</w:t>
      </w:r>
      <w:r>
        <w:rPr>
          <w:rFonts w:ascii="宋体" w:hAnsi="宋体" w:eastAsia="宋体" w:cs="宋体"/>
          <w:color w:val="auto"/>
          <w:spacing w:val="2"/>
          <w:sz w:val="28"/>
          <w:szCs w:val="28"/>
        </w:rPr>
        <w:t>°</w:t>
      </w:r>
      <w:r>
        <w:rPr>
          <w:rFonts w:ascii="宋体" w:hAnsi="宋体" w:eastAsia="宋体" w:cs="宋体"/>
          <w:color w:val="auto"/>
          <w:sz w:val="28"/>
          <w:szCs w:val="28"/>
        </w:rPr>
        <w:t>-130°,整体向北东陡倾，产状</w:t>
      </w:r>
      <w:r>
        <w:rPr>
          <w:rFonts w:ascii="宋体" w:hAnsi="宋体" w:eastAsia="宋体" w:cs="宋体"/>
          <w:color w:val="auto"/>
          <w:spacing w:val="-4"/>
          <w:sz w:val="28"/>
          <w:szCs w:val="28"/>
        </w:rPr>
        <w:t>35</w:t>
      </w:r>
      <w:r>
        <w:rPr>
          <w:rFonts w:ascii="宋体" w:hAnsi="宋体" w:eastAsia="宋体" w:cs="宋体"/>
          <w:color w:val="auto"/>
          <w:spacing w:val="2"/>
          <w:sz w:val="28"/>
          <w:szCs w:val="28"/>
        </w:rPr>
        <w:t>°</w:t>
      </w:r>
      <w:r>
        <w:rPr>
          <w:rFonts w:ascii="宋体" w:hAnsi="宋体" w:eastAsia="宋体" w:cs="宋体"/>
          <w:color w:val="auto"/>
          <w:sz w:val="28"/>
          <w:szCs w:val="28"/>
        </w:rPr>
        <w:t>-40°∠</w:t>
      </w:r>
      <w:r>
        <w:rPr>
          <w:rFonts w:ascii="宋体" w:hAnsi="宋体" w:eastAsia="宋体" w:cs="宋体"/>
          <w:color w:val="auto"/>
          <w:spacing w:val="-4"/>
          <w:sz w:val="28"/>
          <w:szCs w:val="28"/>
        </w:rPr>
        <w:t>60</w:t>
      </w:r>
      <w:r>
        <w:rPr>
          <w:rFonts w:ascii="宋体" w:hAnsi="宋体" w:eastAsia="宋体" w:cs="宋体"/>
          <w:color w:val="auto"/>
          <w:spacing w:val="2"/>
          <w:sz w:val="28"/>
          <w:szCs w:val="28"/>
        </w:rPr>
        <w:t>°</w:t>
      </w:r>
      <w:r>
        <w:rPr>
          <w:rFonts w:ascii="宋体" w:hAnsi="宋体" w:eastAsia="宋体" w:cs="宋体"/>
          <w:color w:val="auto"/>
          <w:sz w:val="28"/>
          <w:szCs w:val="28"/>
        </w:rPr>
        <w:t>-65°。</w:t>
      </w:r>
      <w:r>
        <w:rPr>
          <w:rFonts w:ascii="宋体" w:hAnsi="宋体" w:eastAsia="宋体" w:cs="宋体"/>
          <w:color w:val="auto"/>
          <w:spacing w:val="-2"/>
          <w:sz w:val="28"/>
          <w:szCs w:val="28"/>
        </w:rPr>
        <w:t>矿体沿走向延伸430m，矿体宽40-220m。</w:t>
      </w:r>
    </w:p>
    <w:p w14:paraId="32AFE99E">
      <w:pPr>
        <w:keepNext w:val="0"/>
        <w:keepLines w:val="0"/>
        <w:pageBreakBefore w:val="0"/>
        <w:widowControl w:val="0"/>
        <w:kinsoku/>
        <w:wordWrap/>
        <w:overflowPunct/>
        <w:topLinePunct w:val="0"/>
        <w:autoSpaceDE/>
        <w:autoSpaceDN/>
        <w:bidi w:val="0"/>
        <w:adjustRightInd/>
        <w:snapToGrid/>
        <w:spacing w:line="520" w:lineRule="exact"/>
        <w:ind w:left="0" w:right="0" w:firstLine="552" w:firstLineChars="200"/>
        <w:textAlignment w:val="auto"/>
        <w:rPr>
          <w:rFonts w:ascii="宋体" w:hAnsi="宋体" w:eastAsia="宋体" w:cs="宋体"/>
          <w:color w:val="auto"/>
          <w:sz w:val="28"/>
          <w:szCs w:val="28"/>
        </w:rPr>
      </w:pPr>
      <w:r>
        <w:rPr>
          <w:rFonts w:ascii="宋体" w:hAnsi="宋体" w:eastAsia="宋体" w:cs="宋体"/>
          <w:color w:val="auto"/>
          <w:spacing w:val="-2"/>
          <w:sz w:val="28"/>
          <w:szCs w:val="28"/>
        </w:rPr>
        <w:t>主要岩性特征为：</w:t>
      </w:r>
    </w:p>
    <w:p w14:paraId="4FBE45DC">
      <w:pPr>
        <w:keepNext w:val="0"/>
        <w:keepLines w:val="0"/>
        <w:pageBreakBefore w:val="0"/>
        <w:widowControl w:val="0"/>
        <w:kinsoku/>
        <w:wordWrap/>
        <w:overflowPunct/>
        <w:topLinePunct w:val="0"/>
        <w:autoSpaceDE/>
        <w:autoSpaceDN/>
        <w:bidi w:val="0"/>
        <w:adjustRightInd/>
        <w:snapToGrid/>
        <w:spacing w:line="520" w:lineRule="exact"/>
        <w:ind w:left="0" w:right="0" w:firstLine="540" w:firstLineChars="200"/>
        <w:jc w:val="both"/>
        <w:textAlignment w:val="auto"/>
        <w:rPr>
          <w:rFonts w:ascii="宋体" w:hAnsi="宋体" w:eastAsia="宋体" w:cs="宋体"/>
          <w:color w:val="auto"/>
          <w:sz w:val="28"/>
          <w:szCs w:val="28"/>
        </w:rPr>
      </w:pPr>
      <w:r>
        <w:rPr>
          <w:rFonts w:ascii="宋体" w:hAnsi="宋体" w:eastAsia="宋体" w:cs="宋体"/>
          <w:color w:val="auto"/>
          <w:spacing w:val="-5"/>
          <w:sz w:val="28"/>
          <w:szCs w:val="28"/>
        </w:rPr>
        <w:t>灰色含炭钙质千枚岩：灰色，显微鳞片粒状变晶结构，千</w:t>
      </w:r>
      <w:r>
        <w:rPr>
          <w:rFonts w:ascii="宋体" w:hAnsi="宋体" w:eastAsia="宋体" w:cs="宋体"/>
          <w:color w:val="auto"/>
          <w:spacing w:val="-6"/>
          <w:sz w:val="28"/>
          <w:szCs w:val="28"/>
        </w:rPr>
        <w:t>枚状构造。主要矿物成分：方解石约65%，炭质约14%，绢云母约10%，其次有绿泥石、白云母、石英、金属矿物等。</w:t>
      </w:r>
      <w:r>
        <w:rPr>
          <w:rFonts w:ascii="宋体" w:hAnsi="宋体" w:eastAsia="宋体" w:cs="宋体"/>
          <w:color w:val="auto"/>
          <w:spacing w:val="2"/>
          <w:sz w:val="28"/>
          <w:szCs w:val="28"/>
        </w:rPr>
        <w:t>方解石呈它形粒状，微晶-细晶状，可见微晶集合体呈条带状或薄层状，细晶状它形粒</w:t>
      </w:r>
      <w:r>
        <w:rPr>
          <w:rFonts w:ascii="宋体" w:hAnsi="宋体" w:eastAsia="宋体" w:cs="宋体"/>
          <w:color w:val="auto"/>
          <w:spacing w:val="-6"/>
          <w:sz w:val="28"/>
          <w:szCs w:val="28"/>
        </w:rPr>
        <w:t>状方解石集合体呈扁平透镜状。炭质呈隐晶质、片状，集合体呈暗色薄层或条带。绢云</w:t>
      </w:r>
      <w:r>
        <w:rPr>
          <w:rFonts w:ascii="宋体" w:hAnsi="宋体" w:eastAsia="宋体" w:cs="宋体"/>
          <w:color w:val="auto"/>
          <w:spacing w:val="-1"/>
          <w:sz w:val="28"/>
          <w:szCs w:val="28"/>
        </w:rPr>
        <w:t>母呈鳞片状，白云母呈片状，绿泥石呈片状，大致定向排列，集合体呈条</w:t>
      </w:r>
      <w:r>
        <w:rPr>
          <w:rFonts w:ascii="宋体" w:hAnsi="宋体" w:eastAsia="宋体" w:cs="宋体"/>
          <w:color w:val="auto"/>
          <w:spacing w:val="-2"/>
          <w:sz w:val="28"/>
          <w:szCs w:val="28"/>
        </w:rPr>
        <w:t>带状。石英呈</w:t>
      </w:r>
      <w:r>
        <w:rPr>
          <w:rFonts w:ascii="宋体" w:hAnsi="宋体" w:eastAsia="宋体" w:cs="宋体"/>
          <w:color w:val="auto"/>
          <w:spacing w:val="-6"/>
          <w:sz w:val="28"/>
          <w:szCs w:val="28"/>
        </w:rPr>
        <w:t>它形粒状，稀疏杂乱分布。岩石以钙质薄层为主，其次是炭质，再次为泥质。钙质与炭质薄层大致相间排列。变质矿物组合为：绢云母+绿泥石+方解石等，变质程度相当于绿</w:t>
      </w:r>
      <w:r>
        <w:rPr>
          <w:rFonts w:ascii="宋体" w:hAnsi="宋体" w:eastAsia="宋体" w:cs="宋体"/>
          <w:color w:val="auto"/>
          <w:spacing w:val="-1"/>
          <w:sz w:val="28"/>
          <w:szCs w:val="28"/>
        </w:rPr>
        <w:t>片岩相。岩石后期变形较强，形成显微褶皱状。沿裂隙充填有</w:t>
      </w:r>
      <w:r>
        <w:rPr>
          <w:rFonts w:ascii="宋体" w:hAnsi="宋体" w:eastAsia="宋体" w:cs="宋体"/>
          <w:color w:val="auto"/>
          <w:spacing w:val="-2"/>
          <w:sz w:val="28"/>
          <w:szCs w:val="28"/>
        </w:rPr>
        <w:t>后期方解石细脉。</w:t>
      </w:r>
    </w:p>
    <w:p w14:paraId="1CAEE97A">
      <w:pPr>
        <w:keepNext w:val="0"/>
        <w:keepLines w:val="0"/>
        <w:pageBreakBefore w:val="0"/>
        <w:widowControl w:val="0"/>
        <w:kinsoku/>
        <w:wordWrap/>
        <w:overflowPunct/>
        <w:topLinePunct w:val="0"/>
        <w:autoSpaceDE/>
        <w:autoSpaceDN/>
        <w:bidi w:val="0"/>
        <w:adjustRightInd/>
        <w:snapToGrid/>
        <w:spacing w:line="520" w:lineRule="exact"/>
        <w:ind w:left="0" w:right="0" w:firstLine="556" w:firstLineChars="200"/>
        <w:jc w:val="both"/>
        <w:textAlignment w:val="auto"/>
        <w:rPr>
          <w:rFonts w:ascii="宋体" w:hAnsi="宋体" w:eastAsia="宋体" w:cs="宋体"/>
          <w:color w:val="auto"/>
          <w:sz w:val="28"/>
          <w:szCs w:val="28"/>
        </w:rPr>
      </w:pPr>
      <w:r>
        <w:rPr>
          <w:rFonts w:ascii="宋体" w:hAnsi="宋体" w:eastAsia="宋体" w:cs="宋体"/>
          <w:color w:val="auto"/>
          <w:spacing w:val="-1"/>
          <w:sz w:val="28"/>
          <w:szCs w:val="28"/>
        </w:rPr>
        <w:t>灰白色块状大理岩：灰白色，细粒变晶结构，块状构造，主要矿</w:t>
      </w:r>
      <w:r>
        <w:rPr>
          <w:rFonts w:ascii="宋体" w:hAnsi="宋体" w:eastAsia="宋体" w:cs="宋体"/>
          <w:color w:val="auto"/>
          <w:spacing w:val="-2"/>
          <w:sz w:val="28"/>
          <w:szCs w:val="28"/>
        </w:rPr>
        <w:t>物成分：方解石约</w:t>
      </w:r>
      <w:r>
        <w:rPr>
          <w:rFonts w:ascii="宋体" w:hAnsi="宋体" w:eastAsia="宋体" w:cs="宋体"/>
          <w:color w:val="auto"/>
          <w:spacing w:val="-3"/>
          <w:sz w:val="28"/>
          <w:szCs w:val="28"/>
        </w:rPr>
        <w:t>99%，石英、金属矿物少量。方解石有2种状态，1是显</w:t>
      </w:r>
      <w:r>
        <w:rPr>
          <w:rFonts w:ascii="宋体" w:hAnsi="宋体" w:eastAsia="宋体" w:cs="宋体"/>
          <w:color w:val="auto"/>
          <w:spacing w:val="-4"/>
          <w:sz w:val="28"/>
          <w:szCs w:val="28"/>
        </w:rPr>
        <w:t>微粒状方解石，它形粒状，集合</w:t>
      </w:r>
      <w:r>
        <w:rPr>
          <w:rFonts w:ascii="宋体" w:hAnsi="宋体" w:eastAsia="宋体" w:cs="宋体"/>
          <w:color w:val="auto"/>
          <w:spacing w:val="-3"/>
          <w:sz w:val="28"/>
          <w:szCs w:val="28"/>
        </w:rPr>
        <w:t>体呈不规则团块；2是显微-细粒变晶状方解石，它形粒状、透镜状，解理、机械双晶发</w:t>
      </w:r>
      <w:r>
        <w:rPr>
          <w:rFonts w:ascii="宋体" w:hAnsi="宋体" w:eastAsia="宋体" w:cs="宋体"/>
          <w:color w:val="auto"/>
          <w:spacing w:val="-8"/>
          <w:sz w:val="28"/>
          <w:szCs w:val="28"/>
        </w:rPr>
        <w:t>育，长轴略有定向，紧密镶嵌，集合体形成岩石主体。微量石英呈它形粒状，稀疏分布。</w:t>
      </w:r>
      <w:r>
        <w:rPr>
          <w:rFonts w:ascii="宋体" w:hAnsi="宋体" w:eastAsia="宋体" w:cs="宋体"/>
          <w:color w:val="auto"/>
          <w:spacing w:val="-1"/>
          <w:sz w:val="28"/>
          <w:szCs w:val="28"/>
        </w:rPr>
        <w:t>微晶金属矿物稀疏分布。后期裂隙中充填它形粒</w:t>
      </w:r>
      <w:r>
        <w:rPr>
          <w:rFonts w:ascii="宋体" w:hAnsi="宋体" w:eastAsia="宋体" w:cs="宋体"/>
          <w:color w:val="auto"/>
          <w:spacing w:val="-2"/>
          <w:sz w:val="28"/>
          <w:szCs w:val="28"/>
        </w:rPr>
        <w:t>状、长条状方解石细脉。</w:t>
      </w:r>
    </w:p>
    <w:p w14:paraId="4AD79FFA">
      <w:pPr>
        <w:keepNext w:val="0"/>
        <w:keepLines w:val="0"/>
        <w:pageBreakBefore w:val="0"/>
        <w:widowControl w:val="0"/>
        <w:kinsoku/>
        <w:wordWrap/>
        <w:overflowPunct/>
        <w:topLinePunct w:val="0"/>
        <w:autoSpaceDE/>
        <w:autoSpaceDN/>
        <w:bidi w:val="0"/>
        <w:adjustRightInd/>
        <w:snapToGrid/>
        <w:spacing w:line="520" w:lineRule="exact"/>
        <w:ind w:left="0" w:right="0" w:firstLine="556" w:firstLineChars="200"/>
        <w:textAlignment w:val="auto"/>
        <w:rPr>
          <w:rFonts w:ascii="宋体" w:hAnsi="宋体" w:eastAsia="宋体" w:cs="宋体"/>
          <w:color w:val="auto"/>
          <w:sz w:val="28"/>
          <w:szCs w:val="28"/>
        </w:rPr>
      </w:pPr>
      <w:r>
        <w:rPr>
          <w:rFonts w:ascii="宋体" w:hAnsi="宋体" w:eastAsia="宋体" w:cs="宋体"/>
          <w:color w:val="auto"/>
          <w:spacing w:val="-1"/>
          <w:sz w:val="28"/>
          <w:szCs w:val="28"/>
        </w:rPr>
        <w:t>第四系（Q）,零星分布于小峪河两侧，按照时代将</w:t>
      </w:r>
      <w:r>
        <w:rPr>
          <w:rFonts w:ascii="宋体" w:hAnsi="宋体" w:eastAsia="宋体" w:cs="宋体"/>
          <w:color w:val="auto"/>
          <w:spacing w:val="-2"/>
          <w:sz w:val="28"/>
          <w:szCs w:val="28"/>
        </w:rPr>
        <w:t>地层划分为更新统（Qp）和全新</w:t>
      </w:r>
      <w:r>
        <w:rPr>
          <w:rFonts w:ascii="宋体" w:hAnsi="宋体" w:eastAsia="宋体" w:cs="宋体"/>
          <w:color w:val="auto"/>
          <w:spacing w:val="-3"/>
          <w:sz w:val="28"/>
          <w:szCs w:val="28"/>
        </w:rPr>
        <w:t>统(Qh)。</w:t>
      </w:r>
    </w:p>
    <w:p w14:paraId="41089801">
      <w:pPr>
        <w:keepNext w:val="0"/>
        <w:keepLines w:val="0"/>
        <w:pageBreakBefore w:val="0"/>
        <w:widowControl w:val="0"/>
        <w:kinsoku/>
        <w:wordWrap/>
        <w:overflowPunct/>
        <w:topLinePunct w:val="0"/>
        <w:autoSpaceDE/>
        <w:autoSpaceDN/>
        <w:bidi w:val="0"/>
        <w:adjustRightInd/>
        <w:snapToGrid/>
        <w:spacing w:line="520" w:lineRule="exact"/>
        <w:ind w:left="0" w:right="0" w:firstLine="556" w:firstLineChars="200"/>
        <w:jc w:val="both"/>
        <w:textAlignment w:val="auto"/>
        <w:rPr>
          <w:rFonts w:ascii="宋体" w:hAnsi="宋体" w:eastAsia="宋体" w:cs="宋体"/>
          <w:color w:val="auto"/>
          <w:sz w:val="28"/>
          <w:szCs w:val="28"/>
        </w:rPr>
      </w:pPr>
      <w:r>
        <w:rPr>
          <w:rFonts w:ascii="宋体" w:hAnsi="宋体" w:eastAsia="宋体" w:cs="宋体"/>
          <w:color w:val="auto"/>
          <w:spacing w:val="-1"/>
          <w:sz w:val="28"/>
          <w:szCs w:val="28"/>
        </w:rPr>
        <w:t>更新统（Qp</w:t>
      </w:r>
      <w:r>
        <w:rPr>
          <w:rFonts w:ascii="宋体" w:hAnsi="宋体" w:eastAsia="宋体" w:cs="宋体"/>
          <w:color w:val="auto"/>
          <w:spacing w:val="1"/>
          <w:sz w:val="28"/>
          <w:szCs w:val="28"/>
        </w:rPr>
        <w:t>）：</w:t>
      </w:r>
      <w:r>
        <w:rPr>
          <w:rFonts w:ascii="宋体" w:hAnsi="宋体" w:eastAsia="宋体" w:cs="宋体"/>
          <w:color w:val="auto"/>
          <w:spacing w:val="-1"/>
          <w:sz w:val="28"/>
          <w:szCs w:val="28"/>
        </w:rPr>
        <w:t>分布于小峪河河床两侧，与上覆全新统（</w:t>
      </w:r>
      <w:r>
        <w:rPr>
          <w:rFonts w:ascii="宋体" w:hAnsi="宋体" w:eastAsia="宋体" w:cs="宋体"/>
          <w:color w:val="auto"/>
          <w:spacing w:val="-2"/>
          <w:sz w:val="28"/>
          <w:szCs w:val="28"/>
        </w:rPr>
        <w:t>Qh）及下伏各地层之上呈</w:t>
      </w:r>
      <w:r>
        <w:rPr>
          <w:rFonts w:ascii="宋体" w:hAnsi="宋体" w:eastAsia="宋体" w:cs="宋体"/>
          <w:color w:val="auto"/>
          <w:spacing w:val="-1"/>
          <w:sz w:val="28"/>
          <w:szCs w:val="28"/>
        </w:rPr>
        <w:t>角度不整合接触，上部岩性为黄土层夹钙质结核，下部为砂砾石、砾石层。多</w:t>
      </w:r>
      <w:r>
        <w:rPr>
          <w:rFonts w:ascii="宋体" w:hAnsi="宋体" w:eastAsia="宋体" w:cs="宋体"/>
          <w:color w:val="auto"/>
          <w:spacing w:val="-2"/>
          <w:sz w:val="28"/>
          <w:szCs w:val="28"/>
        </w:rPr>
        <w:t>形成陡坎地貌，受地形影响，厚度变化较大，一般3～20</w:t>
      </w:r>
      <w:r>
        <w:rPr>
          <w:rFonts w:ascii="宋体" w:hAnsi="宋体" w:eastAsia="宋体" w:cs="宋体"/>
          <w:color w:val="auto"/>
          <w:spacing w:val="-3"/>
          <w:sz w:val="28"/>
          <w:szCs w:val="28"/>
        </w:rPr>
        <w:t>m不等。</w:t>
      </w:r>
    </w:p>
    <w:p w14:paraId="46089BF4">
      <w:pPr>
        <w:pStyle w:val="51"/>
        <w:keepNext w:val="0"/>
        <w:keepLines w:val="0"/>
        <w:pageBreakBefore w:val="0"/>
        <w:widowControl w:val="0"/>
        <w:kinsoku/>
        <w:wordWrap/>
        <w:overflowPunct/>
        <w:topLinePunct w:val="0"/>
        <w:autoSpaceDE/>
        <w:autoSpaceDN/>
        <w:bidi w:val="0"/>
        <w:adjustRightInd/>
        <w:snapToGrid/>
        <w:spacing w:line="520" w:lineRule="exact"/>
        <w:ind w:left="0" w:leftChars="0" w:right="0" w:firstLine="552" w:firstLineChars="200"/>
        <w:textAlignment w:val="auto"/>
        <w:rPr>
          <w:rFonts w:hint="eastAsia" w:ascii="宋体" w:hAnsi="宋体" w:eastAsia="宋体" w:cs="宋体"/>
          <w:color w:val="auto"/>
          <w:kern w:val="2"/>
          <w:sz w:val="28"/>
          <w:szCs w:val="28"/>
          <w:lang w:val="en-US" w:eastAsia="zh-CN" w:bidi="ar-SA"/>
        </w:rPr>
      </w:pPr>
      <w:r>
        <w:rPr>
          <w:rFonts w:ascii="宋体" w:hAnsi="宋体" w:eastAsia="宋体" w:cs="宋体"/>
          <w:color w:val="auto"/>
          <w:spacing w:val="-2"/>
          <w:sz w:val="28"/>
          <w:szCs w:val="28"/>
        </w:rPr>
        <w:t>全新统（Qh</w:t>
      </w:r>
      <w:r>
        <w:rPr>
          <w:rFonts w:ascii="宋体" w:hAnsi="宋体" w:eastAsia="宋体" w:cs="宋体"/>
          <w:color w:val="auto"/>
          <w:spacing w:val="5"/>
          <w:sz w:val="28"/>
          <w:szCs w:val="28"/>
        </w:rPr>
        <w:t>）：</w:t>
      </w:r>
      <w:r>
        <w:rPr>
          <w:rFonts w:ascii="宋体" w:hAnsi="宋体" w:eastAsia="宋体" w:cs="宋体"/>
          <w:color w:val="auto"/>
          <w:spacing w:val="-2"/>
          <w:sz w:val="28"/>
          <w:szCs w:val="28"/>
        </w:rPr>
        <w:t>分布于小峪河两侧半坡，与下伏更新统（Qp）呈角度不整合接触，</w:t>
      </w:r>
      <w:r>
        <w:rPr>
          <w:rFonts w:ascii="宋体" w:hAnsi="宋体" w:eastAsia="宋体" w:cs="宋体"/>
          <w:color w:val="auto"/>
          <w:spacing w:val="-3"/>
          <w:sz w:val="28"/>
          <w:szCs w:val="28"/>
        </w:rPr>
        <w:t>主要为砾石、砂、亚砂土、淤泥。</w:t>
      </w:r>
    </w:p>
    <w:p w14:paraId="297C0A19">
      <w:pPr>
        <w:pStyle w:val="5"/>
        <w:keepNext/>
        <w:keepLines/>
        <w:pageBreakBefore w:val="0"/>
        <w:widowControl w:val="0"/>
        <w:kinsoku/>
        <w:wordWrap/>
        <w:overflowPunct/>
        <w:topLinePunct w:val="0"/>
        <w:autoSpaceDE/>
        <w:autoSpaceDN/>
        <w:bidi w:val="0"/>
        <w:adjustRightInd/>
        <w:snapToGrid/>
        <w:ind w:firstLine="560" w:firstLineChars="200"/>
        <w:textAlignment w:val="auto"/>
        <w:rPr>
          <w:rFonts w:hint="eastAsia"/>
          <w:color w:val="auto"/>
          <w:lang w:val="en-US" w:eastAsia="zh-CN"/>
        </w:rPr>
      </w:pPr>
      <w:r>
        <w:rPr>
          <w:rFonts w:hint="eastAsia"/>
          <w:color w:val="auto"/>
          <w:lang w:val="en-US" w:eastAsia="zh-CN"/>
        </w:rPr>
        <w:t>2.3.1.2矿区构造</w:t>
      </w:r>
      <w:bookmarkEnd w:id="51"/>
      <w:bookmarkEnd w:id="52"/>
    </w:p>
    <w:p w14:paraId="2E2C0FEC">
      <w:pPr>
        <w:pStyle w:val="51"/>
        <w:keepNext w:val="0"/>
        <w:keepLines w:val="0"/>
        <w:pageBreakBefore w:val="0"/>
        <w:widowControl w:val="0"/>
        <w:kinsoku/>
        <w:wordWrap/>
        <w:overflowPunct/>
        <w:topLinePunct w:val="0"/>
        <w:autoSpaceDE/>
        <w:autoSpaceDN/>
        <w:bidi w:val="0"/>
        <w:adjustRightInd/>
        <w:snapToGrid/>
        <w:spacing w:line="520" w:lineRule="exact"/>
        <w:ind w:left="0" w:leftChars="0" w:firstLine="48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矿区构造相对较为简单，主要为一套单斜地层层序，北东向断裂及次级断层、小褶皱发育，区内片理、劈理、膝折等小构造较发育。</w:t>
      </w:r>
    </w:p>
    <w:p w14:paraId="02F57D39">
      <w:pPr>
        <w:pStyle w:val="51"/>
        <w:keepNext w:val="0"/>
        <w:keepLines w:val="0"/>
        <w:pageBreakBefore w:val="0"/>
        <w:widowControl w:val="0"/>
        <w:kinsoku/>
        <w:wordWrap/>
        <w:overflowPunct/>
        <w:topLinePunct w:val="0"/>
        <w:autoSpaceDE/>
        <w:autoSpaceDN/>
        <w:bidi w:val="0"/>
        <w:adjustRightInd/>
        <w:snapToGrid/>
        <w:spacing w:line="520" w:lineRule="exact"/>
        <w:ind w:left="0" w:leftChars="0" w:firstLine="48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(1)断裂</w:t>
      </w:r>
    </w:p>
    <w:p w14:paraId="044451F1">
      <w:pPr>
        <w:pStyle w:val="51"/>
        <w:keepNext w:val="0"/>
        <w:keepLines w:val="0"/>
        <w:pageBreakBefore w:val="0"/>
        <w:widowControl w:val="0"/>
        <w:kinsoku/>
        <w:wordWrap/>
        <w:overflowPunct/>
        <w:topLinePunct w:val="0"/>
        <w:autoSpaceDE/>
        <w:autoSpaceDN/>
        <w:bidi w:val="0"/>
        <w:adjustRightInd/>
        <w:snapToGrid/>
        <w:spacing w:line="520" w:lineRule="exact"/>
        <w:ind w:left="0" w:leftChars="0" w:firstLine="48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构造较发育，主要为韧性剪切带，次为近EW向断裂。</w:t>
      </w:r>
    </w:p>
    <w:p w14:paraId="7D481FB8">
      <w:pPr>
        <w:pStyle w:val="51"/>
        <w:keepNext w:val="0"/>
        <w:keepLines w:val="0"/>
        <w:pageBreakBefore w:val="0"/>
        <w:widowControl w:val="0"/>
        <w:kinsoku/>
        <w:wordWrap/>
        <w:overflowPunct/>
        <w:topLinePunct w:val="0"/>
        <w:autoSpaceDE/>
        <w:autoSpaceDN/>
        <w:bidi w:val="0"/>
        <w:adjustRightInd/>
        <w:snapToGrid/>
        <w:spacing w:line="520" w:lineRule="exact"/>
        <w:ind w:left="0" w:leftChars="0" w:firstLine="48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区内主要发育一条断层，位于秦岭岩群郭庄岩组(PtQg)与丹凤岩群c岩组(PzD°)接触部位，为庙坪-康家梁断裂在区内表现，为一韧性剪切带，北西西展布，产状50°∠60°，带宽1-3m，北盘上冲，剪切带内岩石较破碎，可见糜棱岩。</w:t>
      </w:r>
    </w:p>
    <w:p w14:paraId="16A38BFA">
      <w:pPr>
        <w:pStyle w:val="51"/>
        <w:keepNext w:val="0"/>
        <w:keepLines w:val="0"/>
        <w:pageBreakBefore w:val="0"/>
        <w:widowControl w:val="0"/>
        <w:kinsoku/>
        <w:wordWrap/>
        <w:overflowPunct/>
        <w:topLinePunct w:val="0"/>
        <w:autoSpaceDE/>
        <w:autoSpaceDN/>
        <w:bidi w:val="0"/>
        <w:adjustRightInd/>
        <w:snapToGrid/>
        <w:spacing w:line="520" w:lineRule="exact"/>
        <w:ind w:left="0" w:leftChars="0" w:firstLine="48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东西向断裂构造2条，地表未出露，仅在CM4坑道中控制，规模不等，走向延伸十余米，宽0.1-0.8m，产状358°-21°∠64°-68°，局部变形弯曲，充填有钙质断层泥、方解石脉，断层上下盘岩石较破碎，揉曲、裂隙发育，局部发育溶蚀孔洞，对矿体无错动。</w:t>
      </w:r>
    </w:p>
    <w:p w14:paraId="6E36D28B">
      <w:pPr>
        <w:pStyle w:val="51"/>
        <w:keepNext w:val="0"/>
        <w:keepLines w:val="0"/>
        <w:pageBreakBefore w:val="0"/>
        <w:widowControl w:val="0"/>
        <w:kinsoku/>
        <w:wordWrap/>
        <w:overflowPunct/>
        <w:topLinePunct w:val="0"/>
        <w:autoSpaceDE/>
        <w:autoSpaceDN/>
        <w:bidi w:val="0"/>
        <w:adjustRightInd/>
        <w:snapToGrid/>
        <w:spacing w:line="520" w:lineRule="exact"/>
        <w:ind w:left="0" w:leftChars="0" w:firstLine="48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(2)褶皱</w:t>
      </w:r>
    </w:p>
    <w:p w14:paraId="29A2D014">
      <w:pPr>
        <w:pStyle w:val="51"/>
        <w:keepNext w:val="0"/>
        <w:keepLines w:val="0"/>
        <w:pageBreakBefore w:val="0"/>
        <w:widowControl w:val="0"/>
        <w:kinsoku/>
        <w:wordWrap/>
        <w:overflowPunct/>
        <w:topLinePunct w:val="0"/>
        <w:autoSpaceDE/>
        <w:autoSpaceDN/>
        <w:bidi w:val="0"/>
        <w:adjustRightInd/>
        <w:snapToGrid/>
        <w:spacing w:line="520" w:lineRule="exact"/>
        <w:ind w:left="0" w:leftChars="0" w:firstLine="480"/>
        <w:textAlignment w:val="auto"/>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sz w:val="28"/>
          <w:szCs w:val="28"/>
        </w:rPr>
        <w:t>矿区位于唐藏背斜北翼，区内地层为向北东倾斜的单斜构造层，地层为下古生界丹凤岩群岩组，产状25°</w:t>
      </w:r>
      <w:r>
        <w:rPr>
          <w:rFonts w:hint="eastAsia" w:ascii="宋体" w:hAnsi="宋体" w:cs="宋体"/>
          <w:color w:val="auto"/>
          <w:sz w:val="28"/>
          <w:szCs w:val="28"/>
          <w:lang w:val="en-US" w:eastAsia="zh-CN"/>
        </w:rPr>
        <w:t>-</w:t>
      </w:r>
      <w:r>
        <w:rPr>
          <w:rFonts w:hint="eastAsia" w:ascii="宋体" w:hAnsi="宋体" w:eastAsia="宋体" w:cs="宋体"/>
          <w:color w:val="auto"/>
          <w:sz w:val="28"/>
          <w:szCs w:val="28"/>
        </w:rPr>
        <w:t>45°∠45°</w:t>
      </w:r>
      <w:r>
        <w:rPr>
          <w:rFonts w:hint="eastAsia" w:ascii="宋体" w:hAnsi="宋体" w:cs="宋体"/>
          <w:color w:val="auto"/>
          <w:sz w:val="28"/>
          <w:szCs w:val="28"/>
          <w:lang w:val="en-US" w:eastAsia="zh-CN"/>
        </w:rPr>
        <w:t>-</w:t>
      </w:r>
      <w:r>
        <w:rPr>
          <w:rFonts w:hint="eastAsia" w:ascii="宋体" w:hAnsi="宋体" w:eastAsia="宋体" w:cs="宋体"/>
          <w:color w:val="auto"/>
          <w:sz w:val="28"/>
          <w:szCs w:val="28"/>
        </w:rPr>
        <w:t>67°。在部分地段可以见到地层受到区域应力挤压而表现出波状起伏的特点。</w:t>
      </w:r>
    </w:p>
    <w:p w14:paraId="6DD9FAFB">
      <w:pPr>
        <w:pStyle w:val="5"/>
        <w:keepNext/>
        <w:keepLines/>
        <w:pageBreakBefore w:val="0"/>
        <w:widowControl w:val="0"/>
        <w:kinsoku/>
        <w:wordWrap/>
        <w:overflowPunct/>
        <w:topLinePunct w:val="0"/>
        <w:autoSpaceDE/>
        <w:autoSpaceDN/>
        <w:bidi w:val="0"/>
        <w:adjustRightInd/>
        <w:snapToGrid/>
        <w:ind w:firstLine="560" w:firstLineChars="200"/>
        <w:textAlignment w:val="auto"/>
        <w:rPr>
          <w:rFonts w:hint="eastAsia"/>
          <w:color w:val="auto"/>
          <w:lang w:val="en-US" w:eastAsia="zh-CN"/>
        </w:rPr>
      </w:pPr>
      <w:r>
        <w:rPr>
          <w:rFonts w:hint="eastAsia"/>
          <w:color w:val="auto"/>
          <w:lang w:val="en-US" w:eastAsia="zh-CN"/>
        </w:rPr>
        <w:t>2.3.1.3岩浆岩</w:t>
      </w:r>
    </w:p>
    <w:p w14:paraId="6F0C5D55">
      <w:pPr>
        <w:pageBreakBefore w:val="0"/>
        <w:widowControl/>
        <w:kinsoku/>
        <w:wordWrap/>
        <w:overflowPunct/>
        <w:topLinePunct w:val="0"/>
        <w:autoSpaceDE/>
        <w:autoSpaceDN/>
        <w:bidi w:val="0"/>
        <w:spacing w:line="560" w:lineRule="exact"/>
        <w:ind w:firstLine="560" w:firstLineChars="200"/>
        <w:textAlignment w:val="auto"/>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矿区内未见大面积岩浆岩出露，仅见少量闪长玢岩脉出露。</w:t>
      </w:r>
    </w:p>
    <w:p w14:paraId="63CF6DF9">
      <w:pPr>
        <w:pStyle w:val="4"/>
        <w:rPr>
          <w:color w:val="auto"/>
        </w:rPr>
      </w:pPr>
      <w:r>
        <w:rPr>
          <w:rFonts w:hint="eastAsia"/>
          <w:color w:val="auto"/>
        </w:rPr>
        <w:t>2.3.2水文地质条件</w:t>
      </w:r>
    </w:p>
    <w:bookmarkEnd w:id="44"/>
    <w:bookmarkEnd w:id="45"/>
    <w:bookmarkEnd w:id="46"/>
    <w:p w14:paraId="61E3C1A0">
      <w:pPr>
        <w:pStyle w:val="5"/>
        <w:keepNext/>
        <w:keepLines/>
        <w:pageBreakBefore w:val="0"/>
        <w:widowControl w:val="0"/>
        <w:kinsoku/>
        <w:wordWrap/>
        <w:overflowPunct/>
        <w:topLinePunct w:val="0"/>
        <w:autoSpaceDE/>
        <w:autoSpaceDN/>
        <w:bidi w:val="0"/>
        <w:adjustRightInd/>
        <w:snapToGrid/>
        <w:ind w:firstLine="560" w:firstLineChars="200"/>
        <w:textAlignment w:val="auto"/>
        <w:rPr>
          <w:rFonts w:hint="default"/>
          <w:color w:val="auto"/>
          <w:lang w:val="en-US" w:eastAsia="zh-CN"/>
        </w:rPr>
      </w:pPr>
      <w:bookmarkStart w:id="53" w:name="_Toc350436546"/>
      <w:r>
        <w:rPr>
          <w:rFonts w:hint="eastAsia"/>
          <w:color w:val="auto"/>
          <w:lang w:val="en-US" w:eastAsia="zh-CN"/>
        </w:rPr>
        <w:t>2.3.2.1岩(矿)层的富水性</w:t>
      </w:r>
    </w:p>
    <w:p w14:paraId="73B4C4CD">
      <w:pPr>
        <w:overflowPunct w:val="0"/>
        <w:ind w:firstLine="560"/>
        <w:rPr>
          <w:rFonts w:hint="default"/>
          <w:color w:val="auto"/>
          <w:lang w:val="en-US" w:eastAsia="zh-CN"/>
        </w:rPr>
      </w:pPr>
      <w:r>
        <w:rPr>
          <w:rFonts w:hint="default"/>
          <w:color w:val="auto"/>
          <w:lang w:val="en-US" w:eastAsia="zh-CN"/>
        </w:rPr>
        <w:t>矿区出露地层主要为下元古界秦岭岩群郭庄岩组(Pt1Qg)</w:t>
      </w:r>
      <w:r>
        <w:rPr>
          <w:rFonts w:hint="eastAsia"/>
          <w:color w:val="auto"/>
          <w:lang w:val="en-US" w:eastAsia="zh-CN"/>
        </w:rPr>
        <w:t>；</w:t>
      </w:r>
      <w:r>
        <w:rPr>
          <w:rFonts w:hint="default"/>
          <w:color w:val="auto"/>
          <w:lang w:val="en-US" w:eastAsia="zh-CN"/>
        </w:rPr>
        <w:t>下古生界丹凤岩群a岩组(Pz1Da)、b组(Pz1Db)、c岩组(Pz1Dc)依据含水介质类型，将地下水分为第四系残坡积碎石土孔隙含水层、风化裂隙含水层、构造裂隙水、碳酸盐岩岩溶水。</w:t>
      </w:r>
    </w:p>
    <w:p w14:paraId="4343027C">
      <w:pPr>
        <w:overflowPunct w:val="0"/>
        <w:ind w:firstLine="560"/>
        <w:rPr>
          <w:rFonts w:hint="default"/>
          <w:color w:val="auto"/>
          <w:lang w:val="en-US" w:eastAsia="zh-CN"/>
        </w:rPr>
      </w:pPr>
      <w:r>
        <w:rPr>
          <w:rFonts w:hint="default"/>
          <w:color w:val="auto"/>
          <w:lang w:val="en-US" w:eastAsia="zh-CN"/>
        </w:rPr>
        <w:t>①第四系孔隙含水层</w:t>
      </w:r>
      <w:r>
        <w:rPr>
          <w:rFonts w:hint="eastAsia"/>
          <w:color w:val="auto"/>
          <w:lang w:val="en-US" w:eastAsia="zh-CN"/>
        </w:rPr>
        <w:t>：</w:t>
      </w:r>
      <w:r>
        <w:rPr>
          <w:rFonts w:hint="default"/>
          <w:color w:val="auto"/>
          <w:lang w:val="en-US" w:eastAsia="zh-CN"/>
        </w:rPr>
        <w:t>赋存于第四系松散堆积层中，广泛分布于山坡及沟谷中，主要有第四系黄土及残坡积碎石土组成，厚度3-20m，季节性含水，富水性差，含水量小，给水度小。主要受大气降水补给，经孔隙向深部或地形较低处径流排泄，另外地下水也经蒸发排泄。涌水量较小，季节性变化大</w:t>
      </w:r>
      <w:r>
        <w:rPr>
          <w:rFonts w:hint="eastAsia"/>
          <w:color w:val="auto"/>
          <w:lang w:val="en-US" w:eastAsia="zh-CN"/>
        </w:rPr>
        <w:t>；</w:t>
      </w:r>
      <w:r>
        <w:rPr>
          <w:rFonts w:hint="default"/>
          <w:color w:val="auto"/>
          <w:lang w:val="en-US" w:eastAsia="zh-CN"/>
        </w:rPr>
        <w:t>地下水对矿山开采影响不大。</w:t>
      </w:r>
    </w:p>
    <w:p w14:paraId="70BF5637">
      <w:pPr>
        <w:overflowPunct w:val="0"/>
        <w:ind w:firstLine="560"/>
        <w:rPr>
          <w:rFonts w:hint="default"/>
          <w:color w:val="auto"/>
          <w:lang w:val="en-US" w:eastAsia="zh-CN"/>
        </w:rPr>
      </w:pPr>
      <w:r>
        <w:rPr>
          <w:rFonts w:hint="default"/>
          <w:color w:val="auto"/>
          <w:lang w:val="en-US" w:eastAsia="zh-CN"/>
        </w:rPr>
        <w:t>②风化裂隙含水层</w:t>
      </w:r>
      <w:r>
        <w:rPr>
          <w:rFonts w:hint="eastAsia"/>
          <w:color w:val="auto"/>
          <w:lang w:val="en-US" w:eastAsia="zh-CN"/>
        </w:rPr>
        <w:t>：</w:t>
      </w:r>
      <w:r>
        <w:rPr>
          <w:rFonts w:hint="default"/>
          <w:color w:val="auto"/>
          <w:lang w:val="en-US" w:eastAsia="zh-CN"/>
        </w:rPr>
        <w:t>全区分布，主要为秦岭岩群(Pt1Q)、丹凤岩群(Pz1D)近地表的强风化层，该层厚度5-10m，局部可达20m。受风化作用影响，岩体破碎，裂隙发育，富水性相对较好，为裂隙含水层。受大气降水及上部孔隙水的渗透补给，经裂隙向深部或沟谷迳流排泄。</w:t>
      </w:r>
    </w:p>
    <w:p w14:paraId="316D9E50">
      <w:pPr>
        <w:overflowPunct w:val="0"/>
        <w:ind w:firstLine="560"/>
        <w:rPr>
          <w:rFonts w:hint="default"/>
          <w:color w:val="auto"/>
          <w:lang w:val="en-US" w:eastAsia="zh-CN"/>
        </w:rPr>
      </w:pPr>
      <w:r>
        <w:rPr>
          <w:rFonts w:hint="default"/>
          <w:color w:val="auto"/>
          <w:lang w:val="en-US" w:eastAsia="zh-CN"/>
        </w:rPr>
        <w:t>③构造裂隙含水层</w:t>
      </w:r>
      <w:r>
        <w:rPr>
          <w:rFonts w:hint="eastAsia"/>
          <w:color w:val="auto"/>
          <w:lang w:val="en-US" w:eastAsia="zh-CN"/>
        </w:rPr>
        <w:t>：</w:t>
      </w:r>
      <w:r>
        <w:rPr>
          <w:rFonts w:hint="default"/>
          <w:color w:val="auto"/>
          <w:lang w:val="en-US" w:eastAsia="zh-CN"/>
        </w:rPr>
        <w:t>矿区位于唐藏背斜北翼，为向北东倾的单斜构造，矿床内断裂构造主要为小断层，宽度多在50cm，不连续，对矿体破坏作用较小。层间多为大理岩碎块，粒径1cm+，多以钙质胶结，少量泥质充填。构造裂隙中赋存裂隙水，裂隙紧闭、多被泥质充填，富水性一般弱一极弱，详查工作施工的9个钻孔均为干孔，岩石较破碎，未见地下水。</w:t>
      </w:r>
    </w:p>
    <w:p w14:paraId="44A87460">
      <w:pPr>
        <w:overflowPunct w:val="0"/>
        <w:ind w:firstLine="560"/>
        <w:rPr>
          <w:rFonts w:hint="eastAsia"/>
          <w:color w:val="auto"/>
          <w:lang w:val="en-US" w:eastAsia="zh-CN"/>
        </w:rPr>
      </w:pPr>
      <w:r>
        <w:rPr>
          <w:rFonts w:hint="eastAsia"/>
          <w:color w:val="auto"/>
          <w:lang w:val="en-US" w:eastAsia="zh-CN"/>
        </w:rPr>
        <w:t>④碳酸盐岩岩溶含水层：主要丹凤岩群c岩组(Pz1Dc)中大理岩矿区在坑道中局部地段发育溶蚀空洞整体较小约20cm×30cm×40cm，局部稍大。个别空洞充填有泥质，大多无充填，未见滴水现象。大理岩中局部发育溶隙赋存岩溶水，赋存极不均匀，富水性弱-中等。主要接受大气降水补给。</w:t>
      </w:r>
    </w:p>
    <w:p w14:paraId="02D6CDCD">
      <w:pPr>
        <w:pStyle w:val="5"/>
        <w:keepNext/>
        <w:keepLines/>
        <w:pageBreakBefore w:val="0"/>
        <w:widowControl w:val="0"/>
        <w:kinsoku/>
        <w:wordWrap/>
        <w:overflowPunct/>
        <w:topLinePunct w:val="0"/>
        <w:autoSpaceDE/>
        <w:autoSpaceDN/>
        <w:bidi w:val="0"/>
        <w:adjustRightInd/>
        <w:snapToGrid/>
        <w:ind w:firstLine="560" w:firstLineChars="200"/>
        <w:textAlignment w:val="auto"/>
        <w:rPr>
          <w:rFonts w:hint="default"/>
          <w:color w:val="auto"/>
          <w:lang w:val="en-US" w:eastAsia="zh-CN"/>
        </w:rPr>
      </w:pPr>
      <w:r>
        <w:rPr>
          <w:rFonts w:hint="eastAsia"/>
          <w:color w:val="auto"/>
          <w:lang w:val="en-US" w:eastAsia="zh-CN"/>
        </w:rPr>
        <w:t>2.3.2.2</w:t>
      </w:r>
      <w:r>
        <w:rPr>
          <w:rFonts w:hint="eastAsia" w:ascii="Times New Roman" w:hAnsi="Times New Roman" w:cs="Times New Roman"/>
          <w:color w:val="auto"/>
          <w:sz w:val="28"/>
          <w:szCs w:val="44"/>
          <w:lang w:val="en-US" w:eastAsia="zh-CN"/>
        </w:rPr>
        <w:t>构造破碎带的水文地质特征</w:t>
      </w:r>
    </w:p>
    <w:bookmarkEnd w:id="53"/>
    <w:p w14:paraId="0939F784">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lang w:val="en-US" w:eastAsia="zh-CN"/>
        </w:rPr>
      </w:pPr>
      <w:bookmarkStart w:id="54" w:name="_Toc205346765"/>
      <w:bookmarkStart w:id="55" w:name="_Toc350436556"/>
      <w:bookmarkStart w:id="56" w:name="_Toc211222248"/>
      <w:bookmarkStart w:id="57" w:name="_Toc211052219"/>
      <w:r>
        <w:rPr>
          <w:rFonts w:hint="eastAsia" w:ascii="宋体" w:hAnsi="宋体" w:eastAsia="宋体" w:cs="宋体"/>
          <w:color w:val="auto"/>
          <w:lang w:val="en-US" w:eastAsia="zh-CN"/>
        </w:rPr>
        <w:t>矿区位于唐藏背斜北翼，基本为向北东倾的单斜构造，地层产状20°</w:t>
      </w:r>
      <w:r>
        <w:rPr>
          <w:rFonts w:hint="eastAsia" w:cs="宋体"/>
          <w:color w:val="auto"/>
          <w:lang w:val="en-US" w:eastAsia="zh-CN"/>
        </w:rPr>
        <w:t>-</w:t>
      </w:r>
      <w:r>
        <w:rPr>
          <w:rFonts w:hint="eastAsia" w:ascii="宋体" w:hAnsi="宋体" w:eastAsia="宋体" w:cs="宋体"/>
          <w:color w:val="auto"/>
          <w:lang w:val="en-US" w:eastAsia="zh-CN"/>
        </w:rPr>
        <w:t>50°</w:t>
      </w:r>
      <w:r>
        <w:rPr>
          <w:rFonts w:hint="eastAsia" w:ascii="宋体" w:hAnsi="宋体" w:eastAsia="宋体" w:cs="宋体"/>
          <w:color w:val="auto"/>
          <w:sz w:val="28"/>
          <w:szCs w:val="28"/>
        </w:rPr>
        <w:t>∠</w:t>
      </w:r>
      <w:r>
        <w:rPr>
          <w:rFonts w:hint="eastAsia" w:ascii="宋体" w:hAnsi="宋体" w:eastAsia="宋体" w:cs="宋体"/>
          <w:color w:val="auto"/>
          <w:lang w:val="en-US" w:eastAsia="zh-CN"/>
        </w:rPr>
        <w:t>45°</w:t>
      </w:r>
      <w:r>
        <w:rPr>
          <w:rFonts w:hint="eastAsia" w:cs="宋体"/>
          <w:color w:val="auto"/>
          <w:lang w:val="en-US" w:eastAsia="zh-CN"/>
        </w:rPr>
        <w:t>-</w:t>
      </w:r>
      <w:r>
        <w:rPr>
          <w:rFonts w:hint="eastAsia" w:ascii="宋体" w:hAnsi="宋体" w:eastAsia="宋体" w:cs="宋体"/>
          <w:color w:val="auto"/>
          <w:lang w:val="en-US" w:eastAsia="zh-CN"/>
        </w:rPr>
        <w:t>70°，总体倾角较陡。总体倾角较陡。矿床内断裂构造主要为小断层，宽度多在 50cm，不连续，对矿体破坏作用较小。层间多为大理岩碎块，粒径+1cm，多以钙质胶结，少量泥质充填。局部地段发育溶蚀空洞整体较小约20cmx30cmx40cm，局部稍大。个别空洞充填有泥质，大多无充填，未见滴水现象。</w:t>
      </w:r>
    </w:p>
    <w:p w14:paraId="1304211A">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lang w:val="en-US" w:eastAsia="zh-CN"/>
        </w:rPr>
        <w:t>根据地表水文地质调查及井巷水工环地质观察，地表泉点出露较少井巷内未见滴水。坑道内未发现明显的地下水涌水点，说明矿区断裂含水性、导水性差，在后续开发利用中还应加强对构造及裂隙水的监控。</w:t>
      </w:r>
    </w:p>
    <w:bookmarkEnd w:id="54"/>
    <w:bookmarkEnd w:id="55"/>
    <w:bookmarkEnd w:id="56"/>
    <w:bookmarkEnd w:id="57"/>
    <w:p w14:paraId="4D91801A">
      <w:pPr>
        <w:pStyle w:val="5"/>
        <w:keepNext/>
        <w:keepLines/>
        <w:pageBreakBefore w:val="0"/>
        <w:widowControl w:val="0"/>
        <w:kinsoku/>
        <w:wordWrap/>
        <w:overflowPunct/>
        <w:topLinePunct w:val="0"/>
        <w:autoSpaceDE/>
        <w:autoSpaceDN/>
        <w:bidi w:val="0"/>
        <w:adjustRightInd/>
        <w:snapToGrid/>
        <w:ind w:firstLine="560" w:firstLineChars="200"/>
        <w:textAlignment w:val="auto"/>
        <w:rPr>
          <w:rFonts w:hint="default"/>
          <w:color w:val="auto"/>
          <w:lang w:val="en-US" w:eastAsia="zh-CN"/>
        </w:rPr>
      </w:pPr>
      <w:r>
        <w:rPr>
          <w:rFonts w:hint="eastAsia"/>
          <w:color w:val="auto"/>
          <w:lang w:val="en-US" w:eastAsia="zh-CN"/>
        </w:rPr>
        <w:t>2.3.2.3地表水特征</w:t>
      </w:r>
    </w:p>
    <w:p w14:paraId="3ADD3105">
      <w:pPr>
        <w:keepNext w:val="0"/>
        <w:keepLines w:val="0"/>
        <w:pageBreakBefore w:val="0"/>
        <w:widowControl/>
        <w:kinsoku/>
        <w:wordWrap/>
        <w:overflowPunct/>
        <w:topLinePunct w:val="0"/>
        <w:autoSpaceDE/>
        <w:autoSpaceDN/>
        <w:bidi w:val="0"/>
        <w:adjustRightInd/>
        <w:snapToGrid w:val="0"/>
        <w:spacing w:line="520" w:lineRule="exact"/>
        <w:ind w:firstLine="560" w:firstLineChars="200"/>
        <w:textAlignment w:val="auto"/>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矿区处在小峪河主河道东南部，距离矿区约100m，最低侵蚀基准面标高1222m，根据详查报告调查，近二十年来矿区在丰水年最高洪水位水位高均在</w:t>
      </w:r>
      <w:r>
        <w:rPr>
          <w:rFonts w:hint="eastAsia" w:ascii="Times New Roman" w:hAnsi="Times New Roman" w:cs="Times New Roman"/>
          <w:color w:val="auto"/>
          <w:lang w:val="en-US" w:eastAsia="zh-CN"/>
        </w:rPr>
        <w:t>1223.5</w:t>
      </w:r>
      <w:r>
        <w:rPr>
          <w:rFonts w:hint="default" w:ascii="Times New Roman" w:hAnsi="Times New Roman" w:cs="Times New Roman"/>
          <w:color w:val="auto"/>
          <w:lang w:val="en-US" w:eastAsia="zh-CN"/>
        </w:rPr>
        <w:t>m以下，矿区场地标高约1228m。因此</w:t>
      </w:r>
      <w:r>
        <w:rPr>
          <w:rFonts w:hint="default" w:ascii="Times New Roman" w:hAnsi="Times New Roman" w:eastAsia="宋体" w:cs="Times New Roman"/>
          <w:color w:val="auto"/>
          <w:lang w:val="en-US" w:eastAsia="zh-CN"/>
        </w:rPr>
        <w:t>，小峪河水位不会影响后期矿山开发</w:t>
      </w:r>
      <w:r>
        <w:rPr>
          <w:rFonts w:hint="eastAsia" w:ascii="Times New Roman" w:hAnsi="Times New Roman" w:eastAsia="宋体" w:cs="Times New Roman"/>
          <w:color w:val="auto"/>
          <w:lang w:val="en-US" w:eastAsia="zh-CN"/>
        </w:rPr>
        <w:t>。</w:t>
      </w:r>
    </w:p>
    <w:p w14:paraId="077C6986">
      <w:pPr>
        <w:pStyle w:val="5"/>
        <w:keepNext/>
        <w:keepLines/>
        <w:pageBreakBefore w:val="0"/>
        <w:widowControl w:val="0"/>
        <w:kinsoku/>
        <w:wordWrap/>
        <w:overflowPunct/>
        <w:topLinePunct w:val="0"/>
        <w:autoSpaceDE/>
        <w:autoSpaceDN/>
        <w:bidi w:val="0"/>
        <w:adjustRightInd/>
        <w:snapToGrid/>
        <w:ind w:firstLine="560" w:firstLineChars="200"/>
        <w:textAlignment w:val="auto"/>
        <w:rPr>
          <w:rFonts w:hint="default"/>
          <w:color w:val="auto"/>
          <w:lang w:val="en-US" w:eastAsia="zh-CN"/>
        </w:rPr>
      </w:pPr>
      <w:r>
        <w:rPr>
          <w:rFonts w:hint="eastAsia"/>
          <w:color w:val="auto"/>
          <w:lang w:val="en-US" w:eastAsia="zh-CN"/>
        </w:rPr>
        <w:t>2.3.2.4地下水动态及其补给、径流与排泄</w:t>
      </w:r>
    </w:p>
    <w:p w14:paraId="2841A73C">
      <w:pPr>
        <w:keepNext w:val="0"/>
        <w:keepLines w:val="0"/>
        <w:pageBreakBefore w:val="0"/>
        <w:widowControl/>
        <w:kinsoku/>
        <w:wordWrap/>
        <w:overflowPunct/>
        <w:topLinePunct w:val="0"/>
        <w:autoSpaceDE/>
        <w:autoSpaceDN/>
        <w:bidi w:val="0"/>
        <w:adjustRightInd/>
        <w:snapToGrid w:val="0"/>
        <w:spacing w:line="520" w:lineRule="exact"/>
        <w:ind w:firstLine="560" w:firstLineChars="2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矿区地下水类型主要为第四系孔隙潜水及(风化)破碎带裂隙潜水。大气降水是矿区内主要的补给源，由大气降水入渗补给第四系孔隙潜水及风化裂隙潜水，在地形低洼处排出。随着探矿深度增加，受风化裂隙潜水的影响将逐步减少，构造破碎带导水将成为影响矿坑涌水的主要因素。地下水排泄方式以补给地表沟谷为主，地下水动态在区内表现为雨水型，埋深浅，与大气降水关系密切，一般情况下，地下水位、流量的变化与降水近同步，峰形平缓，雨后泉水流量略有增大，变化幅度不大。矿区地下水径流类型为入渗-径流型，蒸发以植被叶面蒸发为主，影响微弱。</w:t>
      </w:r>
    </w:p>
    <w:p w14:paraId="5373F9F1">
      <w:pPr>
        <w:pStyle w:val="5"/>
        <w:keepNext/>
        <w:keepLines/>
        <w:pageBreakBefore w:val="0"/>
        <w:widowControl w:val="0"/>
        <w:kinsoku/>
        <w:wordWrap/>
        <w:overflowPunct/>
        <w:topLinePunct w:val="0"/>
        <w:autoSpaceDE/>
        <w:autoSpaceDN/>
        <w:bidi w:val="0"/>
        <w:adjustRightInd/>
        <w:snapToGrid/>
        <w:ind w:firstLine="560" w:firstLineChars="200"/>
        <w:textAlignment w:val="auto"/>
        <w:rPr>
          <w:rFonts w:hint="default"/>
          <w:color w:val="auto"/>
          <w:lang w:val="en-US" w:eastAsia="zh-CN"/>
        </w:rPr>
      </w:pPr>
      <w:r>
        <w:rPr>
          <w:rFonts w:hint="eastAsia"/>
          <w:color w:val="auto"/>
          <w:lang w:val="en-US" w:eastAsia="zh-CN"/>
        </w:rPr>
        <w:t>2.3.2.5充水因素和矿坑涌水预测</w:t>
      </w:r>
    </w:p>
    <w:p w14:paraId="3050F6F6">
      <w:pPr>
        <w:keepNext w:val="0"/>
        <w:keepLines w:val="0"/>
        <w:pageBreakBefore w:val="0"/>
        <w:widowControl/>
        <w:kinsoku/>
        <w:wordWrap/>
        <w:overflowPunct/>
        <w:topLinePunct w:val="0"/>
        <w:autoSpaceDE/>
        <w:autoSpaceDN/>
        <w:bidi w:val="0"/>
        <w:adjustRightInd/>
        <w:snapToGrid w:val="0"/>
        <w:spacing w:line="520" w:lineRule="exact"/>
        <w:ind w:firstLine="560" w:firstLineChars="200"/>
        <w:textAlignment w:val="auto"/>
        <w:rPr>
          <w:rFonts w:hint="eastAsia" w:cs="宋体"/>
          <w:color w:val="auto"/>
          <w:lang w:val="en-US" w:eastAsia="zh-CN"/>
        </w:rPr>
      </w:pPr>
      <w:r>
        <w:rPr>
          <w:rFonts w:hint="eastAsia" w:cs="宋体"/>
          <w:color w:val="auto"/>
          <w:lang w:val="en-US" w:eastAsia="zh-CN"/>
        </w:rPr>
        <w:t>矿区最低侵蚀基准面标高为1222m，K1矿体资源量估算标高为1230m 以上，位于最低侵蚀基准面以上，为正地形。大气降水是地下水的主要补给源，地下水赋存标高位于矿区最低侵蚀基准面之下，未来矿山地下采坑涌水主要为因大气降水沿构造及溶蚀空洞渗入的裂隙水。</w:t>
      </w:r>
    </w:p>
    <w:p w14:paraId="087EC652">
      <w:pPr>
        <w:keepNext w:val="0"/>
        <w:keepLines w:val="0"/>
        <w:pageBreakBefore w:val="0"/>
        <w:widowControl/>
        <w:kinsoku/>
        <w:wordWrap/>
        <w:overflowPunct/>
        <w:topLinePunct w:val="0"/>
        <w:autoSpaceDE/>
        <w:autoSpaceDN/>
        <w:bidi w:val="0"/>
        <w:adjustRightInd/>
        <w:snapToGrid w:val="0"/>
        <w:spacing w:line="520" w:lineRule="exact"/>
        <w:ind w:firstLine="560" w:firstLineChars="200"/>
        <w:textAlignment w:val="auto"/>
        <w:rPr>
          <w:rFonts w:hint="default" w:ascii="宋体" w:hAnsi="宋体" w:eastAsia="宋体" w:cs="宋体"/>
          <w:color w:val="auto"/>
          <w:lang w:val="en-US" w:eastAsia="zh-CN"/>
        </w:rPr>
      </w:pPr>
      <w:r>
        <w:rPr>
          <w:rFonts w:hint="default" w:cs="宋体"/>
          <w:color w:val="auto"/>
          <w:lang w:val="en-US" w:eastAsia="zh-CN"/>
        </w:rPr>
        <w:t>矿山在探矿过程中，施工的钻孔及穿脉均未见涌水现象。本区最低侵蚀基准面为1222m，详查工作主要针对1230m标高以上开展，开发利用也针对1230m以上矿体，因此矿坑涌水发生的可能较低。</w:t>
      </w:r>
    </w:p>
    <w:p w14:paraId="6FCEC0D1">
      <w:pPr>
        <w:pStyle w:val="5"/>
        <w:keepNext/>
        <w:keepLines/>
        <w:pageBreakBefore w:val="0"/>
        <w:widowControl w:val="0"/>
        <w:kinsoku/>
        <w:wordWrap/>
        <w:overflowPunct/>
        <w:topLinePunct w:val="0"/>
        <w:autoSpaceDE/>
        <w:autoSpaceDN/>
        <w:bidi w:val="0"/>
        <w:adjustRightInd/>
        <w:snapToGrid/>
        <w:ind w:firstLine="560" w:firstLineChars="200"/>
        <w:textAlignment w:val="auto"/>
        <w:rPr>
          <w:rFonts w:hint="default"/>
          <w:color w:val="auto"/>
          <w:lang w:val="en-US" w:eastAsia="zh-CN"/>
        </w:rPr>
      </w:pPr>
      <w:r>
        <w:rPr>
          <w:rFonts w:hint="eastAsia"/>
          <w:color w:val="auto"/>
          <w:lang w:val="en-US" w:eastAsia="zh-CN"/>
        </w:rPr>
        <w:t>2.3.2.6水文地质勘查类型</w:t>
      </w:r>
    </w:p>
    <w:p w14:paraId="6930F1B1">
      <w:pPr>
        <w:keepNext w:val="0"/>
        <w:keepLines w:val="0"/>
        <w:pageBreakBefore w:val="0"/>
        <w:widowControl/>
        <w:kinsoku/>
        <w:wordWrap/>
        <w:overflowPunct/>
        <w:topLinePunct w:val="0"/>
        <w:autoSpaceDE/>
        <w:autoSpaceDN/>
        <w:bidi w:val="0"/>
        <w:adjustRightInd/>
        <w:snapToGrid w:val="0"/>
        <w:spacing w:line="520" w:lineRule="exact"/>
        <w:ind w:firstLine="560" w:firstLineChars="2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矿区侵蚀基准面高程为1222m，K1矿体位于当地侵蚀基准面以上。影响矿区矿坑涌水的主要因素为大气降水以及孔隙(裂隙水)水。矿区基岩裂隙较发育，浅部以风化裂隙为主，张性为主</w:t>
      </w:r>
      <w:r>
        <w:rPr>
          <w:rFonts w:hint="eastAsia" w:cs="宋体"/>
          <w:color w:val="auto"/>
          <w:lang w:val="en-US" w:eastAsia="zh-CN"/>
        </w:rPr>
        <w:t>；</w:t>
      </w:r>
      <w:r>
        <w:rPr>
          <w:rFonts w:hint="eastAsia" w:ascii="宋体" w:hAnsi="宋体" w:eastAsia="宋体" w:cs="宋体"/>
          <w:color w:val="auto"/>
          <w:lang w:val="en-US" w:eastAsia="zh-CN"/>
        </w:rPr>
        <w:t>深部以构造裂隙为主，岩体较完整，构造裂隙以剪性为主，矿区水文地质条件属以(构造)裂隙水为主，间接进水，水文地质条件简单，矿区水文地质类型属简单</w:t>
      </w:r>
      <w:r>
        <w:rPr>
          <w:rFonts w:hint="eastAsia" w:cs="宋体"/>
          <w:color w:val="auto"/>
          <w:lang w:val="en-US" w:eastAsia="zh-CN"/>
        </w:rPr>
        <w:t>。</w:t>
      </w:r>
    </w:p>
    <w:p w14:paraId="279D8E77">
      <w:pPr>
        <w:pStyle w:val="4"/>
        <w:rPr>
          <w:color w:val="auto"/>
        </w:rPr>
      </w:pPr>
      <w:r>
        <w:rPr>
          <w:rFonts w:hint="eastAsia"/>
          <w:color w:val="auto"/>
        </w:rPr>
        <w:t>2.3.3工程地质条件</w:t>
      </w:r>
    </w:p>
    <w:p w14:paraId="742F93B6">
      <w:pPr>
        <w:pStyle w:val="5"/>
        <w:keepNext/>
        <w:keepLines/>
        <w:pageBreakBefore w:val="0"/>
        <w:widowControl w:val="0"/>
        <w:kinsoku/>
        <w:wordWrap/>
        <w:overflowPunct/>
        <w:topLinePunct w:val="0"/>
        <w:autoSpaceDE/>
        <w:autoSpaceDN/>
        <w:bidi w:val="0"/>
        <w:adjustRightInd/>
        <w:snapToGrid/>
        <w:ind w:firstLine="560" w:firstLineChars="200"/>
        <w:textAlignment w:val="auto"/>
        <w:rPr>
          <w:rFonts w:hint="eastAsia"/>
          <w:color w:val="auto"/>
          <w:lang w:val="en-US" w:eastAsia="zh-CN"/>
        </w:rPr>
      </w:pPr>
      <w:r>
        <w:rPr>
          <w:rFonts w:hint="eastAsia"/>
          <w:color w:val="auto"/>
          <w:lang w:val="en-US" w:eastAsia="zh-CN"/>
        </w:rPr>
        <w:t>2.3.3.1矿区工程地质岩组特征</w:t>
      </w:r>
    </w:p>
    <w:p w14:paraId="59B67CE8">
      <w:pPr>
        <w:keepNext w:val="0"/>
        <w:keepLines w:val="0"/>
        <w:pageBreakBefore w:val="0"/>
        <w:widowControl w:val="0"/>
        <w:kinsoku/>
        <w:wordWrap/>
        <w:overflowPunct/>
        <w:topLinePunct w:val="0"/>
        <w:autoSpaceDE w:val="0"/>
        <w:autoSpaceDN w:val="0"/>
        <w:bidi w:val="0"/>
        <w:adjustRightInd/>
        <w:snapToGrid/>
        <w:spacing w:line="520" w:lineRule="exact"/>
        <w:ind w:firstLine="560"/>
        <w:textAlignment w:val="auto"/>
        <w:rPr>
          <w:rFonts w:hint="eastAsia" w:ascii="宋体" w:hAnsi="宋体" w:eastAsia="宋体" w:cs="宋体"/>
          <w:color w:val="auto"/>
          <w:sz w:val="28"/>
          <w:szCs w:val="28"/>
          <w:lang w:val="en-US" w:eastAsia="zh-CN"/>
        </w:rPr>
      </w:pPr>
      <w:bookmarkStart w:id="58" w:name="_Toc205346767"/>
      <w:bookmarkStart w:id="59" w:name="_Toc211052221"/>
      <w:bookmarkStart w:id="60" w:name="_Toc350436559"/>
      <w:bookmarkStart w:id="61" w:name="_Toc211222250"/>
      <w:r>
        <w:rPr>
          <w:rFonts w:hint="eastAsia" w:ascii="宋体" w:hAnsi="宋体" w:eastAsia="宋体" w:cs="宋体"/>
          <w:color w:val="auto"/>
          <w:sz w:val="28"/>
          <w:szCs w:val="28"/>
          <w:lang w:val="en-US" w:eastAsia="zh-CN"/>
        </w:rPr>
        <w:t>区主要发育主要为一套古元古-早古生代中深程度变质岩地层。主要为秦岭岩群、丹凤岩群及第四系。根据岩土体的物质组成、组构特征和物理力学性能将勘查区分为较坚硬岩、软弱岩、松散软岩三个工程地质岩组。其主要特征阐述如下</w:t>
      </w:r>
      <w:r>
        <w:rPr>
          <w:rFonts w:hint="eastAsia" w:cs="宋体"/>
          <w:color w:val="auto"/>
          <w:sz w:val="28"/>
          <w:szCs w:val="28"/>
          <w:lang w:val="en-US" w:eastAsia="zh-CN"/>
        </w:rPr>
        <w:t>：</w:t>
      </w:r>
    </w:p>
    <w:p w14:paraId="58E12D8F">
      <w:pPr>
        <w:keepNext w:val="0"/>
        <w:keepLines w:val="0"/>
        <w:pageBreakBefore w:val="0"/>
        <w:widowControl w:val="0"/>
        <w:kinsoku/>
        <w:wordWrap/>
        <w:overflowPunct/>
        <w:topLinePunct w:val="0"/>
        <w:autoSpaceDE w:val="0"/>
        <w:autoSpaceDN w:val="0"/>
        <w:bidi w:val="0"/>
        <w:adjustRightInd/>
        <w:snapToGrid/>
        <w:spacing w:line="520" w:lineRule="exact"/>
        <w:ind w:firstLine="56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较坚硬岩</w:t>
      </w:r>
      <w:r>
        <w:rPr>
          <w:rFonts w:hint="eastAsia" w:cs="宋体"/>
          <w:color w:val="auto"/>
          <w:sz w:val="28"/>
          <w:szCs w:val="28"/>
          <w:lang w:val="en-US" w:eastAsia="zh-CN"/>
        </w:rPr>
        <w:t>：</w:t>
      </w:r>
      <w:r>
        <w:rPr>
          <w:rFonts w:hint="eastAsia" w:ascii="宋体" w:hAnsi="宋体" w:eastAsia="宋体" w:cs="宋体"/>
          <w:color w:val="auto"/>
          <w:sz w:val="28"/>
          <w:szCs w:val="28"/>
          <w:lang w:val="en-US" w:eastAsia="zh-CN"/>
        </w:rPr>
        <w:t>主要岩性为丹凤岩群c岩组(Pz1Dc)大理岩，岩石为微晶-变晶结构，中-中厚层状构造。岩体内未见到软弱夹层，力学性质较为稳定，岩石的层理面和节理面为主要的结构面，地表及近地表岩体因风化局部呈碎块状松散结构，从地表到深部稳定性变强。工程</w:t>
      </w:r>
      <w:r>
        <w:rPr>
          <w:rFonts w:hint="eastAsia" w:cs="宋体"/>
          <w:color w:val="auto"/>
          <w:sz w:val="28"/>
          <w:szCs w:val="28"/>
          <w:lang w:val="en-US" w:eastAsia="zh-CN"/>
        </w:rPr>
        <w:t>地质</w:t>
      </w:r>
      <w:r>
        <w:rPr>
          <w:rFonts w:hint="eastAsia" w:ascii="宋体" w:hAnsi="宋体" w:eastAsia="宋体" w:cs="宋体"/>
          <w:color w:val="auto"/>
          <w:sz w:val="28"/>
          <w:szCs w:val="28"/>
          <w:lang w:val="en-US" w:eastAsia="zh-CN"/>
        </w:rPr>
        <w:t>条件较好，岩石较稳定，属较坚硬岩组。</w:t>
      </w:r>
    </w:p>
    <w:p w14:paraId="223887B4">
      <w:pPr>
        <w:keepNext w:val="0"/>
        <w:keepLines w:val="0"/>
        <w:pageBreakBefore w:val="0"/>
        <w:widowControl w:val="0"/>
        <w:kinsoku/>
        <w:wordWrap/>
        <w:overflowPunct/>
        <w:topLinePunct w:val="0"/>
        <w:autoSpaceDE w:val="0"/>
        <w:autoSpaceDN w:val="0"/>
        <w:bidi w:val="0"/>
        <w:adjustRightInd/>
        <w:snapToGrid/>
        <w:spacing w:line="520" w:lineRule="exact"/>
        <w:ind w:firstLine="56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较软岩</w:t>
      </w:r>
      <w:r>
        <w:rPr>
          <w:rFonts w:hint="eastAsia" w:cs="宋体"/>
          <w:color w:val="auto"/>
          <w:sz w:val="28"/>
          <w:szCs w:val="28"/>
          <w:lang w:val="en-US" w:eastAsia="zh-CN"/>
        </w:rPr>
        <w:t>：</w:t>
      </w:r>
      <w:r>
        <w:rPr>
          <w:rFonts w:hint="eastAsia" w:ascii="宋体" w:hAnsi="宋体" w:eastAsia="宋体" w:cs="宋体"/>
          <w:color w:val="auto"/>
          <w:sz w:val="28"/>
          <w:szCs w:val="28"/>
          <w:lang w:val="en-US" w:eastAsia="zh-CN"/>
        </w:rPr>
        <w:t>主要为秦岭岩群郭庄岩组片麻岩、丹凤岩群a、b岩组片岩及千枚岩组合，粒状变品结构，千枚状-片状-片麻状构造，地表风化较强，岩石一般破碎，风化及节理裂隙发育，透水性好，深部岩石整体较逐渐变好，稳定性较好，属于较软岩组。</w:t>
      </w:r>
    </w:p>
    <w:p w14:paraId="6E0B8E5F">
      <w:pPr>
        <w:keepNext w:val="0"/>
        <w:keepLines w:val="0"/>
        <w:pageBreakBefore w:val="0"/>
        <w:widowControl w:val="0"/>
        <w:kinsoku/>
        <w:wordWrap/>
        <w:overflowPunct/>
        <w:topLinePunct w:val="0"/>
        <w:autoSpaceDE w:val="0"/>
        <w:autoSpaceDN w:val="0"/>
        <w:bidi w:val="0"/>
        <w:adjustRightInd/>
        <w:snapToGrid/>
        <w:spacing w:line="520" w:lineRule="exact"/>
        <w:ind w:firstLine="560"/>
        <w:textAlignment w:val="auto"/>
        <w:rPr>
          <w:rFonts w:hint="eastAsia"/>
          <w:color w:val="auto"/>
        </w:rPr>
      </w:pPr>
      <w:r>
        <w:rPr>
          <w:rFonts w:hint="eastAsia" w:ascii="宋体" w:hAnsi="宋体" w:eastAsia="宋体" w:cs="宋体"/>
          <w:color w:val="auto"/>
          <w:sz w:val="28"/>
          <w:szCs w:val="28"/>
          <w:lang w:val="en-US" w:eastAsia="zh-CN"/>
        </w:rPr>
        <w:t>松散软岩</w:t>
      </w:r>
      <w:r>
        <w:rPr>
          <w:rFonts w:hint="eastAsia" w:cs="宋体"/>
          <w:color w:val="auto"/>
          <w:sz w:val="28"/>
          <w:szCs w:val="28"/>
          <w:lang w:val="en-US" w:eastAsia="zh-CN"/>
        </w:rPr>
        <w:t>：</w:t>
      </w:r>
      <w:r>
        <w:rPr>
          <w:rFonts w:hint="eastAsia" w:ascii="宋体" w:hAnsi="宋体" w:eastAsia="宋体" w:cs="宋体"/>
          <w:color w:val="auto"/>
          <w:sz w:val="28"/>
          <w:szCs w:val="28"/>
          <w:lang w:val="en-US" w:eastAsia="zh-CN"/>
        </w:rPr>
        <w:t>主要为第四系(Q)松散堆积层，主要由块石土、碎石土及黄土组成，成因为坡积、冲积等，主要分布于山坡、沟谷，在沟谷处出露厚度较大，出露3-20</w:t>
      </w:r>
      <w:r>
        <w:rPr>
          <w:rFonts w:hint="eastAsia" w:cs="宋体"/>
          <w:color w:val="auto"/>
          <w:sz w:val="28"/>
          <w:szCs w:val="28"/>
          <w:lang w:val="en-US" w:eastAsia="zh-CN"/>
        </w:rPr>
        <w:t>m</w:t>
      </w:r>
      <w:r>
        <w:rPr>
          <w:rFonts w:hint="eastAsia" w:ascii="宋体" w:hAnsi="宋体" w:eastAsia="宋体" w:cs="宋体"/>
          <w:color w:val="auto"/>
          <w:sz w:val="28"/>
          <w:szCs w:val="28"/>
          <w:lang w:val="en-US" w:eastAsia="zh-CN"/>
        </w:rPr>
        <w:t>，沿断裂面可见垂直发育的节理裂隙土体不稳定。该堆积物在</w:t>
      </w:r>
      <w:r>
        <w:rPr>
          <w:rFonts w:hint="eastAsia" w:cs="宋体"/>
          <w:color w:val="auto"/>
          <w:sz w:val="28"/>
          <w:szCs w:val="28"/>
          <w:lang w:val="en-US" w:eastAsia="zh-CN"/>
        </w:rPr>
        <w:t>外力</w:t>
      </w:r>
      <w:r>
        <w:rPr>
          <w:rFonts w:hint="eastAsia" w:ascii="宋体" w:hAnsi="宋体" w:eastAsia="宋体" w:cs="宋体"/>
          <w:color w:val="auto"/>
          <w:sz w:val="28"/>
          <w:szCs w:val="28"/>
          <w:lang w:val="en-US" w:eastAsia="zh-CN"/>
        </w:rPr>
        <w:t>作用下易出现小型滑坡及泥石流，对未来矿山井巷开采影响较小。</w:t>
      </w:r>
    </w:p>
    <w:bookmarkEnd w:id="58"/>
    <w:bookmarkEnd w:id="59"/>
    <w:bookmarkEnd w:id="60"/>
    <w:bookmarkEnd w:id="61"/>
    <w:p w14:paraId="46E1A707">
      <w:pPr>
        <w:pStyle w:val="5"/>
        <w:keepNext/>
        <w:keepLines/>
        <w:pageBreakBefore w:val="0"/>
        <w:widowControl w:val="0"/>
        <w:kinsoku/>
        <w:wordWrap/>
        <w:overflowPunct/>
        <w:topLinePunct w:val="0"/>
        <w:autoSpaceDE/>
        <w:autoSpaceDN/>
        <w:bidi w:val="0"/>
        <w:adjustRightInd/>
        <w:snapToGrid/>
        <w:ind w:firstLine="560" w:firstLineChars="200"/>
        <w:textAlignment w:val="auto"/>
        <w:rPr>
          <w:rFonts w:hint="default"/>
          <w:color w:val="auto"/>
          <w:lang w:val="en-US" w:eastAsia="zh-CN"/>
        </w:rPr>
      </w:pPr>
      <w:r>
        <w:rPr>
          <w:rFonts w:hint="eastAsia"/>
          <w:color w:val="auto"/>
          <w:lang w:val="en-US" w:eastAsia="zh-CN"/>
        </w:rPr>
        <w:t>2.3.3.2矿体及围岩工程地质条件</w:t>
      </w:r>
    </w:p>
    <w:p w14:paraId="78F48EEE">
      <w:pPr>
        <w:keepNext w:val="0"/>
        <w:keepLines w:val="0"/>
        <w:pageBreakBefore w:val="0"/>
        <w:widowControl w:val="0"/>
        <w:kinsoku/>
        <w:wordWrap/>
        <w:overflowPunct/>
        <w:topLinePunct w:val="0"/>
        <w:autoSpaceDE w:val="0"/>
        <w:autoSpaceDN w:val="0"/>
        <w:bidi w:val="0"/>
        <w:adjustRightInd/>
        <w:snapToGrid/>
        <w:spacing w:line="520" w:lineRule="exact"/>
        <w:ind w:firstLine="560"/>
        <w:textAlignment w:val="auto"/>
        <w:rPr>
          <w:rFonts w:hint="default" w:cs="宋体"/>
          <w:color w:val="auto"/>
          <w:lang w:val="en-US" w:eastAsia="zh-CN"/>
        </w:rPr>
      </w:pPr>
      <w:r>
        <w:rPr>
          <w:rFonts w:hint="eastAsia" w:cs="宋体"/>
          <w:color w:val="auto"/>
          <w:lang w:val="en-US" w:eastAsia="zh-CN"/>
        </w:rPr>
        <w:t>1.矿体稳定性</w:t>
      </w:r>
    </w:p>
    <w:p w14:paraId="4BA62748">
      <w:pPr>
        <w:keepNext w:val="0"/>
        <w:keepLines w:val="0"/>
        <w:pageBreakBefore w:val="0"/>
        <w:widowControl w:val="0"/>
        <w:kinsoku/>
        <w:wordWrap/>
        <w:overflowPunct/>
        <w:topLinePunct w:val="0"/>
        <w:autoSpaceDE w:val="0"/>
        <w:autoSpaceDN w:val="0"/>
        <w:bidi w:val="0"/>
        <w:adjustRightInd/>
        <w:snapToGrid/>
        <w:spacing w:line="520" w:lineRule="exact"/>
        <w:ind w:firstLine="560"/>
        <w:textAlignment w:val="auto"/>
        <w:rPr>
          <w:rFonts w:hint="default" w:ascii="宋体" w:hAnsi="宋体" w:eastAsia="宋体" w:cs="宋体"/>
          <w:color w:val="auto"/>
          <w:lang w:val="en-US" w:eastAsia="zh-CN"/>
        </w:rPr>
      </w:pPr>
      <w:r>
        <w:rPr>
          <w:rFonts w:hint="default" w:ascii="宋体" w:hAnsi="宋体" w:eastAsia="宋体" w:cs="宋体"/>
          <w:color w:val="auto"/>
          <w:lang w:val="en-US" w:eastAsia="zh-CN"/>
        </w:rPr>
        <w:t>矿体主要为灰白-浅灰白色大理岩，属较坚硬岩组。大理岩矿体的物理力学性质较好,矿石抗压强度好,岩石的抗压强度为20.6-57.9M</w:t>
      </w:r>
      <w:r>
        <w:rPr>
          <w:rFonts w:hint="eastAsia" w:cs="宋体"/>
          <w:color w:val="auto"/>
          <w:lang w:val="en-US" w:eastAsia="zh-CN"/>
        </w:rPr>
        <w:t>P</w:t>
      </w:r>
      <w:r>
        <w:rPr>
          <w:rFonts w:hint="default" w:ascii="宋体" w:hAnsi="宋体" w:eastAsia="宋体" w:cs="宋体"/>
          <w:color w:val="auto"/>
          <w:lang w:val="en-US" w:eastAsia="zh-CN"/>
        </w:rPr>
        <w:t>a,平均为36.6M</w:t>
      </w:r>
      <w:r>
        <w:rPr>
          <w:rFonts w:hint="eastAsia" w:cs="宋体"/>
          <w:color w:val="auto"/>
          <w:lang w:val="en-US" w:eastAsia="zh-CN"/>
        </w:rPr>
        <w:t>P</w:t>
      </w:r>
      <w:r>
        <w:rPr>
          <w:rFonts w:hint="default" w:ascii="宋体" w:hAnsi="宋体" w:eastAsia="宋体" w:cs="宋体"/>
          <w:color w:val="auto"/>
          <w:lang w:val="en-US" w:eastAsia="zh-CN"/>
        </w:rPr>
        <w:t>a，抗拉强度1.44-3.24M</w:t>
      </w:r>
      <w:r>
        <w:rPr>
          <w:rFonts w:hint="eastAsia" w:cs="宋体"/>
          <w:color w:val="auto"/>
          <w:lang w:val="en-US" w:eastAsia="zh-CN"/>
        </w:rPr>
        <w:t>P</w:t>
      </w:r>
      <w:r>
        <w:rPr>
          <w:rFonts w:hint="default" w:ascii="宋体" w:hAnsi="宋体" w:eastAsia="宋体" w:cs="宋体"/>
          <w:color w:val="auto"/>
          <w:lang w:val="en-US" w:eastAsia="zh-CN"/>
        </w:rPr>
        <w:t>a。内摩擦角为27.1°-39.8°。矿体的完整性较好，其力学稳定性较好。</w:t>
      </w:r>
    </w:p>
    <w:p w14:paraId="6800C0EF">
      <w:pPr>
        <w:keepNext w:val="0"/>
        <w:keepLines w:val="0"/>
        <w:pageBreakBefore w:val="0"/>
        <w:widowControl w:val="0"/>
        <w:kinsoku/>
        <w:wordWrap/>
        <w:overflowPunct/>
        <w:topLinePunct w:val="0"/>
        <w:autoSpaceDE w:val="0"/>
        <w:autoSpaceDN w:val="0"/>
        <w:bidi w:val="0"/>
        <w:adjustRightInd/>
        <w:snapToGrid/>
        <w:spacing w:line="520" w:lineRule="exact"/>
        <w:ind w:firstLine="560"/>
        <w:textAlignment w:val="auto"/>
        <w:rPr>
          <w:rFonts w:hint="eastAsia" w:cs="宋体"/>
          <w:color w:val="auto"/>
          <w:lang w:val="en-US" w:eastAsia="zh-CN"/>
        </w:rPr>
      </w:pPr>
      <w:r>
        <w:rPr>
          <w:rFonts w:hint="eastAsia" w:cs="宋体"/>
          <w:color w:val="auto"/>
          <w:lang w:val="en-US" w:eastAsia="zh-CN"/>
        </w:rPr>
        <w:t>2.矿体顶、底板围岩的稳定性</w:t>
      </w:r>
    </w:p>
    <w:p w14:paraId="42D447B2">
      <w:pPr>
        <w:keepNext w:val="0"/>
        <w:keepLines w:val="0"/>
        <w:pageBreakBefore w:val="0"/>
        <w:widowControl w:val="0"/>
        <w:kinsoku/>
        <w:wordWrap/>
        <w:overflowPunct/>
        <w:topLinePunct w:val="0"/>
        <w:autoSpaceDE w:val="0"/>
        <w:autoSpaceDN w:val="0"/>
        <w:bidi w:val="0"/>
        <w:adjustRightInd/>
        <w:snapToGrid/>
        <w:spacing w:line="520" w:lineRule="exact"/>
        <w:ind w:firstLine="560"/>
        <w:textAlignment w:val="auto"/>
        <w:rPr>
          <w:rFonts w:hint="default" w:cs="宋体"/>
          <w:color w:val="auto"/>
          <w:lang w:val="en-US" w:eastAsia="zh-CN"/>
        </w:rPr>
      </w:pPr>
      <w:r>
        <w:rPr>
          <w:rFonts w:hint="default" w:cs="宋体"/>
          <w:color w:val="auto"/>
          <w:lang w:val="en-US" w:eastAsia="zh-CN"/>
        </w:rPr>
        <w:t>矿体顶、底板围岩主要为深灰-灰黑色含钙质粉砂质千枚岩、(含炭)大理岩化灰岩，该岩组属于较软岩组，岩组的物理力学性质较好，矿石抗压强度较好，岩石的抗压强度为26.2-28M</w:t>
      </w:r>
      <w:r>
        <w:rPr>
          <w:rFonts w:hint="eastAsia" w:cs="宋体"/>
          <w:color w:val="auto"/>
          <w:lang w:val="en-US" w:eastAsia="zh-CN"/>
        </w:rPr>
        <w:t>P</w:t>
      </w:r>
      <w:r>
        <w:rPr>
          <w:rFonts w:hint="default" w:cs="宋体"/>
          <w:color w:val="auto"/>
          <w:lang w:val="en-US" w:eastAsia="zh-CN"/>
        </w:rPr>
        <w:t>a，抗拉强度1.73-1.78M</w:t>
      </w:r>
      <w:r>
        <w:rPr>
          <w:rFonts w:hint="eastAsia" w:cs="宋体"/>
          <w:color w:val="auto"/>
          <w:lang w:val="en-US" w:eastAsia="zh-CN"/>
        </w:rPr>
        <w:t>P</w:t>
      </w:r>
      <w:r>
        <w:rPr>
          <w:rFonts w:hint="default" w:cs="宋体"/>
          <w:color w:val="auto"/>
          <w:lang w:val="en-US" w:eastAsia="zh-CN"/>
        </w:rPr>
        <w:t>a,内摩擦角</w:t>
      </w:r>
      <w:r>
        <w:rPr>
          <w:rFonts w:hint="default" w:ascii="宋体" w:hAnsi="宋体" w:eastAsia="宋体" w:cs="宋体"/>
          <w:color w:val="auto"/>
          <w:lang w:val="en-US" w:eastAsia="zh-CN"/>
        </w:rPr>
        <w:t>30.1</w:t>
      </w:r>
      <w:r>
        <w:rPr>
          <w:rFonts w:hint="default" w:cs="宋体"/>
          <w:color w:val="auto"/>
          <w:lang w:val="en-US" w:eastAsia="zh-CN"/>
        </w:rPr>
        <w:t>°-32.6°。矿石的完整性较好,局部岩石破碎,其力学稳定性较稳定。</w:t>
      </w:r>
    </w:p>
    <w:p w14:paraId="028255F3">
      <w:pPr>
        <w:pStyle w:val="5"/>
        <w:keepNext/>
        <w:keepLines/>
        <w:pageBreakBefore w:val="0"/>
        <w:widowControl w:val="0"/>
        <w:kinsoku/>
        <w:wordWrap/>
        <w:overflowPunct/>
        <w:topLinePunct w:val="0"/>
        <w:autoSpaceDE/>
        <w:autoSpaceDN/>
        <w:bidi w:val="0"/>
        <w:adjustRightInd/>
        <w:snapToGrid/>
        <w:ind w:firstLine="560" w:firstLineChars="200"/>
        <w:textAlignment w:val="auto"/>
        <w:rPr>
          <w:rFonts w:hint="default"/>
          <w:color w:val="auto"/>
          <w:lang w:val="en-US" w:eastAsia="zh-CN"/>
        </w:rPr>
      </w:pPr>
      <w:r>
        <w:rPr>
          <w:rFonts w:hint="eastAsia"/>
          <w:color w:val="auto"/>
          <w:lang w:val="en-US" w:eastAsia="zh-CN"/>
        </w:rPr>
        <w:t>2.3.3.3工程地质勘查类型</w:t>
      </w:r>
    </w:p>
    <w:p w14:paraId="13D3FFB0">
      <w:pPr>
        <w:keepNext w:val="0"/>
        <w:keepLines w:val="0"/>
        <w:pageBreakBefore w:val="0"/>
        <w:widowControl w:val="0"/>
        <w:kinsoku/>
        <w:wordWrap/>
        <w:overflowPunct/>
        <w:topLinePunct w:val="0"/>
        <w:autoSpaceDE w:val="0"/>
        <w:autoSpaceDN w:val="0"/>
        <w:bidi w:val="0"/>
        <w:adjustRightInd/>
        <w:snapToGrid/>
        <w:spacing w:line="520" w:lineRule="exact"/>
        <w:ind w:firstLine="560"/>
        <w:textAlignment w:val="auto"/>
        <w:rPr>
          <w:rFonts w:hint="eastAsia" w:ascii="宋体" w:hAnsi="宋体" w:eastAsia="宋体" w:cs="宋体"/>
          <w:color w:val="auto"/>
          <w:lang w:val="en-US" w:eastAsia="zh-CN"/>
        </w:rPr>
      </w:pPr>
      <w:r>
        <w:rPr>
          <w:rFonts w:hint="eastAsia" w:cs="宋体"/>
          <w:color w:val="auto"/>
          <w:lang w:val="en-US" w:eastAsia="zh-CN"/>
        </w:rPr>
        <w:t>凤县唐藏镇李家庄方解石矿体产于丹凤岩群c岩组(Pz1Dc)的大理岩，受单斜构造控制，矿体顶底板围岩均为(含炭)钙质粉砂质千枚岩。大理岩系为浅变质块状较硬岩类。工程地质勘查类型为以块状岩类为主的复杂程度属于简单-中等类型。</w:t>
      </w:r>
    </w:p>
    <w:p w14:paraId="7EEFCAF4">
      <w:pPr>
        <w:pStyle w:val="4"/>
        <w:rPr>
          <w:color w:val="auto"/>
          <w:lang w:val="zh-CN"/>
        </w:rPr>
      </w:pPr>
      <w:r>
        <w:rPr>
          <w:rFonts w:hint="eastAsia"/>
          <w:color w:val="auto"/>
        </w:rPr>
        <w:t>2.3.4环境地质条件</w:t>
      </w:r>
    </w:p>
    <w:p w14:paraId="7DB1B2DA">
      <w:pPr>
        <w:keepNext w:val="0"/>
        <w:keepLines w:val="0"/>
        <w:pageBreakBefore w:val="0"/>
        <w:widowControl w:val="0"/>
        <w:kinsoku/>
        <w:wordWrap/>
        <w:overflowPunct/>
        <w:topLinePunct w:val="0"/>
        <w:autoSpaceDE w:val="0"/>
        <w:autoSpaceDN w:val="0"/>
        <w:bidi w:val="0"/>
        <w:adjustRightInd/>
        <w:snapToGrid/>
        <w:spacing w:line="520" w:lineRule="exact"/>
        <w:ind w:firstLine="560"/>
        <w:textAlignment w:val="auto"/>
        <w:rPr>
          <w:rFonts w:hint="eastAsia" w:ascii="宋体" w:hAnsi="宋体" w:eastAsia="宋体" w:cs="宋体"/>
          <w:color w:val="auto"/>
          <w:lang w:val="en-US" w:eastAsia="zh-CN"/>
        </w:rPr>
      </w:pPr>
      <w:bookmarkStart w:id="62" w:name="_Toc225062035"/>
      <w:bookmarkStart w:id="63" w:name="_Toc225062543"/>
      <w:bookmarkStart w:id="64" w:name="_Toc338762958"/>
      <w:r>
        <w:rPr>
          <w:rFonts w:hint="default" w:ascii="宋体" w:hAnsi="宋体" w:eastAsia="宋体" w:cs="宋体"/>
          <w:color w:val="auto"/>
          <w:lang w:val="en-US" w:eastAsia="zh-CN"/>
        </w:rPr>
        <w:t>该区抗震设防</w:t>
      </w:r>
      <w:r>
        <w:rPr>
          <w:rFonts w:hint="eastAsia" w:cs="宋体"/>
          <w:color w:val="auto"/>
          <w:lang w:val="en-US" w:eastAsia="zh-CN"/>
        </w:rPr>
        <w:t>烈度</w:t>
      </w:r>
      <w:r>
        <w:rPr>
          <w:rFonts w:hint="default" w:ascii="宋体" w:hAnsi="宋体" w:eastAsia="宋体" w:cs="宋体"/>
          <w:color w:val="auto"/>
          <w:lang w:val="en-US" w:eastAsia="zh-CN"/>
        </w:rPr>
        <w:t>为</w:t>
      </w:r>
      <w:r>
        <w:rPr>
          <w:rFonts w:hint="eastAsia" w:ascii="宋体" w:hAnsi="宋体" w:eastAsia="宋体" w:cs="宋体"/>
          <w:color w:val="auto"/>
          <w:lang w:val="en-US" w:eastAsia="zh-CN"/>
        </w:rPr>
        <w:t>Ⅶ</w:t>
      </w:r>
      <w:r>
        <w:rPr>
          <w:rFonts w:hint="default" w:ascii="宋体" w:hAnsi="宋体" w:eastAsia="宋体" w:cs="宋体"/>
          <w:color w:val="auto"/>
          <w:lang w:val="en-US" w:eastAsia="zh-CN"/>
        </w:rPr>
        <w:t>度，区域稳定性较好。矿区自然环境优良，自然灾害、人为破坏少，矿区地质环境质量确定为优良。未来采矿活动皆属地下开采,预期不会对地表地貌有明显影响,采空区引发地表塌陷滑坡、坍塌、泥石流灾害的可能性小。矿石及矿渣中无有毒有害元素及放射性物质，不会给自然环境造成污染，应注意在采矿过程中尽量减少对人体危害。矿区环境地质类型属简单型</w:t>
      </w:r>
      <w:r>
        <w:rPr>
          <w:rFonts w:hint="eastAsia" w:cs="宋体"/>
          <w:color w:val="auto"/>
          <w:lang w:val="en-US" w:eastAsia="zh-CN"/>
        </w:rPr>
        <w:t>。</w:t>
      </w:r>
    </w:p>
    <w:p w14:paraId="4A5E260C">
      <w:pPr>
        <w:pStyle w:val="4"/>
        <w:rPr>
          <w:color w:val="auto"/>
        </w:rPr>
      </w:pPr>
      <w:r>
        <w:rPr>
          <w:rFonts w:hint="eastAsia"/>
          <w:color w:val="auto"/>
        </w:rPr>
        <w:t>2.3.5矿床地质特征</w:t>
      </w:r>
    </w:p>
    <w:p w14:paraId="6103D1F3">
      <w:pPr>
        <w:pStyle w:val="5"/>
        <w:keepNext/>
        <w:keepLines/>
        <w:pageBreakBefore w:val="0"/>
        <w:widowControl w:val="0"/>
        <w:kinsoku/>
        <w:wordWrap/>
        <w:overflowPunct/>
        <w:topLinePunct w:val="0"/>
        <w:autoSpaceDE/>
        <w:autoSpaceDN/>
        <w:bidi w:val="0"/>
        <w:adjustRightInd/>
        <w:snapToGrid/>
        <w:ind w:firstLine="560" w:firstLineChars="200"/>
        <w:textAlignment w:val="auto"/>
        <w:rPr>
          <w:color w:val="auto"/>
        </w:rPr>
      </w:pPr>
      <w:r>
        <w:rPr>
          <w:rFonts w:hint="eastAsia"/>
          <w:color w:val="auto"/>
        </w:rPr>
        <w:t>2.3.5.1矿体特征</w:t>
      </w:r>
    </w:p>
    <w:p w14:paraId="4476966C">
      <w:pPr>
        <w:keepNext w:val="0"/>
        <w:keepLines w:val="0"/>
        <w:pageBreakBefore w:val="0"/>
        <w:widowControl w:val="0"/>
        <w:kinsoku/>
        <w:wordWrap/>
        <w:overflowPunct/>
        <w:topLinePunct w:val="0"/>
        <w:autoSpaceDE w:val="0"/>
        <w:autoSpaceDN w:val="0"/>
        <w:bidi w:val="0"/>
        <w:adjustRightInd/>
        <w:snapToGrid/>
        <w:spacing w:line="520" w:lineRule="exact"/>
        <w:ind w:firstLine="560"/>
        <w:textAlignment w:val="auto"/>
        <w:rPr>
          <w:rFonts w:hint="eastAsia" w:eastAsia="宋体"/>
          <w:color w:val="auto"/>
          <w:szCs w:val="28"/>
          <w:lang w:eastAsia="zh-CN"/>
        </w:rPr>
      </w:pPr>
      <w:r>
        <w:rPr>
          <w:rFonts w:hint="eastAsia"/>
          <w:color w:val="auto"/>
          <w:szCs w:val="28"/>
        </w:rPr>
        <w:t>矿区圈出一条矿体，编号K1。矿体产于唐藏背斜北翼，赋存于下古生界丹凤岩群c岩组,分布于6号-1号勘探线之间。由6个钻孔、1条穿脉坑道、1个样坎控制。矿体为一半隐伏矿体，山梁北侧矿体出露较好，南侧矿体上部覆盖一层第四系黄土，厚度4-16m。具体特征如下</w:t>
      </w:r>
      <w:r>
        <w:rPr>
          <w:rFonts w:hint="eastAsia"/>
          <w:color w:val="auto"/>
          <w:szCs w:val="28"/>
          <w:lang w:eastAsia="zh-CN"/>
        </w:rPr>
        <w:t>：</w:t>
      </w:r>
    </w:p>
    <w:p w14:paraId="1CFA5D32">
      <w:pPr>
        <w:keepNext w:val="0"/>
        <w:keepLines w:val="0"/>
        <w:pageBreakBefore w:val="0"/>
        <w:widowControl w:val="0"/>
        <w:kinsoku/>
        <w:wordWrap/>
        <w:overflowPunct/>
        <w:topLinePunct w:val="0"/>
        <w:autoSpaceDE w:val="0"/>
        <w:autoSpaceDN w:val="0"/>
        <w:bidi w:val="0"/>
        <w:adjustRightInd/>
        <w:snapToGrid/>
        <w:spacing w:line="520" w:lineRule="exact"/>
        <w:ind w:firstLine="560"/>
        <w:textAlignment w:val="auto"/>
        <w:rPr>
          <w:rFonts w:hint="eastAsia"/>
          <w:color w:val="auto"/>
          <w:szCs w:val="28"/>
        </w:rPr>
      </w:pPr>
      <w:r>
        <w:rPr>
          <w:rFonts w:hint="eastAsia"/>
          <w:color w:val="auto"/>
          <w:szCs w:val="28"/>
        </w:rPr>
        <w:t>矿体形态简单，呈似层状产出，西侧较窄。矿体总体走向</w:t>
      </w:r>
      <w:r>
        <w:rPr>
          <w:rFonts w:hint="eastAsia" w:ascii="宋体" w:hAnsi="宋体" w:eastAsia="宋体"/>
          <w:color w:val="auto"/>
          <w:szCs w:val="28"/>
        </w:rPr>
        <w:t>125</w:t>
      </w:r>
      <w:r>
        <w:rPr>
          <w:rFonts w:hint="eastAsia"/>
          <w:color w:val="auto"/>
          <w:szCs w:val="28"/>
        </w:rPr>
        <w:t>°-130°</w:t>
      </w:r>
      <w:r>
        <w:rPr>
          <w:rFonts w:hint="eastAsia"/>
          <w:color w:val="auto"/>
          <w:szCs w:val="28"/>
          <w:lang w:eastAsia="zh-CN"/>
        </w:rPr>
        <w:t>，</w:t>
      </w:r>
      <w:r>
        <w:rPr>
          <w:rFonts w:hint="eastAsia"/>
          <w:color w:val="auto"/>
          <w:szCs w:val="28"/>
        </w:rPr>
        <w:t>整体向北东陡倾，产状35°-40°∠</w:t>
      </w:r>
      <w:r>
        <w:rPr>
          <w:rFonts w:hint="eastAsia" w:ascii="宋体" w:hAnsi="宋体" w:eastAsia="宋体"/>
          <w:color w:val="auto"/>
          <w:szCs w:val="28"/>
        </w:rPr>
        <w:t>60</w:t>
      </w:r>
      <w:r>
        <w:rPr>
          <w:rFonts w:hint="eastAsia"/>
          <w:color w:val="auto"/>
          <w:szCs w:val="28"/>
        </w:rPr>
        <w:t>°-65°。矿体沿走向延伸430m，矿体宽40-220m，倾向延伸</w:t>
      </w:r>
      <w:r>
        <w:rPr>
          <w:rFonts w:hint="eastAsia"/>
          <w:color w:val="auto"/>
          <w:szCs w:val="28"/>
          <w:lang w:eastAsia="zh-CN"/>
        </w:rPr>
        <w:t>＞</w:t>
      </w:r>
      <w:r>
        <w:rPr>
          <w:rFonts w:hint="eastAsia"/>
          <w:color w:val="auto"/>
          <w:szCs w:val="28"/>
        </w:rPr>
        <w:t>177m。</w:t>
      </w:r>
    </w:p>
    <w:p w14:paraId="0FF77912">
      <w:pPr>
        <w:keepNext w:val="0"/>
        <w:keepLines w:val="0"/>
        <w:pageBreakBefore w:val="0"/>
        <w:widowControl w:val="0"/>
        <w:kinsoku/>
        <w:wordWrap/>
        <w:overflowPunct/>
        <w:topLinePunct w:val="0"/>
        <w:autoSpaceDE w:val="0"/>
        <w:autoSpaceDN w:val="0"/>
        <w:bidi w:val="0"/>
        <w:adjustRightInd/>
        <w:snapToGrid/>
        <w:spacing w:line="520" w:lineRule="exact"/>
        <w:ind w:firstLine="560"/>
        <w:textAlignment w:val="auto"/>
        <w:rPr>
          <w:rFonts w:hint="eastAsia"/>
          <w:color w:val="auto"/>
          <w:szCs w:val="28"/>
        </w:rPr>
      </w:pPr>
      <w:r>
        <w:rPr>
          <w:rFonts w:hint="eastAsia"/>
          <w:color w:val="auto"/>
          <w:szCs w:val="28"/>
        </w:rPr>
        <w:t>矿体在走向上宽度40-220m，呈似层状，西侧较窄，在倾向上呈似层状按产状向深部延伸，矿体赋存标高1230-1331.62m。工程控制厚度为28.05-164.23m，平均厚度107.29m，厚度变化系数为54.81%，厚度较稳定。</w:t>
      </w:r>
    </w:p>
    <w:p w14:paraId="2C92DEC6">
      <w:pPr>
        <w:keepNext w:val="0"/>
        <w:keepLines w:val="0"/>
        <w:pageBreakBefore w:val="0"/>
        <w:widowControl w:val="0"/>
        <w:kinsoku/>
        <w:wordWrap/>
        <w:overflowPunct/>
        <w:topLinePunct w:val="0"/>
        <w:autoSpaceDE w:val="0"/>
        <w:autoSpaceDN w:val="0"/>
        <w:bidi w:val="0"/>
        <w:adjustRightInd/>
        <w:snapToGrid/>
        <w:spacing w:line="520" w:lineRule="exact"/>
        <w:ind w:firstLine="560"/>
        <w:textAlignment w:val="auto"/>
        <w:rPr>
          <w:rFonts w:hint="eastAsia"/>
          <w:color w:val="auto"/>
          <w:szCs w:val="28"/>
          <w:lang w:val="en-US" w:eastAsia="zh-CN"/>
        </w:rPr>
      </w:pPr>
      <w:r>
        <w:rPr>
          <w:rFonts w:hint="eastAsia"/>
          <w:color w:val="auto"/>
          <w:szCs w:val="28"/>
          <w:lang w:val="en-US" w:eastAsia="zh-CN"/>
        </w:rPr>
        <w:t>矿体为浅灰白色-灰白色大理岩，有益组分为Ca0，无伴生矿物。矿体单样Ca0为54.6%-55.78%，平均为55.24%。单工程Ca0为54.85%-55.78%，平均为55.28%。白度为85.4-93.9，平均为89.3。单工程白度为87.6-91，平均为89.3。Ca0品位变化系数0.54%。有益组分分布均匀。</w:t>
      </w:r>
    </w:p>
    <w:p w14:paraId="3D8DB9BC">
      <w:pPr>
        <w:keepNext w:val="0"/>
        <w:keepLines w:val="0"/>
        <w:pageBreakBefore w:val="0"/>
        <w:widowControl w:val="0"/>
        <w:kinsoku/>
        <w:wordWrap/>
        <w:overflowPunct/>
        <w:topLinePunct w:val="0"/>
        <w:autoSpaceDE w:val="0"/>
        <w:autoSpaceDN w:val="0"/>
        <w:bidi w:val="0"/>
        <w:adjustRightInd/>
        <w:snapToGrid/>
        <w:spacing w:line="520" w:lineRule="exact"/>
        <w:ind w:firstLine="560"/>
        <w:textAlignment w:val="auto"/>
        <w:rPr>
          <w:rFonts w:hint="eastAsia"/>
          <w:color w:val="auto"/>
          <w:szCs w:val="28"/>
          <w:lang w:val="en-US" w:eastAsia="zh-CN"/>
        </w:rPr>
      </w:pPr>
      <w:r>
        <w:rPr>
          <w:rFonts w:hint="eastAsia"/>
          <w:color w:val="auto"/>
          <w:szCs w:val="28"/>
          <w:lang w:val="en-US" w:eastAsia="zh-CN"/>
        </w:rPr>
        <w:t>矿体具有沿走向和倾向厚度变化小，连续性较好，品位变化小的特点。围岩蚀变有绿泥石化、褐铁矿化等。</w:t>
      </w:r>
    </w:p>
    <w:p w14:paraId="52D6D07B">
      <w:pPr>
        <w:pStyle w:val="5"/>
        <w:keepNext/>
        <w:keepLines/>
        <w:pageBreakBefore w:val="0"/>
        <w:widowControl w:val="0"/>
        <w:kinsoku/>
        <w:wordWrap/>
        <w:overflowPunct/>
        <w:topLinePunct w:val="0"/>
        <w:autoSpaceDE/>
        <w:autoSpaceDN/>
        <w:bidi w:val="0"/>
        <w:adjustRightInd/>
        <w:snapToGrid/>
        <w:ind w:firstLine="560" w:firstLineChars="200"/>
        <w:textAlignment w:val="auto"/>
        <w:rPr>
          <w:rFonts w:hint="eastAsia"/>
          <w:color w:val="auto"/>
        </w:rPr>
      </w:pPr>
      <w:r>
        <w:rPr>
          <w:rFonts w:hint="eastAsia"/>
          <w:color w:val="auto"/>
        </w:rPr>
        <w:t>2.3.5.2矿石质量</w:t>
      </w:r>
    </w:p>
    <w:p w14:paraId="5CA83C9A">
      <w:pPr>
        <w:keepNext w:val="0"/>
        <w:keepLines w:val="0"/>
        <w:pageBreakBefore w:val="0"/>
        <w:widowControl w:val="0"/>
        <w:kinsoku/>
        <w:wordWrap/>
        <w:overflowPunct/>
        <w:topLinePunct w:val="0"/>
        <w:autoSpaceDE w:val="0"/>
        <w:autoSpaceDN w:val="0"/>
        <w:bidi w:val="0"/>
        <w:snapToGrid/>
        <w:spacing w:line="520" w:lineRule="exact"/>
        <w:ind w:firstLine="560" w:firstLineChars="200"/>
        <w:rPr>
          <w:color w:val="auto"/>
        </w:rPr>
      </w:pPr>
      <w:bookmarkStart w:id="65" w:name="_Toc192691321"/>
      <w:bookmarkStart w:id="66" w:name="_Toc11836587"/>
      <w:r>
        <w:rPr>
          <w:color w:val="auto"/>
        </w:rPr>
        <w:t>1)矿石的矿物成分</w:t>
      </w:r>
    </w:p>
    <w:p w14:paraId="44EDBCE5">
      <w:pPr>
        <w:ind w:firstLine="560"/>
        <w:rPr>
          <w:rFonts w:hint="eastAsia"/>
          <w:color w:val="auto"/>
          <w:szCs w:val="22"/>
        </w:rPr>
      </w:pPr>
      <w:r>
        <w:rPr>
          <w:rFonts w:hint="eastAsia"/>
          <w:color w:val="auto"/>
          <w:szCs w:val="22"/>
        </w:rPr>
        <w:t>矿石为浅灰白色-灰白色大理岩，中-厚层状、块状构造，显-细粒变品结构、镶嵌状结构、近等粒结构，块状构造。矿石成分简单，矿石矿物为方解石，脉石矿物为石英，次生氧化物为褐铁矿。方解石含量约99%，石英、褐铁矿含量＜1%。</w:t>
      </w:r>
    </w:p>
    <w:p w14:paraId="1C94DD21">
      <w:pPr>
        <w:keepNext w:val="0"/>
        <w:keepLines w:val="0"/>
        <w:pageBreakBefore w:val="0"/>
        <w:widowControl w:val="0"/>
        <w:kinsoku/>
        <w:wordWrap/>
        <w:overflowPunct/>
        <w:topLinePunct w:val="0"/>
        <w:autoSpaceDE w:val="0"/>
        <w:autoSpaceDN w:val="0"/>
        <w:bidi w:val="0"/>
        <w:snapToGrid/>
        <w:spacing w:line="520" w:lineRule="exact"/>
        <w:ind w:firstLine="560" w:firstLineChars="200"/>
        <w:rPr>
          <w:color w:val="auto"/>
        </w:rPr>
      </w:pPr>
      <w:r>
        <w:rPr>
          <w:rFonts w:hint="eastAsia"/>
          <w:color w:val="auto"/>
          <w:lang w:val="en-US" w:eastAsia="zh-CN"/>
        </w:rPr>
        <w:t>2</w:t>
      </w:r>
      <w:r>
        <w:rPr>
          <w:color w:val="auto"/>
        </w:rPr>
        <w:t>)矿石的化学成分</w:t>
      </w:r>
    </w:p>
    <w:p w14:paraId="4B1BBD2D">
      <w:pPr>
        <w:ind w:firstLine="560"/>
        <w:rPr>
          <w:rFonts w:hint="eastAsia" w:ascii="宋体" w:hAnsi="宋体" w:eastAsia="宋体" w:cs="宋体"/>
          <w:b w:val="0"/>
          <w:bCs w:val="0"/>
          <w:color w:val="auto"/>
          <w:sz w:val="24"/>
          <w:szCs w:val="24"/>
        </w:rPr>
      </w:pPr>
      <w:r>
        <w:rPr>
          <w:rFonts w:hint="eastAsia"/>
          <w:color w:val="auto"/>
        </w:rPr>
        <w:t>根据光谱分析结果确定化学全分析分析项为Ca0、MgO、SiO</w:t>
      </w:r>
      <w:r>
        <w:rPr>
          <w:rFonts w:hint="eastAsia"/>
          <w:color w:val="auto"/>
          <w:vertAlign w:val="subscript"/>
        </w:rPr>
        <w:t>2</w:t>
      </w:r>
      <w:r>
        <w:rPr>
          <w:rFonts w:hint="eastAsia"/>
          <w:color w:val="auto"/>
        </w:rPr>
        <w:t>、Al</w:t>
      </w:r>
      <w:r>
        <w:rPr>
          <w:rFonts w:hint="eastAsia"/>
          <w:color w:val="auto"/>
          <w:vertAlign w:val="subscript"/>
          <w:lang w:val="en-US" w:eastAsia="zh-CN"/>
        </w:rPr>
        <w:t>2</w:t>
      </w:r>
      <w:r>
        <w:rPr>
          <w:rFonts w:hint="eastAsia"/>
          <w:color w:val="auto"/>
        </w:rPr>
        <w:t>0</w:t>
      </w:r>
      <w:r>
        <w:rPr>
          <w:rFonts w:hint="eastAsia"/>
          <w:color w:val="auto"/>
          <w:lang w:eastAsia="zh-CN"/>
        </w:rPr>
        <w:t>；</w:t>
      </w:r>
      <w:r>
        <w:rPr>
          <w:rFonts w:hint="eastAsia"/>
          <w:color w:val="auto"/>
        </w:rPr>
        <w:t>Fe</w:t>
      </w:r>
      <w:r>
        <w:rPr>
          <w:rFonts w:hint="eastAsia"/>
          <w:color w:val="auto"/>
          <w:vertAlign w:val="subscript"/>
        </w:rPr>
        <w:t>2</w:t>
      </w:r>
      <w:r>
        <w:rPr>
          <w:rFonts w:hint="eastAsia"/>
          <w:color w:val="auto"/>
        </w:rPr>
        <w:t>0</w:t>
      </w:r>
      <w:r>
        <w:rPr>
          <w:rFonts w:hint="eastAsia"/>
          <w:color w:val="auto"/>
          <w:lang w:eastAsia="zh-CN"/>
        </w:rPr>
        <w:t>；</w:t>
      </w:r>
      <w:r>
        <w:rPr>
          <w:rFonts w:hint="eastAsia"/>
          <w:color w:val="auto"/>
        </w:rPr>
        <w:t>Ti0</w:t>
      </w:r>
      <w:r>
        <w:rPr>
          <w:rFonts w:hint="eastAsia"/>
          <w:color w:val="auto"/>
          <w:vertAlign w:val="subscript"/>
        </w:rPr>
        <w:t>2</w:t>
      </w:r>
      <w:r>
        <w:rPr>
          <w:rFonts w:hint="eastAsia"/>
          <w:color w:val="auto"/>
        </w:rPr>
        <w:t>、Mn0、CO</w:t>
      </w:r>
      <w:r>
        <w:rPr>
          <w:rFonts w:hint="eastAsia"/>
          <w:color w:val="auto"/>
          <w:vertAlign w:val="subscript"/>
        </w:rPr>
        <w:t>2</w:t>
      </w:r>
      <w:r>
        <w:rPr>
          <w:rFonts w:hint="eastAsia"/>
          <w:color w:val="auto"/>
        </w:rPr>
        <w:t>、盐酸不溶物、重金属(Pb、Hg、Cr</w:t>
      </w:r>
      <w:r>
        <w:rPr>
          <w:rFonts w:hint="eastAsia"/>
          <w:color w:val="auto"/>
          <w:vertAlign w:val="superscript"/>
        </w:rPr>
        <w:t>6+</w:t>
      </w:r>
      <w:r>
        <w:rPr>
          <w:rFonts w:hint="eastAsia"/>
          <w:color w:val="auto"/>
        </w:rPr>
        <w:t>、Cd)、钡、氟、砷、碱金属和还原性硫等。结果表明有益组分Ca0含量54.34</w:t>
      </w:r>
      <w:r>
        <w:rPr>
          <w:rFonts w:hint="eastAsia"/>
          <w:color w:val="auto"/>
          <w:lang w:val="en-US" w:eastAsia="zh-CN"/>
        </w:rPr>
        <w:t>%</w:t>
      </w:r>
      <w:r>
        <w:rPr>
          <w:rFonts w:hint="eastAsia"/>
          <w:color w:val="auto"/>
        </w:rPr>
        <w:t>-55.36%,满足一般工业指标要求,有害组分为游离二氧化硅、MgO、AL0、Fe</w:t>
      </w:r>
      <w:r>
        <w:rPr>
          <w:rFonts w:hint="eastAsia"/>
          <w:color w:val="auto"/>
          <w:vertAlign w:val="subscript"/>
          <w:lang w:val="en-US" w:eastAsia="zh-CN"/>
        </w:rPr>
        <w:t>2</w:t>
      </w:r>
      <w:r>
        <w:rPr>
          <w:rFonts w:hint="eastAsia"/>
          <w:color w:val="auto"/>
        </w:rPr>
        <w:t>0、Pb、Cr</w:t>
      </w:r>
      <w:r>
        <w:rPr>
          <w:rFonts w:hint="eastAsia"/>
          <w:color w:val="auto"/>
          <w:vertAlign w:val="superscript"/>
        </w:rPr>
        <w:t>6+</w:t>
      </w:r>
      <w:r>
        <w:rPr>
          <w:rFonts w:hint="eastAsia"/>
          <w:color w:val="auto"/>
        </w:rPr>
        <w:t>、Hg、As、Cd，有害元素含量均符合规范要求，对矿石品质影响不大。</w:t>
      </w:r>
    </w:p>
    <w:p w14:paraId="50D5D947">
      <w:pPr>
        <w:pStyle w:val="5"/>
        <w:keepNext/>
        <w:keepLines/>
        <w:pageBreakBefore w:val="0"/>
        <w:widowControl w:val="0"/>
        <w:kinsoku/>
        <w:wordWrap/>
        <w:overflowPunct/>
        <w:topLinePunct w:val="0"/>
        <w:autoSpaceDE/>
        <w:autoSpaceDN/>
        <w:bidi w:val="0"/>
        <w:adjustRightInd/>
        <w:snapToGrid/>
        <w:ind w:firstLine="560" w:firstLineChars="200"/>
        <w:textAlignment w:val="auto"/>
        <w:rPr>
          <w:color w:val="auto"/>
        </w:rPr>
      </w:pPr>
      <w:r>
        <w:rPr>
          <w:rFonts w:hint="eastAsia"/>
          <w:color w:val="auto"/>
        </w:rPr>
        <w:t>2.3.5.3</w:t>
      </w:r>
      <w:r>
        <w:rPr>
          <w:color w:val="auto"/>
        </w:rPr>
        <w:t>矿石类型</w:t>
      </w:r>
    </w:p>
    <w:p w14:paraId="0C59F0D6">
      <w:pPr>
        <w:keepNext w:val="0"/>
        <w:keepLines w:val="0"/>
        <w:pageBreakBefore w:val="0"/>
        <w:widowControl w:val="0"/>
        <w:kinsoku/>
        <w:wordWrap/>
        <w:overflowPunct/>
        <w:topLinePunct w:val="0"/>
        <w:autoSpaceDE/>
        <w:autoSpaceDN/>
        <w:bidi w:val="0"/>
        <w:adjustRightInd/>
        <w:snapToGrid/>
        <w:spacing w:line="520" w:lineRule="exact"/>
        <w:ind w:firstLine="560"/>
        <w:textAlignment w:val="baseline"/>
        <w:rPr>
          <w:rFonts w:hint="eastAsia" w:eastAsia="宋体"/>
          <w:color w:val="auto"/>
          <w:lang w:eastAsia="zh-CN"/>
        </w:rPr>
      </w:pPr>
      <w:bookmarkStart w:id="67" w:name="_Toc11836588"/>
      <w:bookmarkStart w:id="68" w:name="_Toc192691322"/>
      <w:r>
        <w:rPr>
          <w:rFonts w:hint="eastAsia"/>
          <w:color w:val="auto"/>
        </w:rPr>
        <w:t>1)自然类型</w:t>
      </w:r>
      <w:r>
        <w:rPr>
          <w:rFonts w:hint="eastAsia"/>
          <w:color w:val="auto"/>
          <w:lang w:eastAsia="zh-CN"/>
        </w:rPr>
        <w:t>：</w:t>
      </w:r>
    </w:p>
    <w:p w14:paraId="4F5DA7D2">
      <w:pPr>
        <w:keepNext w:val="0"/>
        <w:keepLines w:val="0"/>
        <w:pageBreakBefore w:val="0"/>
        <w:widowControl w:val="0"/>
        <w:kinsoku/>
        <w:wordWrap/>
        <w:overflowPunct/>
        <w:topLinePunct w:val="0"/>
        <w:autoSpaceDE/>
        <w:autoSpaceDN/>
        <w:bidi w:val="0"/>
        <w:adjustRightInd/>
        <w:snapToGrid/>
        <w:spacing w:line="520" w:lineRule="exact"/>
        <w:ind w:firstLine="560"/>
        <w:textAlignment w:val="baseline"/>
        <w:rPr>
          <w:rFonts w:hint="eastAsia"/>
          <w:color w:val="auto"/>
        </w:rPr>
      </w:pPr>
      <w:r>
        <w:rPr>
          <w:rFonts w:hint="eastAsia"/>
          <w:color w:val="auto"/>
        </w:rPr>
        <w:t>根据矿石结构、构造、矿物成分、化学成分的特征，将区内矿石自然类型划分为一种自然类型，即浅灰白色-灰白色大理岩。</w:t>
      </w:r>
    </w:p>
    <w:p w14:paraId="6EC7AE33">
      <w:pPr>
        <w:keepNext w:val="0"/>
        <w:keepLines w:val="0"/>
        <w:pageBreakBefore w:val="0"/>
        <w:widowControl w:val="0"/>
        <w:kinsoku/>
        <w:wordWrap/>
        <w:overflowPunct/>
        <w:topLinePunct w:val="0"/>
        <w:autoSpaceDE/>
        <w:autoSpaceDN/>
        <w:bidi w:val="0"/>
        <w:adjustRightInd/>
        <w:snapToGrid/>
        <w:spacing w:line="520" w:lineRule="exact"/>
        <w:ind w:firstLine="560"/>
        <w:textAlignment w:val="baseline"/>
        <w:rPr>
          <w:rFonts w:hint="eastAsia"/>
          <w:color w:val="auto"/>
        </w:rPr>
      </w:pPr>
      <w:r>
        <w:rPr>
          <w:rFonts w:hint="eastAsia"/>
          <w:color w:val="auto"/>
        </w:rPr>
        <w:t>浅灰白色-灰白色大理岩</w:t>
      </w:r>
      <w:r>
        <w:rPr>
          <w:rFonts w:hint="eastAsia"/>
          <w:color w:val="auto"/>
          <w:lang w:eastAsia="zh-CN"/>
        </w:rPr>
        <w:t>：</w:t>
      </w:r>
      <w:r>
        <w:rPr>
          <w:rFonts w:hint="eastAsia"/>
          <w:color w:val="auto"/>
        </w:rPr>
        <w:t>中-厚层状、块状构造，显微-细粒变品晶结构、镶嵌状结构、近等粒结构，块状构造。岩石矿物成分主要为方解石其次有石英、金属矿物(主要为褐铁矿)等。方解石含量约99%，石英褐铁矿含量＜1%。</w:t>
      </w:r>
    </w:p>
    <w:p w14:paraId="2BB3D8C1">
      <w:pPr>
        <w:keepNext w:val="0"/>
        <w:keepLines w:val="0"/>
        <w:pageBreakBefore w:val="0"/>
        <w:widowControl w:val="0"/>
        <w:kinsoku/>
        <w:wordWrap/>
        <w:overflowPunct/>
        <w:topLinePunct w:val="0"/>
        <w:autoSpaceDE/>
        <w:autoSpaceDN/>
        <w:bidi w:val="0"/>
        <w:adjustRightInd/>
        <w:snapToGrid/>
        <w:spacing w:line="520" w:lineRule="exact"/>
        <w:ind w:firstLine="560"/>
        <w:textAlignment w:val="baseline"/>
        <w:rPr>
          <w:rFonts w:hint="eastAsia" w:eastAsia="宋体"/>
          <w:color w:val="auto"/>
          <w:lang w:eastAsia="zh-CN"/>
        </w:rPr>
      </w:pPr>
      <w:r>
        <w:rPr>
          <w:rFonts w:hint="eastAsia"/>
          <w:color w:val="auto"/>
        </w:rPr>
        <w:t>2)工业品级</w:t>
      </w:r>
      <w:r>
        <w:rPr>
          <w:rFonts w:hint="eastAsia"/>
          <w:color w:val="auto"/>
          <w:lang w:eastAsia="zh-CN"/>
        </w:rPr>
        <w:t>：</w:t>
      </w:r>
    </w:p>
    <w:p w14:paraId="27745BBC">
      <w:pPr>
        <w:keepNext w:val="0"/>
        <w:keepLines w:val="0"/>
        <w:pageBreakBefore w:val="0"/>
        <w:widowControl w:val="0"/>
        <w:kinsoku/>
        <w:wordWrap/>
        <w:overflowPunct/>
        <w:topLinePunct w:val="0"/>
        <w:autoSpaceDE/>
        <w:autoSpaceDN/>
        <w:bidi w:val="0"/>
        <w:adjustRightInd/>
        <w:snapToGrid/>
        <w:spacing w:line="520" w:lineRule="exact"/>
        <w:ind w:firstLine="560"/>
        <w:textAlignment w:val="baseline"/>
        <w:rPr>
          <w:rFonts w:hint="eastAsia" w:eastAsia="宋体"/>
          <w:color w:val="auto"/>
          <w:lang w:eastAsia="zh-CN"/>
        </w:rPr>
      </w:pPr>
      <w:r>
        <w:rPr>
          <w:rFonts w:hint="eastAsia"/>
          <w:color w:val="auto"/>
        </w:rPr>
        <w:t>K1矿体Ca0含量54.60</w:t>
      </w:r>
      <w:r>
        <w:rPr>
          <w:rFonts w:hint="eastAsia"/>
          <w:color w:val="auto"/>
          <w:lang w:val="en-US" w:eastAsia="zh-CN"/>
        </w:rPr>
        <w:t>%</w:t>
      </w:r>
      <w:r>
        <w:rPr>
          <w:rFonts w:hint="eastAsia"/>
          <w:color w:val="auto"/>
        </w:rPr>
        <w:t>-55.78%,平均含量55.25%</w:t>
      </w:r>
      <w:r>
        <w:rPr>
          <w:rFonts w:hint="eastAsia"/>
          <w:color w:val="auto"/>
          <w:lang w:eastAsia="zh-CN"/>
        </w:rPr>
        <w:t>；</w:t>
      </w:r>
      <w:r>
        <w:rPr>
          <w:rFonts w:hint="eastAsia"/>
          <w:color w:val="auto"/>
        </w:rPr>
        <w:t>白度为85.4-93.9,平均白度为89.3。矿石物质组成单一，品质稳定，有害组分含量低，对矿石品质无影响。依据《方解石地质勘查规范》(DZ/T0321-2018)中矿石品级划分标准</w:t>
      </w:r>
      <w:r>
        <w:rPr>
          <w:rFonts w:hint="eastAsia"/>
          <w:color w:val="auto"/>
          <w:lang w:eastAsia="zh-CN"/>
        </w:rPr>
        <w:t>：</w:t>
      </w:r>
    </w:p>
    <w:p w14:paraId="35899A97">
      <w:pPr>
        <w:keepNext w:val="0"/>
        <w:keepLines w:val="0"/>
        <w:pageBreakBefore w:val="0"/>
        <w:widowControl w:val="0"/>
        <w:kinsoku/>
        <w:wordWrap/>
        <w:overflowPunct/>
        <w:topLinePunct w:val="0"/>
        <w:autoSpaceDE/>
        <w:autoSpaceDN/>
        <w:bidi w:val="0"/>
        <w:adjustRightInd/>
        <w:snapToGrid/>
        <w:spacing w:line="520" w:lineRule="exact"/>
        <w:ind w:firstLine="560"/>
        <w:textAlignment w:val="baseline"/>
        <w:rPr>
          <w:rFonts w:hint="eastAsia" w:eastAsia="宋体"/>
          <w:color w:val="auto"/>
          <w:lang w:eastAsia="zh-CN"/>
        </w:rPr>
      </w:pPr>
      <w:r>
        <w:rPr>
          <w:rFonts w:hint="eastAsia"/>
          <w:color w:val="auto"/>
        </w:rPr>
        <w:t>二级品级ω(Ca0)/%＞52，白度</w:t>
      </w:r>
      <w:r>
        <w:rPr>
          <w:rFonts w:hint="eastAsia"/>
          <w:color w:val="auto"/>
          <w:lang w:eastAsia="zh-CN"/>
        </w:rPr>
        <w:t>＞</w:t>
      </w:r>
      <w:r>
        <w:rPr>
          <w:rFonts w:hint="eastAsia"/>
          <w:color w:val="auto"/>
        </w:rPr>
        <w:t>85</w:t>
      </w:r>
      <w:r>
        <w:rPr>
          <w:rFonts w:hint="eastAsia"/>
          <w:color w:val="auto"/>
          <w:lang w:eastAsia="zh-CN"/>
        </w:rPr>
        <w:t>；</w:t>
      </w:r>
    </w:p>
    <w:p w14:paraId="3E323B03">
      <w:pPr>
        <w:keepNext w:val="0"/>
        <w:keepLines w:val="0"/>
        <w:pageBreakBefore w:val="0"/>
        <w:widowControl w:val="0"/>
        <w:kinsoku/>
        <w:wordWrap/>
        <w:overflowPunct/>
        <w:topLinePunct w:val="0"/>
        <w:autoSpaceDE/>
        <w:autoSpaceDN/>
        <w:bidi w:val="0"/>
        <w:adjustRightInd/>
        <w:snapToGrid/>
        <w:spacing w:line="520" w:lineRule="exact"/>
        <w:ind w:firstLine="560"/>
        <w:textAlignment w:val="baseline"/>
        <w:rPr>
          <w:rFonts w:hint="eastAsia"/>
          <w:color w:val="auto"/>
        </w:rPr>
      </w:pPr>
      <w:r>
        <w:rPr>
          <w:rFonts w:hint="eastAsia"/>
          <w:color w:val="auto"/>
        </w:rPr>
        <w:t>一级品级ω(Ca0)/%＞54，白度</w:t>
      </w:r>
      <w:r>
        <w:rPr>
          <w:rFonts w:hint="eastAsia"/>
          <w:color w:val="auto"/>
          <w:lang w:eastAsia="zh-CN"/>
        </w:rPr>
        <w:t>＞</w:t>
      </w:r>
      <w:r>
        <w:rPr>
          <w:rFonts w:hint="eastAsia"/>
          <w:color w:val="auto"/>
        </w:rPr>
        <w:t>90。</w:t>
      </w:r>
    </w:p>
    <w:p w14:paraId="1364672E">
      <w:pPr>
        <w:keepNext w:val="0"/>
        <w:keepLines w:val="0"/>
        <w:pageBreakBefore w:val="0"/>
        <w:widowControl w:val="0"/>
        <w:kinsoku/>
        <w:wordWrap/>
        <w:overflowPunct/>
        <w:topLinePunct w:val="0"/>
        <w:autoSpaceDE/>
        <w:autoSpaceDN/>
        <w:bidi w:val="0"/>
        <w:adjustRightInd/>
        <w:snapToGrid/>
        <w:spacing w:line="520" w:lineRule="exact"/>
        <w:ind w:firstLine="560"/>
        <w:textAlignment w:val="baseline"/>
        <w:rPr>
          <w:rFonts w:hint="eastAsia"/>
          <w:color w:val="auto"/>
        </w:rPr>
      </w:pPr>
      <w:r>
        <w:rPr>
          <w:rFonts w:hint="eastAsia"/>
          <w:color w:val="auto"/>
        </w:rPr>
        <w:t>综合评定区内矿石品级为二级。</w:t>
      </w:r>
    </w:p>
    <w:p w14:paraId="2FB640CD">
      <w:pPr>
        <w:pStyle w:val="5"/>
        <w:keepNext/>
        <w:keepLines/>
        <w:pageBreakBefore w:val="0"/>
        <w:widowControl w:val="0"/>
        <w:kinsoku/>
        <w:wordWrap/>
        <w:overflowPunct/>
        <w:topLinePunct w:val="0"/>
        <w:autoSpaceDE/>
        <w:autoSpaceDN/>
        <w:bidi w:val="0"/>
        <w:adjustRightInd/>
        <w:snapToGrid/>
        <w:ind w:firstLine="560" w:firstLineChars="200"/>
        <w:textAlignment w:val="auto"/>
        <w:rPr>
          <w:color w:val="auto"/>
        </w:rPr>
      </w:pPr>
      <w:r>
        <w:rPr>
          <w:rFonts w:hint="eastAsia"/>
          <w:color w:val="auto"/>
        </w:rPr>
        <w:t>2.3.5.4</w:t>
      </w:r>
      <w:r>
        <w:rPr>
          <w:color w:val="auto"/>
        </w:rPr>
        <w:t>矿体围岩和夹石</w:t>
      </w:r>
      <w:bookmarkEnd w:id="67"/>
      <w:bookmarkEnd w:id="68"/>
    </w:p>
    <w:p w14:paraId="2B73ADC4">
      <w:pPr>
        <w:keepNext w:val="0"/>
        <w:keepLines w:val="0"/>
        <w:pageBreakBefore w:val="0"/>
        <w:widowControl w:val="0"/>
        <w:kinsoku/>
        <w:wordWrap/>
        <w:overflowPunct/>
        <w:topLinePunct w:val="0"/>
        <w:autoSpaceDE/>
        <w:autoSpaceDN/>
        <w:bidi w:val="0"/>
        <w:adjustRightInd/>
        <w:snapToGrid/>
        <w:spacing w:line="520" w:lineRule="exact"/>
        <w:ind w:firstLine="560"/>
        <w:textAlignment w:val="baseline"/>
        <w:rPr>
          <w:rFonts w:hint="eastAsia"/>
          <w:color w:val="auto"/>
        </w:rPr>
      </w:pPr>
      <w:r>
        <w:rPr>
          <w:rFonts w:hint="eastAsia"/>
          <w:color w:val="auto"/>
        </w:rPr>
        <w:t>1)围岩</w:t>
      </w:r>
    </w:p>
    <w:p w14:paraId="7EE6E2AF">
      <w:pPr>
        <w:keepNext w:val="0"/>
        <w:keepLines w:val="0"/>
        <w:pageBreakBefore w:val="0"/>
        <w:widowControl w:val="0"/>
        <w:kinsoku/>
        <w:wordWrap/>
        <w:overflowPunct/>
        <w:topLinePunct w:val="0"/>
        <w:autoSpaceDE/>
        <w:autoSpaceDN/>
        <w:bidi w:val="0"/>
        <w:adjustRightInd/>
        <w:snapToGrid/>
        <w:spacing w:line="520" w:lineRule="exact"/>
        <w:ind w:firstLine="560"/>
        <w:textAlignment w:val="baseline"/>
        <w:rPr>
          <w:rFonts w:hint="eastAsia"/>
          <w:color w:val="auto"/>
        </w:rPr>
      </w:pPr>
      <w:r>
        <w:rPr>
          <w:rFonts w:hint="eastAsia"/>
          <w:color w:val="auto"/>
        </w:rPr>
        <w:t>矿体为浅灰白色-灰白色大理岩，产于下古生界丹凤岩群c岩组中，上、下盘围岩为深灰-灰黑色(含炭)钙质粉砂质千枚岩、(含炭)大理岩化灰岩，与围岩界线明显。围岩中发育绿泥石化、褐铁矿化。</w:t>
      </w:r>
    </w:p>
    <w:p w14:paraId="7E9FAFF5">
      <w:pPr>
        <w:keepNext w:val="0"/>
        <w:keepLines w:val="0"/>
        <w:pageBreakBefore w:val="0"/>
        <w:widowControl w:val="0"/>
        <w:kinsoku/>
        <w:wordWrap/>
        <w:overflowPunct/>
        <w:topLinePunct w:val="0"/>
        <w:autoSpaceDE/>
        <w:autoSpaceDN/>
        <w:bidi w:val="0"/>
        <w:adjustRightInd/>
        <w:snapToGrid/>
        <w:spacing w:line="520" w:lineRule="exact"/>
        <w:ind w:firstLine="560"/>
        <w:textAlignment w:val="baseline"/>
        <w:rPr>
          <w:rFonts w:hint="eastAsia"/>
          <w:color w:val="auto"/>
        </w:rPr>
      </w:pPr>
      <w:r>
        <w:rPr>
          <w:rFonts w:hint="eastAsia"/>
          <w:color w:val="auto"/>
        </w:rPr>
        <w:t>2)夹石</w:t>
      </w:r>
    </w:p>
    <w:p w14:paraId="677BA6AB">
      <w:pPr>
        <w:keepNext w:val="0"/>
        <w:keepLines w:val="0"/>
        <w:pageBreakBefore w:val="0"/>
        <w:widowControl w:val="0"/>
        <w:kinsoku/>
        <w:wordWrap/>
        <w:overflowPunct/>
        <w:topLinePunct w:val="0"/>
        <w:autoSpaceDE/>
        <w:autoSpaceDN/>
        <w:bidi w:val="0"/>
        <w:adjustRightInd/>
        <w:snapToGrid/>
        <w:spacing w:line="520" w:lineRule="exact"/>
        <w:ind w:firstLine="560"/>
        <w:textAlignment w:val="baseline"/>
        <w:rPr>
          <w:rFonts w:hint="eastAsia"/>
          <w:color w:val="auto"/>
        </w:rPr>
      </w:pPr>
      <w:r>
        <w:rPr>
          <w:rFonts w:hint="eastAsia"/>
          <w:color w:val="auto"/>
        </w:rPr>
        <w:t>矿体较稳定，局部见小于1m的闪长玢岩脉，不够夹石剔除厚度。</w:t>
      </w:r>
    </w:p>
    <w:bookmarkEnd w:id="65"/>
    <w:bookmarkEnd w:id="66"/>
    <w:p w14:paraId="22F52ECC">
      <w:pPr>
        <w:pStyle w:val="3"/>
        <w:jc w:val="center"/>
        <w:rPr>
          <w:color w:val="auto"/>
        </w:rPr>
      </w:pPr>
      <w:bookmarkStart w:id="69" w:name="_Toc21699"/>
      <w:r>
        <w:rPr>
          <w:rFonts w:hint="eastAsia"/>
          <w:color w:val="auto"/>
        </w:rPr>
        <w:t>2.4矿山建设方案</w:t>
      </w:r>
      <w:bookmarkEnd w:id="62"/>
      <w:bookmarkEnd w:id="63"/>
      <w:r>
        <w:rPr>
          <w:rFonts w:hint="eastAsia"/>
          <w:color w:val="auto"/>
        </w:rPr>
        <w:t>概况</w:t>
      </w:r>
      <w:bookmarkEnd w:id="64"/>
      <w:bookmarkEnd w:id="69"/>
    </w:p>
    <w:p w14:paraId="28BB0246">
      <w:pPr>
        <w:ind w:firstLine="560"/>
        <w:rPr>
          <w:rFonts w:hint="eastAsia" w:eastAsia="宋体"/>
          <w:color w:val="auto"/>
          <w:lang w:eastAsia="zh-CN"/>
        </w:rPr>
      </w:pPr>
      <w:r>
        <w:rPr>
          <w:rFonts w:hint="eastAsia"/>
          <w:color w:val="auto"/>
          <w:lang w:eastAsia="zh-CN"/>
        </w:rPr>
        <w:t>该项目为</w:t>
      </w:r>
      <w:r>
        <w:rPr>
          <w:rFonts w:hint="eastAsia"/>
          <w:color w:val="auto"/>
          <w:lang w:val="en-US" w:eastAsia="zh-CN"/>
        </w:rPr>
        <w:t>新建</w:t>
      </w:r>
      <w:r>
        <w:rPr>
          <w:rFonts w:hint="eastAsia"/>
          <w:color w:val="auto"/>
          <w:lang w:eastAsia="zh-CN"/>
        </w:rPr>
        <w:t>项目。</w:t>
      </w:r>
      <w:r>
        <w:rPr>
          <w:rFonts w:hint="eastAsia"/>
          <w:color w:val="auto"/>
        </w:rPr>
        <w:t>依据</w:t>
      </w:r>
      <w:r>
        <w:rPr>
          <w:rFonts w:hint="eastAsia"/>
          <w:color w:val="auto"/>
          <w:lang w:eastAsia="zh-CN"/>
        </w:rPr>
        <w:t>2025年5月中国有色金属工业西安勘察设计研究院有限公司</w:t>
      </w:r>
      <w:r>
        <w:rPr>
          <w:rFonts w:hint="eastAsia"/>
          <w:color w:val="auto"/>
          <w:lang w:val="en-US" w:eastAsia="zh-CN"/>
        </w:rPr>
        <w:t>编制的</w:t>
      </w:r>
      <w:r>
        <w:rPr>
          <w:rFonts w:hint="eastAsia"/>
          <w:color w:val="auto"/>
          <w:lang w:eastAsia="zh-CN"/>
        </w:rPr>
        <w:t>《凤县绿能诚睿矿业有限公司陕西省李家庄方解石矿地下开采建设项目可行性研究》</w:t>
      </w:r>
      <w:r>
        <w:rPr>
          <w:rFonts w:hint="eastAsia"/>
          <w:color w:val="auto"/>
          <w:lang w:val="en-US" w:eastAsia="zh-CN"/>
        </w:rPr>
        <w:t>，陕西省</w:t>
      </w:r>
      <w:r>
        <w:rPr>
          <w:rFonts w:hint="eastAsia"/>
          <w:color w:val="auto"/>
          <w:lang w:eastAsia="zh-CN"/>
        </w:rPr>
        <w:t>李家庄方解石矿地下开采建设项目</w:t>
      </w:r>
      <w:r>
        <w:rPr>
          <w:rFonts w:hint="eastAsia"/>
          <w:color w:val="auto"/>
        </w:rPr>
        <w:t>建设方案如下</w:t>
      </w:r>
      <w:r>
        <w:rPr>
          <w:rFonts w:hint="eastAsia"/>
          <w:color w:val="auto"/>
          <w:lang w:eastAsia="zh-CN"/>
        </w:rPr>
        <w:t>。</w:t>
      </w:r>
    </w:p>
    <w:p w14:paraId="0A9B7E81">
      <w:pPr>
        <w:pStyle w:val="4"/>
        <w:rPr>
          <w:rFonts w:hint="eastAsia"/>
          <w:color w:val="auto"/>
          <w:lang w:val="en-US" w:eastAsia="zh-CN"/>
        </w:rPr>
      </w:pPr>
      <w:bookmarkStart w:id="70" w:name="_Toc225062546"/>
      <w:r>
        <w:rPr>
          <w:rFonts w:hint="eastAsia"/>
          <w:color w:val="auto"/>
        </w:rPr>
        <w:t>2.4.</w:t>
      </w:r>
      <w:r>
        <w:rPr>
          <w:rFonts w:hint="eastAsia"/>
          <w:color w:val="auto"/>
          <w:lang w:val="en-US" w:eastAsia="zh-CN"/>
        </w:rPr>
        <w:t>1</w:t>
      </w:r>
      <w:bookmarkEnd w:id="70"/>
      <w:r>
        <w:rPr>
          <w:rFonts w:hint="eastAsia"/>
          <w:color w:val="auto"/>
          <w:lang w:val="en-US" w:eastAsia="zh-CN"/>
        </w:rPr>
        <w:t>矿山开采现状</w:t>
      </w:r>
    </w:p>
    <w:p w14:paraId="0078BC1E">
      <w:pPr>
        <w:rPr>
          <w:rFonts w:hint="eastAsia"/>
          <w:color w:val="auto"/>
          <w:lang w:val="en-US" w:eastAsia="zh-CN"/>
        </w:rPr>
      </w:pPr>
      <w:r>
        <w:rPr>
          <w:rFonts w:hint="eastAsia"/>
          <w:color w:val="auto"/>
          <w:lang w:val="en-US" w:eastAsia="zh-CN"/>
        </w:rPr>
        <w:t>矿山目前未进行开发建设，前期布置有部分探矿工程，形成了1230m平硐与1230m至1270m斜坡道。其中1230m平硐规格为8m×8m，可以平行两辆20t矿用无轨运输车通行，开拓长度230m，沿脉布置在矿体下盘，布置在矿区西北部，目前稳固性良好，继续利用。1230至1270m斜坡道目前稳固性良好，规格为5m×4.5m，沿脉螺旋式布置，约180m，部分坡段坡度较陡，改造后继续利用。</w:t>
      </w:r>
    </w:p>
    <w:p w14:paraId="499D20D5">
      <w:pPr>
        <w:pStyle w:val="4"/>
        <w:rPr>
          <w:rFonts w:hint="default"/>
          <w:color w:val="auto"/>
          <w:lang w:val="en-US" w:eastAsia="zh-CN"/>
        </w:rPr>
      </w:pPr>
      <w:r>
        <w:rPr>
          <w:rFonts w:hint="eastAsia"/>
          <w:color w:val="auto"/>
          <w:lang w:val="en-US" w:eastAsia="zh-CN"/>
        </w:rPr>
        <w:t>2.4.2建设规模及工作制度</w:t>
      </w:r>
    </w:p>
    <w:p w14:paraId="0F4CD6FF">
      <w:pPr>
        <w:pStyle w:val="5"/>
        <w:bidi w:val="0"/>
        <w:rPr>
          <w:color w:val="auto"/>
        </w:rPr>
      </w:pPr>
      <w:r>
        <w:rPr>
          <w:rFonts w:hint="eastAsia"/>
          <w:color w:val="auto"/>
        </w:rPr>
        <w:t>2.4.</w:t>
      </w:r>
      <w:r>
        <w:rPr>
          <w:rFonts w:hint="eastAsia"/>
          <w:color w:val="auto"/>
          <w:lang w:val="en-US" w:eastAsia="zh-CN"/>
        </w:rPr>
        <w:t>2</w:t>
      </w:r>
      <w:r>
        <w:rPr>
          <w:rFonts w:hint="eastAsia"/>
          <w:color w:val="auto"/>
        </w:rPr>
        <w:t>.1资源储量</w:t>
      </w:r>
    </w:p>
    <w:p w14:paraId="52BD3D0E">
      <w:pPr>
        <w:ind w:firstLine="560"/>
        <w:jc w:val="left"/>
        <w:rPr>
          <w:rFonts w:hint="eastAsia"/>
          <w:color w:val="auto"/>
          <w:szCs w:val="28"/>
        </w:rPr>
      </w:pPr>
      <w:bookmarkStart w:id="71" w:name="_Hlk126313418"/>
      <w:r>
        <w:rPr>
          <w:color w:val="auto"/>
          <w:szCs w:val="28"/>
        </w:rPr>
        <w:t>根据</w:t>
      </w:r>
      <w:r>
        <w:rPr>
          <w:rFonts w:hint="eastAsia"/>
          <w:color w:val="auto"/>
          <w:szCs w:val="28"/>
        </w:rPr>
        <w:t>宝鸡西北有色七一七总队有限公司2023年</w:t>
      </w:r>
      <w:r>
        <w:rPr>
          <w:rFonts w:hint="eastAsia"/>
          <w:color w:val="auto"/>
          <w:szCs w:val="28"/>
          <w:lang w:val="en-US" w:eastAsia="zh-CN"/>
        </w:rPr>
        <w:t>10</w:t>
      </w:r>
      <w:r>
        <w:rPr>
          <w:rFonts w:hint="eastAsia"/>
          <w:color w:val="auto"/>
          <w:szCs w:val="28"/>
        </w:rPr>
        <w:t>月编制的《陕西省凤县李家庄方解石矿详查地质报告》</w:t>
      </w:r>
      <w:bookmarkEnd w:id="71"/>
      <w:r>
        <w:rPr>
          <w:rFonts w:hint="eastAsia"/>
          <w:color w:val="auto"/>
          <w:szCs w:val="28"/>
        </w:rPr>
        <w:t>，对矿区1230m标高以上及地表保护带以下K1矿体进行资源量估算，共获控制+推断资源量552.93万吨，其中控制资源量364.28万吨，推断资源量188.65万吨。控制资源占总资源量的65.88%。</w:t>
      </w:r>
    </w:p>
    <w:p w14:paraId="1116A908">
      <w:pPr>
        <w:keepNext w:val="0"/>
        <w:keepLines w:val="0"/>
        <w:pageBreakBefore w:val="0"/>
        <w:widowControl w:val="0"/>
        <w:kinsoku/>
        <w:wordWrap/>
        <w:overflowPunct/>
        <w:topLinePunct w:val="0"/>
        <w:autoSpaceDE/>
        <w:autoSpaceDN/>
        <w:bidi w:val="0"/>
        <w:adjustRightInd w:val="0"/>
        <w:snapToGrid w:val="0"/>
        <w:spacing w:line="520" w:lineRule="exact"/>
        <w:ind w:firstLine="0" w:firstLineChars="0"/>
        <w:jc w:val="center"/>
        <w:textAlignment w:val="auto"/>
        <w:rPr>
          <w:rFonts w:hint="eastAsia" w:ascii="宋体" w:hAnsi="宋体" w:eastAsia="宋体" w:cs="宋体"/>
          <w:b/>
          <w:bCs/>
          <w:color w:val="auto"/>
          <w:sz w:val="28"/>
          <w:szCs w:val="28"/>
        </w:rPr>
      </w:pPr>
      <w:bookmarkStart w:id="72" w:name="_Hlk112273996"/>
      <w:r>
        <w:rPr>
          <w:rFonts w:hint="eastAsia" w:ascii="宋体" w:hAnsi="宋体" w:eastAsia="宋体" w:cs="宋体"/>
          <w:b/>
          <w:bCs/>
          <w:color w:val="auto"/>
          <w:sz w:val="28"/>
          <w:szCs w:val="28"/>
        </w:rPr>
        <w:t>表</w:t>
      </w:r>
      <w:r>
        <w:rPr>
          <w:rFonts w:hint="eastAsia" w:ascii="宋体" w:hAnsi="宋体" w:eastAsia="宋体" w:cs="宋体"/>
          <w:b/>
          <w:bCs/>
          <w:color w:val="auto"/>
          <w:sz w:val="28"/>
          <w:szCs w:val="28"/>
          <w:lang w:val="en-US" w:eastAsia="zh-CN"/>
        </w:rPr>
        <w:t>2.4</w:t>
      </w:r>
      <w:r>
        <w:rPr>
          <w:rFonts w:hint="eastAsia" w:cs="宋体"/>
          <w:b/>
          <w:bCs/>
          <w:color w:val="auto"/>
          <w:sz w:val="28"/>
          <w:szCs w:val="28"/>
          <w:lang w:val="en-US" w:eastAsia="zh-CN"/>
        </w:rPr>
        <w:t>-1</w:t>
      </w:r>
      <w:r>
        <w:rPr>
          <w:rFonts w:hint="eastAsia" w:ascii="宋体" w:hAnsi="宋体" w:eastAsia="宋体" w:cs="宋体"/>
          <w:b/>
          <w:bCs/>
          <w:color w:val="auto"/>
          <w:sz w:val="28"/>
          <w:szCs w:val="28"/>
        </w:rPr>
        <w:t xml:space="preserve"> 李家庄方解石矿资源量估算表</w:t>
      </w:r>
    </w:p>
    <w:tbl>
      <w:tblPr>
        <w:tblStyle w:val="25"/>
        <w:tblW w:w="5000"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637"/>
        <w:gridCol w:w="604"/>
        <w:gridCol w:w="561"/>
        <w:gridCol w:w="628"/>
        <w:gridCol w:w="1032"/>
        <w:gridCol w:w="1032"/>
        <w:gridCol w:w="620"/>
        <w:gridCol w:w="1463"/>
        <w:gridCol w:w="1152"/>
        <w:gridCol w:w="945"/>
        <w:gridCol w:w="840"/>
      </w:tblGrid>
      <w:tr w14:paraId="2248B08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blHeader/>
          <w:jc w:val="center"/>
        </w:trPr>
        <w:tc>
          <w:tcPr>
            <w:tcW w:w="335" w:type="pct"/>
            <w:tcBorders>
              <w:tl2br w:val="nil"/>
              <w:tr2bl w:val="nil"/>
            </w:tcBorders>
            <w:vAlign w:val="center"/>
          </w:tcPr>
          <w:p w14:paraId="5DD5FE5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firstLine="0" w:firstLineChars="0"/>
              <w:jc w:val="center"/>
              <w:textAlignment w:val="auto"/>
              <w:rPr>
                <w:rFonts w:hint="eastAsia" w:ascii="宋体" w:hAnsi="宋体" w:eastAsia="宋体" w:cs="宋体"/>
                <w:b/>
                <w:bCs/>
                <w:color w:val="auto"/>
                <w:sz w:val="21"/>
                <w:szCs w:val="21"/>
                <w:vertAlign w:val="baseline"/>
              </w:rPr>
            </w:pPr>
            <w:r>
              <w:rPr>
                <w:rFonts w:hint="eastAsia" w:ascii="宋体" w:hAnsi="宋体" w:eastAsia="宋体" w:cs="宋体"/>
                <w:b/>
                <w:bCs/>
                <w:color w:val="auto"/>
                <w:spacing w:val="-3"/>
                <w:sz w:val="21"/>
                <w:szCs w:val="21"/>
              </w:rPr>
              <w:t>矿体</w:t>
            </w:r>
            <w:r>
              <w:rPr>
                <w:rFonts w:hint="eastAsia" w:ascii="宋体" w:hAnsi="宋体" w:eastAsia="宋体" w:cs="宋体"/>
                <w:b/>
                <w:bCs/>
                <w:color w:val="auto"/>
                <w:spacing w:val="-4"/>
                <w:sz w:val="21"/>
                <w:szCs w:val="21"/>
              </w:rPr>
              <w:t>编号</w:t>
            </w:r>
          </w:p>
        </w:tc>
        <w:tc>
          <w:tcPr>
            <w:tcW w:w="318" w:type="pct"/>
            <w:tcBorders>
              <w:tl2br w:val="nil"/>
              <w:tr2bl w:val="nil"/>
            </w:tcBorders>
            <w:vAlign w:val="center"/>
          </w:tcPr>
          <w:p w14:paraId="37788CD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firstLine="0" w:firstLineChars="0"/>
              <w:jc w:val="center"/>
              <w:textAlignment w:val="auto"/>
              <w:rPr>
                <w:rFonts w:hint="eastAsia" w:ascii="宋体" w:hAnsi="宋体" w:eastAsia="宋体" w:cs="宋体"/>
                <w:b/>
                <w:bCs/>
                <w:color w:val="auto"/>
                <w:sz w:val="21"/>
                <w:szCs w:val="21"/>
                <w:vertAlign w:val="baseline"/>
              </w:rPr>
            </w:pPr>
            <w:r>
              <w:rPr>
                <w:rFonts w:hint="eastAsia" w:ascii="宋体" w:hAnsi="宋体" w:eastAsia="宋体" w:cs="宋体"/>
                <w:b/>
                <w:bCs/>
                <w:color w:val="auto"/>
                <w:spacing w:val="-6"/>
                <w:sz w:val="21"/>
                <w:szCs w:val="21"/>
              </w:rPr>
              <w:t>资源量</w:t>
            </w:r>
            <w:r>
              <w:rPr>
                <w:rFonts w:hint="eastAsia" w:ascii="宋体" w:hAnsi="宋体" w:eastAsia="宋体" w:cs="宋体"/>
                <w:b/>
                <w:bCs/>
                <w:color w:val="auto"/>
                <w:spacing w:val="-3"/>
                <w:sz w:val="21"/>
                <w:szCs w:val="21"/>
              </w:rPr>
              <w:t>类别</w:t>
            </w:r>
          </w:p>
        </w:tc>
        <w:tc>
          <w:tcPr>
            <w:tcW w:w="295" w:type="pct"/>
            <w:tcBorders>
              <w:tl2br w:val="nil"/>
              <w:tr2bl w:val="nil"/>
            </w:tcBorders>
            <w:vAlign w:val="center"/>
          </w:tcPr>
          <w:p w14:paraId="291918F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firstLine="0" w:firstLineChars="0"/>
              <w:jc w:val="center"/>
              <w:textAlignment w:val="auto"/>
              <w:rPr>
                <w:rFonts w:hint="eastAsia" w:ascii="宋体" w:hAnsi="宋体" w:eastAsia="宋体" w:cs="宋体"/>
                <w:b/>
                <w:bCs/>
                <w:color w:val="auto"/>
                <w:sz w:val="21"/>
                <w:szCs w:val="21"/>
                <w:vertAlign w:val="baseline"/>
              </w:rPr>
            </w:pPr>
            <w:r>
              <w:rPr>
                <w:rFonts w:hint="eastAsia" w:ascii="宋体" w:hAnsi="宋体" w:eastAsia="宋体" w:cs="宋体"/>
                <w:b/>
                <w:bCs/>
                <w:color w:val="auto"/>
                <w:spacing w:val="-3"/>
                <w:sz w:val="21"/>
                <w:szCs w:val="21"/>
              </w:rPr>
              <w:t>位置</w:t>
            </w:r>
          </w:p>
        </w:tc>
        <w:tc>
          <w:tcPr>
            <w:tcW w:w="330" w:type="pct"/>
            <w:tcBorders>
              <w:tl2br w:val="nil"/>
              <w:tr2bl w:val="nil"/>
            </w:tcBorders>
            <w:vAlign w:val="center"/>
          </w:tcPr>
          <w:p w14:paraId="741C2F7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firstLine="0" w:firstLineChars="0"/>
              <w:jc w:val="center"/>
              <w:textAlignment w:val="auto"/>
              <w:rPr>
                <w:rFonts w:hint="eastAsia" w:ascii="宋体" w:hAnsi="宋体" w:eastAsia="宋体" w:cs="宋体"/>
                <w:b/>
                <w:bCs/>
                <w:color w:val="auto"/>
                <w:sz w:val="21"/>
                <w:szCs w:val="21"/>
                <w:vertAlign w:val="baseline"/>
              </w:rPr>
            </w:pPr>
            <w:r>
              <w:rPr>
                <w:rFonts w:hint="eastAsia" w:ascii="宋体" w:hAnsi="宋体" w:eastAsia="宋体" w:cs="宋体"/>
                <w:b/>
                <w:bCs/>
                <w:color w:val="auto"/>
                <w:spacing w:val="-5"/>
                <w:sz w:val="21"/>
                <w:szCs w:val="21"/>
              </w:rPr>
              <w:t>块段</w:t>
            </w:r>
            <w:r>
              <w:rPr>
                <w:rFonts w:hint="eastAsia" w:ascii="宋体" w:hAnsi="宋体" w:eastAsia="宋体" w:cs="宋体"/>
                <w:b/>
                <w:bCs/>
                <w:color w:val="auto"/>
                <w:spacing w:val="-2"/>
                <w:sz w:val="21"/>
                <w:szCs w:val="21"/>
              </w:rPr>
              <w:t>号</w:t>
            </w:r>
          </w:p>
        </w:tc>
        <w:tc>
          <w:tcPr>
            <w:tcW w:w="542" w:type="pct"/>
            <w:tcBorders>
              <w:tl2br w:val="nil"/>
              <w:tr2bl w:val="nil"/>
            </w:tcBorders>
            <w:vAlign w:val="center"/>
          </w:tcPr>
          <w:p w14:paraId="4ACA439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firstLine="0" w:firstLineChars="0"/>
              <w:jc w:val="center"/>
              <w:textAlignment w:val="auto"/>
              <w:rPr>
                <w:rFonts w:hint="eastAsia" w:ascii="宋体" w:hAnsi="宋体" w:eastAsia="宋体" w:cs="宋体"/>
                <w:b/>
                <w:bCs/>
                <w:color w:val="auto"/>
                <w:sz w:val="21"/>
                <w:szCs w:val="21"/>
                <w:vertAlign w:val="baseline"/>
              </w:rPr>
            </w:pPr>
            <w:r>
              <w:rPr>
                <w:rFonts w:hint="eastAsia" w:ascii="宋体" w:hAnsi="宋体" w:eastAsia="宋体" w:cs="宋体"/>
                <w:b/>
                <w:bCs/>
                <w:color w:val="auto"/>
                <w:spacing w:val="-5"/>
                <w:sz w:val="21"/>
                <w:szCs w:val="21"/>
              </w:rPr>
              <w:t>断面面积</w:t>
            </w:r>
            <w:r>
              <w:rPr>
                <w:rFonts w:hint="eastAsia" w:ascii="宋体" w:hAnsi="宋体" w:eastAsia="宋体" w:cs="宋体"/>
                <w:b/>
                <w:bCs/>
                <w:color w:val="auto"/>
                <w:spacing w:val="-1"/>
                <w:sz w:val="21"/>
                <w:szCs w:val="21"/>
              </w:rPr>
              <w:t>S1</w:t>
            </w:r>
            <w:r>
              <w:rPr>
                <w:rFonts w:hint="eastAsia" w:ascii="宋体" w:hAnsi="宋体" w:eastAsia="宋体" w:cs="宋体"/>
                <w:b/>
                <w:bCs/>
                <w:color w:val="auto"/>
                <w:spacing w:val="-1"/>
                <w:sz w:val="21"/>
                <w:szCs w:val="21"/>
                <w:lang w:eastAsia="zh-CN"/>
              </w:rPr>
              <w:t>(</w:t>
            </w:r>
            <w:r>
              <w:rPr>
                <w:rFonts w:hint="eastAsia" w:ascii="宋体" w:hAnsi="宋体" w:eastAsia="宋体" w:cs="宋体"/>
                <w:b/>
                <w:bCs/>
                <w:color w:val="auto"/>
                <w:spacing w:val="-1"/>
                <w:sz w:val="21"/>
                <w:szCs w:val="21"/>
              </w:rPr>
              <w:t>m</w:t>
            </w:r>
            <w:r>
              <w:rPr>
                <w:rFonts w:hint="eastAsia" w:ascii="宋体" w:hAnsi="宋体" w:eastAsia="宋体" w:cs="宋体"/>
                <w:b/>
                <w:bCs/>
                <w:color w:val="auto"/>
                <w:spacing w:val="-1"/>
                <w:sz w:val="21"/>
                <w:szCs w:val="21"/>
                <w:vertAlign w:val="superscript"/>
                <w:lang w:val="en-US" w:eastAsia="zh-CN"/>
              </w:rPr>
              <w:t>2</w:t>
            </w:r>
            <w:r>
              <w:rPr>
                <w:rFonts w:hint="eastAsia" w:ascii="宋体" w:hAnsi="宋体" w:eastAsia="宋体" w:cs="宋体"/>
                <w:b/>
                <w:bCs/>
                <w:color w:val="auto"/>
                <w:spacing w:val="-1"/>
                <w:sz w:val="21"/>
                <w:szCs w:val="21"/>
                <w:lang w:eastAsia="zh-CN"/>
              </w:rPr>
              <w:t>)</w:t>
            </w:r>
          </w:p>
        </w:tc>
        <w:tc>
          <w:tcPr>
            <w:tcW w:w="542" w:type="pct"/>
            <w:tcBorders>
              <w:tl2br w:val="nil"/>
              <w:tr2bl w:val="nil"/>
            </w:tcBorders>
            <w:vAlign w:val="center"/>
          </w:tcPr>
          <w:p w14:paraId="3B92C60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eastAsia" w:ascii="宋体" w:hAnsi="宋体" w:eastAsia="宋体" w:cs="宋体"/>
                <w:b/>
                <w:bCs/>
                <w:color w:val="auto"/>
                <w:sz w:val="21"/>
                <w:szCs w:val="21"/>
                <w:vertAlign w:val="baseline"/>
              </w:rPr>
            </w:pPr>
            <w:r>
              <w:rPr>
                <w:rFonts w:hint="eastAsia" w:ascii="宋体" w:hAnsi="宋体" w:eastAsia="宋体" w:cs="宋体"/>
                <w:b/>
                <w:bCs/>
                <w:color w:val="auto"/>
                <w:spacing w:val="-4"/>
                <w:sz w:val="21"/>
                <w:szCs w:val="21"/>
              </w:rPr>
              <w:t>断面面</w:t>
            </w:r>
            <w:r>
              <w:rPr>
                <w:rFonts w:hint="eastAsia" w:ascii="宋体" w:hAnsi="宋体" w:eastAsia="宋体" w:cs="宋体"/>
                <w:b/>
                <w:bCs/>
                <w:color w:val="auto"/>
                <w:spacing w:val="-2"/>
                <w:sz w:val="21"/>
                <w:szCs w:val="21"/>
              </w:rPr>
              <w:t>积</w:t>
            </w:r>
            <w:r>
              <w:rPr>
                <w:rFonts w:hint="eastAsia" w:ascii="宋体" w:hAnsi="宋体" w:eastAsia="宋体" w:cs="宋体"/>
                <w:b/>
                <w:bCs/>
                <w:color w:val="auto"/>
                <w:spacing w:val="-1"/>
                <w:sz w:val="21"/>
                <w:szCs w:val="21"/>
              </w:rPr>
              <w:t>S2</w:t>
            </w:r>
            <w:r>
              <w:rPr>
                <w:rFonts w:hint="eastAsia" w:ascii="宋体" w:hAnsi="宋体" w:eastAsia="宋体" w:cs="宋体"/>
                <w:b/>
                <w:bCs/>
                <w:color w:val="auto"/>
                <w:spacing w:val="-1"/>
                <w:sz w:val="21"/>
                <w:szCs w:val="21"/>
                <w:lang w:eastAsia="zh-CN"/>
              </w:rPr>
              <w:t>(</w:t>
            </w:r>
            <w:r>
              <w:rPr>
                <w:rFonts w:hint="eastAsia" w:ascii="宋体" w:hAnsi="宋体" w:eastAsia="宋体" w:cs="宋体"/>
                <w:b/>
                <w:bCs/>
                <w:color w:val="auto"/>
                <w:spacing w:val="-1"/>
                <w:sz w:val="21"/>
                <w:szCs w:val="21"/>
              </w:rPr>
              <w:t>m</w:t>
            </w:r>
            <w:r>
              <w:rPr>
                <w:rFonts w:hint="eastAsia" w:ascii="宋体" w:hAnsi="宋体" w:eastAsia="宋体" w:cs="宋体"/>
                <w:b/>
                <w:bCs/>
                <w:color w:val="auto"/>
                <w:spacing w:val="-1"/>
                <w:sz w:val="21"/>
                <w:szCs w:val="21"/>
                <w:vertAlign w:val="superscript"/>
                <w:lang w:val="en-US" w:eastAsia="zh-CN"/>
              </w:rPr>
              <w:t>2</w:t>
            </w:r>
            <w:r>
              <w:rPr>
                <w:rFonts w:hint="eastAsia" w:ascii="宋体" w:hAnsi="宋体" w:eastAsia="宋体" w:cs="宋体"/>
                <w:b/>
                <w:bCs/>
                <w:color w:val="auto"/>
                <w:spacing w:val="-1"/>
                <w:sz w:val="21"/>
                <w:szCs w:val="21"/>
                <w:lang w:eastAsia="zh-CN"/>
              </w:rPr>
              <w:t>)</w:t>
            </w:r>
          </w:p>
        </w:tc>
        <w:tc>
          <w:tcPr>
            <w:tcW w:w="325" w:type="pct"/>
            <w:tcBorders>
              <w:tl2br w:val="nil"/>
              <w:tr2bl w:val="nil"/>
            </w:tcBorders>
            <w:vAlign w:val="center"/>
          </w:tcPr>
          <w:p w14:paraId="7A1EE8D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firstLine="0" w:firstLineChars="0"/>
              <w:jc w:val="center"/>
              <w:textAlignment w:val="auto"/>
              <w:rPr>
                <w:rFonts w:hint="eastAsia" w:ascii="宋体" w:hAnsi="宋体" w:eastAsia="宋体" w:cs="宋体"/>
                <w:b/>
                <w:bCs/>
                <w:color w:val="auto"/>
                <w:sz w:val="21"/>
                <w:szCs w:val="21"/>
                <w:vertAlign w:val="baseline"/>
              </w:rPr>
            </w:pPr>
            <w:r>
              <w:rPr>
                <w:rFonts w:hint="eastAsia" w:ascii="宋体" w:hAnsi="宋体" w:eastAsia="宋体" w:cs="宋体"/>
                <w:b/>
                <w:bCs/>
                <w:color w:val="auto"/>
                <w:spacing w:val="-5"/>
                <w:sz w:val="21"/>
                <w:szCs w:val="21"/>
              </w:rPr>
              <w:t>断面</w:t>
            </w:r>
            <w:r>
              <w:rPr>
                <w:rFonts w:hint="eastAsia" w:ascii="宋体" w:hAnsi="宋体" w:eastAsia="宋体" w:cs="宋体"/>
                <w:b/>
                <w:bCs/>
                <w:color w:val="auto"/>
                <w:spacing w:val="-11"/>
                <w:sz w:val="21"/>
                <w:szCs w:val="21"/>
              </w:rPr>
              <w:t>间距</w:t>
            </w:r>
            <w:r>
              <w:rPr>
                <w:rFonts w:hint="eastAsia" w:ascii="宋体" w:hAnsi="宋体" w:eastAsia="宋体" w:cs="宋体"/>
                <w:b/>
                <w:bCs/>
                <w:color w:val="auto"/>
                <w:spacing w:val="-5"/>
                <w:sz w:val="21"/>
                <w:szCs w:val="21"/>
              </w:rPr>
              <w:t>L</w:t>
            </w:r>
            <w:r>
              <w:rPr>
                <w:rFonts w:hint="eastAsia" w:ascii="宋体" w:hAnsi="宋体" w:eastAsia="宋体" w:cs="宋体"/>
                <w:b/>
                <w:bCs/>
                <w:color w:val="auto"/>
                <w:spacing w:val="-5"/>
                <w:sz w:val="21"/>
                <w:szCs w:val="21"/>
                <w:lang w:eastAsia="zh-CN"/>
              </w:rPr>
              <w:t>(</w:t>
            </w:r>
            <w:r>
              <w:rPr>
                <w:rFonts w:hint="eastAsia" w:ascii="宋体" w:hAnsi="宋体" w:eastAsia="宋体" w:cs="宋体"/>
                <w:b/>
                <w:bCs/>
                <w:color w:val="auto"/>
                <w:spacing w:val="-5"/>
                <w:sz w:val="21"/>
                <w:szCs w:val="21"/>
              </w:rPr>
              <w:t>m</w:t>
            </w:r>
            <w:r>
              <w:rPr>
                <w:rFonts w:hint="eastAsia" w:ascii="宋体" w:hAnsi="宋体" w:eastAsia="宋体" w:cs="宋体"/>
                <w:b/>
                <w:bCs/>
                <w:color w:val="auto"/>
                <w:spacing w:val="-5"/>
                <w:sz w:val="21"/>
                <w:szCs w:val="21"/>
                <w:lang w:eastAsia="zh-CN"/>
              </w:rPr>
              <w:t>)</w:t>
            </w:r>
          </w:p>
        </w:tc>
        <w:tc>
          <w:tcPr>
            <w:tcW w:w="768" w:type="pct"/>
            <w:tcBorders>
              <w:tl2br w:val="nil"/>
              <w:tr2bl w:val="nil"/>
            </w:tcBorders>
            <w:vAlign w:val="center"/>
          </w:tcPr>
          <w:p w14:paraId="406E32D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eastAsia" w:ascii="宋体" w:hAnsi="宋体" w:eastAsia="宋体" w:cs="宋体"/>
                <w:color w:val="auto"/>
                <w:sz w:val="21"/>
                <w:szCs w:val="21"/>
              </w:rPr>
            </w:pPr>
            <w:r>
              <w:rPr>
                <w:rFonts w:hint="eastAsia" w:ascii="宋体" w:hAnsi="宋体" w:eastAsia="宋体" w:cs="宋体"/>
                <w:b/>
                <w:bCs/>
                <w:color w:val="auto"/>
                <w:spacing w:val="-3"/>
                <w:sz w:val="21"/>
                <w:szCs w:val="21"/>
              </w:rPr>
              <w:t>块段体积V</w:t>
            </w:r>
          </w:p>
          <w:p w14:paraId="7340A64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firstLine="0" w:firstLineChars="0"/>
              <w:jc w:val="center"/>
              <w:textAlignment w:val="auto"/>
              <w:rPr>
                <w:rFonts w:hint="eastAsia" w:ascii="宋体" w:hAnsi="宋体" w:eastAsia="宋体" w:cs="宋体"/>
                <w:b/>
                <w:bCs/>
                <w:color w:val="auto"/>
                <w:sz w:val="21"/>
                <w:szCs w:val="21"/>
                <w:vertAlign w:val="baseline"/>
              </w:rPr>
            </w:pPr>
            <w:r>
              <w:rPr>
                <w:rFonts w:hint="eastAsia" w:ascii="宋体" w:hAnsi="宋体" w:eastAsia="宋体" w:cs="宋体"/>
                <w:b/>
                <w:bCs/>
                <w:color w:val="auto"/>
                <w:spacing w:val="-3"/>
                <w:sz w:val="21"/>
                <w:szCs w:val="21"/>
              </w:rPr>
              <w:t>计算公式</w:t>
            </w:r>
          </w:p>
        </w:tc>
        <w:tc>
          <w:tcPr>
            <w:tcW w:w="605" w:type="pct"/>
            <w:tcBorders>
              <w:tl2br w:val="nil"/>
              <w:tr2bl w:val="nil"/>
            </w:tcBorders>
            <w:vAlign w:val="center"/>
          </w:tcPr>
          <w:p w14:paraId="03FBED2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eastAsia" w:ascii="宋体" w:hAnsi="宋体" w:eastAsia="宋体" w:cs="宋体"/>
                <w:color w:val="auto"/>
                <w:sz w:val="21"/>
                <w:szCs w:val="21"/>
              </w:rPr>
            </w:pPr>
            <w:r>
              <w:rPr>
                <w:rFonts w:hint="eastAsia" w:ascii="宋体" w:hAnsi="宋体" w:eastAsia="宋体" w:cs="宋体"/>
                <w:b/>
                <w:bCs/>
                <w:color w:val="auto"/>
                <w:spacing w:val="-3"/>
                <w:sz w:val="21"/>
                <w:szCs w:val="21"/>
              </w:rPr>
              <w:t>块段体积</w:t>
            </w:r>
          </w:p>
          <w:p w14:paraId="09C6B75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firstLine="0" w:firstLineChars="0"/>
              <w:jc w:val="center"/>
              <w:textAlignment w:val="auto"/>
              <w:rPr>
                <w:rFonts w:hint="eastAsia" w:ascii="宋体" w:hAnsi="宋体" w:eastAsia="宋体" w:cs="宋体"/>
                <w:b/>
                <w:bCs/>
                <w:color w:val="auto"/>
                <w:sz w:val="21"/>
                <w:szCs w:val="21"/>
                <w:vertAlign w:val="baseline"/>
              </w:rPr>
            </w:pPr>
            <w:r>
              <w:rPr>
                <w:rFonts w:hint="eastAsia" w:ascii="宋体" w:hAnsi="宋体" w:eastAsia="宋体" w:cs="宋体"/>
                <w:b/>
                <w:bCs/>
                <w:color w:val="auto"/>
                <w:spacing w:val="-3"/>
                <w:sz w:val="21"/>
                <w:szCs w:val="21"/>
                <w:lang w:eastAsia="zh-CN"/>
              </w:rPr>
              <w:t>(</w:t>
            </w:r>
            <w:r>
              <w:rPr>
                <w:rFonts w:hint="eastAsia" w:ascii="宋体" w:hAnsi="宋体" w:eastAsia="宋体" w:cs="宋体"/>
                <w:b/>
                <w:bCs/>
                <w:color w:val="auto"/>
                <w:spacing w:val="-3"/>
                <w:sz w:val="21"/>
                <w:szCs w:val="21"/>
              </w:rPr>
              <w:t>m</w:t>
            </w:r>
            <w:r>
              <w:rPr>
                <w:rFonts w:hint="eastAsia" w:ascii="宋体" w:hAnsi="宋体" w:eastAsia="宋体" w:cs="宋体"/>
                <w:b/>
                <w:bCs/>
                <w:color w:val="auto"/>
                <w:spacing w:val="-3"/>
                <w:sz w:val="21"/>
                <w:szCs w:val="21"/>
                <w:vertAlign w:val="superscript"/>
                <w:lang w:val="en-US" w:eastAsia="zh-CN"/>
              </w:rPr>
              <w:t>3</w:t>
            </w:r>
            <w:r>
              <w:rPr>
                <w:rFonts w:hint="eastAsia" w:ascii="宋体" w:hAnsi="宋体" w:eastAsia="宋体" w:cs="宋体"/>
                <w:b/>
                <w:bCs/>
                <w:color w:val="auto"/>
                <w:spacing w:val="-3"/>
                <w:sz w:val="21"/>
                <w:szCs w:val="21"/>
                <w:lang w:eastAsia="zh-CN"/>
              </w:rPr>
              <w:t>)</w:t>
            </w:r>
          </w:p>
        </w:tc>
        <w:tc>
          <w:tcPr>
            <w:tcW w:w="493" w:type="pct"/>
            <w:tcBorders>
              <w:tl2br w:val="nil"/>
              <w:tr2bl w:val="nil"/>
            </w:tcBorders>
            <w:vAlign w:val="center"/>
          </w:tcPr>
          <w:p w14:paraId="4716107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firstLine="0" w:firstLineChars="0"/>
              <w:jc w:val="center"/>
              <w:textAlignment w:val="auto"/>
              <w:rPr>
                <w:rFonts w:hint="eastAsia" w:ascii="宋体" w:hAnsi="宋体" w:eastAsia="宋体" w:cs="宋体"/>
                <w:b/>
                <w:bCs/>
                <w:color w:val="auto"/>
                <w:sz w:val="21"/>
                <w:szCs w:val="21"/>
                <w:vertAlign w:val="baseline"/>
              </w:rPr>
            </w:pPr>
            <w:r>
              <w:rPr>
                <w:rFonts w:hint="eastAsia" w:ascii="宋体" w:hAnsi="宋体" w:eastAsia="宋体" w:cs="宋体"/>
                <w:b/>
                <w:bCs/>
                <w:color w:val="auto"/>
                <w:spacing w:val="-3"/>
                <w:sz w:val="21"/>
                <w:szCs w:val="21"/>
              </w:rPr>
              <w:t>矿石体重D</w:t>
            </w:r>
            <w:r>
              <w:rPr>
                <w:rFonts w:hint="eastAsia" w:ascii="宋体" w:hAnsi="宋体" w:eastAsia="宋体" w:cs="宋体"/>
                <w:b/>
                <w:bCs/>
                <w:color w:val="auto"/>
                <w:spacing w:val="-3"/>
                <w:sz w:val="21"/>
                <w:szCs w:val="21"/>
                <w:lang w:eastAsia="zh-CN"/>
              </w:rPr>
              <w:t>(</w:t>
            </w:r>
            <w:r>
              <w:rPr>
                <w:rFonts w:hint="eastAsia" w:ascii="宋体" w:hAnsi="宋体" w:eastAsia="宋体" w:cs="宋体"/>
                <w:b/>
                <w:bCs/>
                <w:color w:val="auto"/>
                <w:spacing w:val="-3"/>
                <w:sz w:val="21"/>
                <w:szCs w:val="21"/>
              </w:rPr>
              <w:t>t/</w:t>
            </w:r>
            <w:r>
              <w:rPr>
                <w:rFonts w:hint="eastAsia" w:ascii="宋体" w:hAnsi="宋体" w:eastAsia="宋体" w:cs="宋体"/>
                <w:b/>
                <w:bCs/>
                <w:color w:val="auto"/>
                <w:spacing w:val="-3"/>
                <w:sz w:val="21"/>
                <w:szCs w:val="21"/>
                <w:lang w:val="en-US" w:eastAsia="zh-CN"/>
              </w:rPr>
              <w:t>m</w:t>
            </w:r>
            <w:r>
              <w:rPr>
                <w:rFonts w:hint="eastAsia" w:ascii="宋体" w:hAnsi="宋体" w:eastAsia="宋体" w:cs="宋体"/>
                <w:b/>
                <w:bCs/>
                <w:color w:val="auto"/>
                <w:spacing w:val="-3"/>
                <w:sz w:val="21"/>
                <w:szCs w:val="21"/>
                <w:vertAlign w:val="superscript"/>
                <w:lang w:val="en-US" w:eastAsia="zh-CN"/>
              </w:rPr>
              <w:t>3</w:t>
            </w:r>
            <w:r>
              <w:rPr>
                <w:rFonts w:hint="eastAsia" w:ascii="宋体" w:hAnsi="宋体" w:eastAsia="宋体" w:cs="宋体"/>
                <w:b/>
                <w:bCs/>
                <w:color w:val="auto"/>
                <w:sz w:val="21"/>
                <w:szCs w:val="21"/>
                <w:lang w:eastAsia="zh-CN"/>
              </w:rPr>
              <w:t>)</w:t>
            </w:r>
          </w:p>
        </w:tc>
        <w:tc>
          <w:tcPr>
            <w:tcW w:w="441" w:type="pct"/>
            <w:tcBorders>
              <w:tl2br w:val="nil"/>
              <w:tr2bl w:val="nil"/>
            </w:tcBorders>
            <w:vAlign w:val="center"/>
          </w:tcPr>
          <w:p w14:paraId="05B2F56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firstLine="0" w:firstLineChars="0"/>
              <w:jc w:val="center"/>
              <w:textAlignment w:val="auto"/>
              <w:rPr>
                <w:rFonts w:hint="eastAsia" w:ascii="宋体" w:hAnsi="宋体" w:eastAsia="宋体" w:cs="宋体"/>
                <w:b/>
                <w:bCs/>
                <w:color w:val="auto"/>
                <w:sz w:val="21"/>
                <w:szCs w:val="21"/>
                <w:vertAlign w:val="baseline"/>
              </w:rPr>
            </w:pPr>
            <w:r>
              <w:rPr>
                <w:rFonts w:hint="eastAsia" w:ascii="宋体" w:hAnsi="宋体" w:eastAsia="宋体" w:cs="宋体"/>
                <w:b/>
                <w:bCs/>
                <w:color w:val="auto"/>
                <w:spacing w:val="-5"/>
                <w:sz w:val="21"/>
                <w:szCs w:val="21"/>
              </w:rPr>
              <w:t>资源量</w:t>
            </w:r>
            <w:r>
              <w:rPr>
                <w:rFonts w:hint="eastAsia" w:ascii="宋体" w:hAnsi="宋体" w:eastAsia="宋体" w:cs="宋体"/>
                <w:b/>
                <w:bCs/>
                <w:color w:val="auto"/>
                <w:spacing w:val="-6"/>
                <w:sz w:val="21"/>
                <w:szCs w:val="21"/>
                <w:lang w:eastAsia="zh-CN"/>
              </w:rPr>
              <w:t>(</w:t>
            </w:r>
            <w:r>
              <w:rPr>
                <w:rFonts w:hint="eastAsia" w:ascii="宋体" w:hAnsi="宋体" w:eastAsia="宋体" w:cs="宋体"/>
                <w:b/>
                <w:bCs/>
                <w:color w:val="auto"/>
                <w:spacing w:val="-6"/>
                <w:sz w:val="21"/>
                <w:szCs w:val="21"/>
              </w:rPr>
              <w:t>万吨</w:t>
            </w:r>
            <w:r>
              <w:rPr>
                <w:rFonts w:hint="eastAsia" w:ascii="宋体" w:hAnsi="宋体" w:eastAsia="宋体" w:cs="宋体"/>
                <w:b/>
                <w:bCs/>
                <w:color w:val="auto"/>
                <w:spacing w:val="-6"/>
                <w:sz w:val="21"/>
                <w:szCs w:val="21"/>
                <w:lang w:eastAsia="zh-CN"/>
              </w:rPr>
              <w:t>)</w:t>
            </w:r>
          </w:p>
        </w:tc>
      </w:tr>
      <w:tr w14:paraId="6DCB9B8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335" w:type="pct"/>
            <w:vMerge w:val="restart"/>
            <w:tcBorders>
              <w:tl2br w:val="nil"/>
              <w:tr2bl w:val="nil"/>
            </w:tcBorders>
            <w:vAlign w:val="center"/>
          </w:tcPr>
          <w:p w14:paraId="5A5E884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firstLine="0" w:firstLineChars="0"/>
              <w:jc w:val="center"/>
              <w:textAlignment w:val="auto"/>
              <w:rPr>
                <w:rFonts w:hint="eastAsia" w:ascii="宋体" w:hAnsi="宋体" w:eastAsia="宋体" w:cs="宋体"/>
                <w:b w:val="0"/>
                <w:bCs w:val="0"/>
                <w:color w:val="auto"/>
                <w:sz w:val="21"/>
                <w:szCs w:val="21"/>
                <w:vertAlign w:val="baseline"/>
              </w:rPr>
            </w:pPr>
            <w:r>
              <w:rPr>
                <w:rFonts w:hint="eastAsia" w:ascii="宋体" w:hAnsi="宋体" w:eastAsia="宋体" w:cs="宋体"/>
                <w:color w:val="auto"/>
                <w:spacing w:val="-2"/>
                <w:sz w:val="21"/>
                <w:szCs w:val="21"/>
              </w:rPr>
              <w:t>K1</w:t>
            </w:r>
          </w:p>
        </w:tc>
        <w:tc>
          <w:tcPr>
            <w:tcW w:w="318" w:type="pct"/>
            <w:vMerge w:val="restart"/>
            <w:tcBorders>
              <w:tl2br w:val="nil"/>
              <w:tr2bl w:val="nil"/>
            </w:tcBorders>
            <w:vAlign w:val="center"/>
          </w:tcPr>
          <w:p w14:paraId="397AAF0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firstLine="0" w:firstLineChars="0"/>
              <w:jc w:val="center"/>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控制</w:t>
            </w:r>
          </w:p>
        </w:tc>
        <w:tc>
          <w:tcPr>
            <w:tcW w:w="295" w:type="pct"/>
            <w:tcBorders>
              <w:tl2br w:val="nil"/>
              <w:tr2bl w:val="nil"/>
            </w:tcBorders>
            <w:vAlign w:val="center"/>
          </w:tcPr>
          <w:p w14:paraId="2FDA2FB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firstLine="0" w:firstLineChars="0"/>
              <w:jc w:val="center"/>
              <w:textAlignment w:val="auto"/>
              <w:rPr>
                <w:rFonts w:hint="eastAsia" w:ascii="宋体" w:hAnsi="宋体" w:eastAsia="宋体" w:cs="宋体"/>
                <w:b w:val="0"/>
                <w:bCs w:val="0"/>
                <w:color w:val="auto"/>
                <w:sz w:val="21"/>
                <w:szCs w:val="21"/>
                <w:vertAlign w:val="baseline"/>
              </w:rPr>
            </w:pPr>
            <w:r>
              <w:rPr>
                <w:rFonts w:hint="eastAsia" w:ascii="宋体" w:hAnsi="宋体" w:eastAsia="宋体" w:cs="宋体"/>
                <w:color w:val="auto"/>
                <w:spacing w:val="-1"/>
                <w:sz w:val="21"/>
                <w:szCs w:val="21"/>
              </w:rPr>
              <w:t>6-4线</w:t>
            </w:r>
          </w:p>
        </w:tc>
        <w:tc>
          <w:tcPr>
            <w:tcW w:w="330" w:type="pct"/>
            <w:tcBorders>
              <w:tl2br w:val="nil"/>
              <w:tr2bl w:val="nil"/>
            </w:tcBorders>
            <w:vAlign w:val="center"/>
          </w:tcPr>
          <w:p w14:paraId="253740D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rPr>
                <w:rFonts w:hint="eastAsia" w:ascii="宋体" w:hAnsi="宋体" w:eastAsia="宋体" w:cs="宋体"/>
                <w:b w:val="0"/>
                <w:bCs w:val="0"/>
                <w:color w:val="auto"/>
                <w:sz w:val="21"/>
                <w:szCs w:val="21"/>
                <w:vertAlign w:val="baseline"/>
              </w:rPr>
            </w:pPr>
            <w:r>
              <w:rPr>
                <w:rFonts w:hint="eastAsia" w:ascii="宋体" w:hAnsi="宋体" w:eastAsia="宋体" w:cs="宋体"/>
                <w:color w:val="auto"/>
                <w:spacing w:val="-2"/>
                <w:sz w:val="21"/>
                <w:szCs w:val="21"/>
              </w:rPr>
              <w:t>KZ-1</w:t>
            </w:r>
          </w:p>
        </w:tc>
        <w:tc>
          <w:tcPr>
            <w:tcW w:w="542" w:type="pct"/>
            <w:tcBorders>
              <w:tl2br w:val="nil"/>
              <w:tr2bl w:val="nil"/>
            </w:tcBorders>
            <w:vAlign w:val="center"/>
          </w:tcPr>
          <w:p w14:paraId="5966264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rPr>
                <w:rFonts w:hint="eastAsia" w:ascii="宋体" w:hAnsi="宋体" w:eastAsia="宋体" w:cs="宋体"/>
                <w:b w:val="0"/>
                <w:bCs w:val="0"/>
                <w:color w:val="auto"/>
                <w:sz w:val="21"/>
                <w:szCs w:val="21"/>
                <w:vertAlign w:val="baseline"/>
              </w:rPr>
            </w:pPr>
            <w:r>
              <w:rPr>
                <w:rFonts w:hint="eastAsia" w:ascii="宋体" w:hAnsi="宋体" w:eastAsia="宋体" w:cs="宋体"/>
                <w:color w:val="auto"/>
                <w:sz w:val="21"/>
                <w:szCs w:val="21"/>
              </w:rPr>
              <w:t>0</w:t>
            </w:r>
          </w:p>
        </w:tc>
        <w:tc>
          <w:tcPr>
            <w:tcW w:w="542" w:type="pct"/>
            <w:tcBorders>
              <w:tl2br w:val="nil"/>
              <w:tr2bl w:val="nil"/>
            </w:tcBorders>
            <w:vAlign w:val="center"/>
          </w:tcPr>
          <w:p w14:paraId="7520693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rPr>
                <w:rFonts w:hint="eastAsia" w:ascii="宋体" w:hAnsi="宋体" w:eastAsia="宋体" w:cs="宋体"/>
                <w:b w:val="0"/>
                <w:bCs w:val="0"/>
                <w:color w:val="auto"/>
                <w:sz w:val="21"/>
                <w:szCs w:val="21"/>
                <w:vertAlign w:val="baseline"/>
              </w:rPr>
            </w:pPr>
            <w:r>
              <w:rPr>
                <w:rFonts w:hint="eastAsia" w:ascii="宋体" w:hAnsi="宋体" w:eastAsia="宋体" w:cs="宋体"/>
                <w:color w:val="auto"/>
                <w:spacing w:val="-1"/>
                <w:sz w:val="21"/>
                <w:szCs w:val="21"/>
              </w:rPr>
              <w:t>2138.11</w:t>
            </w:r>
          </w:p>
        </w:tc>
        <w:tc>
          <w:tcPr>
            <w:tcW w:w="325" w:type="pct"/>
            <w:tcBorders>
              <w:tl2br w:val="nil"/>
              <w:tr2bl w:val="nil"/>
            </w:tcBorders>
            <w:vAlign w:val="center"/>
          </w:tcPr>
          <w:p w14:paraId="1DAF345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rPr>
                <w:rFonts w:hint="eastAsia" w:ascii="宋体" w:hAnsi="宋体" w:eastAsia="宋体" w:cs="宋体"/>
                <w:b w:val="0"/>
                <w:bCs w:val="0"/>
                <w:color w:val="auto"/>
                <w:sz w:val="21"/>
                <w:szCs w:val="21"/>
                <w:vertAlign w:val="baseline"/>
              </w:rPr>
            </w:pPr>
            <w:r>
              <w:rPr>
                <w:rFonts w:hint="eastAsia" w:ascii="宋体" w:hAnsi="宋体" w:eastAsia="宋体" w:cs="宋体"/>
                <w:color w:val="auto"/>
                <w:spacing w:val="-6"/>
                <w:sz w:val="21"/>
                <w:szCs w:val="21"/>
              </w:rPr>
              <w:t>100</w:t>
            </w:r>
          </w:p>
        </w:tc>
        <w:tc>
          <w:tcPr>
            <w:tcW w:w="768" w:type="pct"/>
            <w:tcBorders>
              <w:tl2br w:val="nil"/>
              <w:tr2bl w:val="nil"/>
            </w:tcBorders>
            <w:vAlign w:val="center"/>
          </w:tcPr>
          <w:p w14:paraId="6A70B8F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rPr>
                <w:rFonts w:hint="eastAsia" w:ascii="宋体" w:hAnsi="宋体" w:eastAsia="宋体" w:cs="宋体"/>
                <w:b w:val="0"/>
                <w:bCs w:val="0"/>
                <w:color w:val="auto"/>
                <w:sz w:val="21"/>
                <w:szCs w:val="21"/>
                <w:vertAlign w:val="baseline"/>
              </w:rPr>
            </w:pPr>
            <w:r>
              <w:rPr>
                <w:rFonts w:hint="eastAsia" w:ascii="宋体" w:hAnsi="宋体" w:eastAsia="宋体" w:cs="宋体"/>
                <w:color w:val="auto"/>
                <w:spacing w:val="-1"/>
                <w:sz w:val="21"/>
                <w:szCs w:val="21"/>
              </w:rPr>
              <w:t>V=S•L/3</w:t>
            </w:r>
          </w:p>
        </w:tc>
        <w:tc>
          <w:tcPr>
            <w:tcW w:w="605" w:type="pct"/>
            <w:tcBorders>
              <w:tl2br w:val="nil"/>
              <w:tr2bl w:val="nil"/>
            </w:tcBorders>
            <w:vAlign w:val="center"/>
          </w:tcPr>
          <w:p w14:paraId="511CF4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rPr>
                <w:rFonts w:hint="eastAsia" w:ascii="宋体" w:hAnsi="宋体" w:eastAsia="宋体" w:cs="宋体"/>
                <w:b w:val="0"/>
                <w:bCs w:val="0"/>
                <w:color w:val="auto"/>
                <w:sz w:val="21"/>
                <w:szCs w:val="21"/>
                <w:vertAlign w:val="baseline"/>
              </w:rPr>
            </w:pPr>
            <w:r>
              <w:rPr>
                <w:rFonts w:hint="eastAsia" w:ascii="宋体" w:hAnsi="宋体" w:eastAsia="宋体" w:cs="宋体"/>
                <w:color w:val="auto"/>
                <w:spacing w:val="-1"/>
                <w:sz w:val="21"/>
                <w:szCs w:val="21"/>
              </w:rPr>
              <w:t>71270.33</w:t>
            </w:r>
          </w:p>
        </w:tc>
        <w:tc>
          <w:tcPr>
            <w:tcW w:w="493" w:type="pct"/>
            <w:tcBorders>
              <w:tl2br w:val="nil"/>
              <w:tr2bl w:val="nil"/>
            </w:tcBorders>
            <w:vAlign w:val="center"/>
          </w:tcPr>
          <w:p w14:paraId="32A4EFE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rPr>
                <w:rFonts w:hint="eastAsia" w:ascii="宋体" w:hAnsi="宋体" w:eastAsia="宋体" w:cs="宋体"/>
                <w:b w:val="0"/>
                <w:bCs w:val="0"/>
                <w:color w:val="auto"/>
                <w:sz w:val="21"/>
                <w:szCs w:val="21"/>
                <w:vertAlign w:val="baseline"/>
              </w:rPr>
            </w:pPr>
            <w:r>
              <w:rPr>
                <w:rFonts w:hint="eastAsia" w:ascii="宋体" w:hAnsi="宋体" w:eastAsia="宋体" w:cs="宋体"/>
                <w:color w:val="auto"/>
                <w:spacing w:val="-1"/>
                <w:sz w:val="21"/>
                <w:szCs w:val="21"/>
              </w:rPr>
              <w:t>2.72</w:t>
            </w:r>
          </w:p>
        </w:tc>
        <w:tc>
          <w:tcPr>
            <w:tcW w:w="441" w:type="pct"/>
            <w:tcBorders>
              <w:tl2br w:val="nil"/>
              <w:tr2bl w:val="nil"/>
            </w:tcBorders>
            <w:vAlign w:val="center"/>
          </w:tcPr>
          <w:p w14:paraId="12A6E01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rPr>
                <w:rFonts w:hint="eastAsia" w:ascii="宋体" w:hAnsi="宋体" w:eastAsia="宋体" w:cs="宋体"/>
                <w:b w:val="0"/>
                <w:bCs w:val="0"/>
                <w:color w:val="auto"/>
                <w:sz w:val="21"/>
                <w:szCs w:val="21"/>
                <w:vertAlign w:val="baseline"/>
              </w:rPr>
            </w:pPr>
            <w:r>
              <w:rPr>
                <w:rFonts w:hint="eastAsia" w:ascii="宋体" w:hAnsi="宋体" w:eastAsia="宋体" w:cs="宋体"/>
                <w:color w:val="auto"/>
                <w:spacing w:val="-4"/>
                <w:sz w:val="21"/>
                <w:szCs w:val="21"/>
              </w:rPr>
              <w:t>19.39</w:t>
            </w:r>
          </w:p>
        </w:tc>
      </w:tr>
      <w:tr w14:paraId="4323264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335" w:type="pct"/>
            <w:vMerge w:val="continue"/>
            <w:tcBorders>
              <w:tl2br w:val="nil"/>
              <w:tr2bl w:val="nil"/>
            </w:tcBorders>
            <w:vAlign w:val="center"/>
          </w:tcPr>
          <w:p w14:paraId="488927E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firstLine="0" w:firstLineChars="0"/>
              <w:jc w:val="center"/>
              <w:textAlignment w:val="auto"/>
              <w:rPr>
                <w:rFonts w:hint="eastAsia" w:ascii="宋体" w:hAnsi="宋体" w:eastAsia="宋体" w:cs="宋体"/>
                <w:b w:val="0"/>
                <w:bCs w:val="0"/>
                <w:color w:val="auto"/>
                <w:sz w:val="21"/>
                <w:szCs w:val="21"/>
                <w:vertAlign w:val="baseline"/>
              </w:rPr>
            </w:pPr>
          </w:p>
        </w:tc>
        <w:tc>
          <w:tcPr>
            <w:tcW w:w="318" w:type="pct"/>
            <w:vMerge w:val="continue"/>
            <w:tcBorders>
              <w:tl2br w:val="nil"/>
              <w:tr2bl w:val="nil"/>
            </w:tcBorders>
            <w:vAlign w:val="center"/>
          </w:tcPr>
          <w:p w14:paraId="6391B79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firstLine="0" w:firstLineChars="0"/>
              <w:jc w:val="center"/>
              <w:textAlignment w:val="auto"/>
              <w:rPr>
                <w:rFonts w:hint="eastAsia" w:ascii="宋体" w:hAnsi="宋体" w:eastAsia="宋体" w:cs="宋体"/>
                <w:b w:val="0"/>
                <w:bCs w:val="0"/>
                <w:color w:val="auto"/>
                <w:sz w:val="21"/>
                <w:szCs w:val="21"/>
                <w:vertAlign w:val="baseline"/>
              </w:rPr>
            </w:pPr>
          </w:p>
        </w:tc>
        <w:tc>
          <w:tcPr>
            <w:tcW w:w="295" w:type="pct"/>
            <w:vMerge w:val="restart"/>
            <w:tcBorders>
              <w:tl2br w:val="nil"/>
              <w:tr2bl w:val="nil"/>
            </w:tcBorders>
            <w:vAlign w:val="center"/>
          </w:tcPr>
          <w:p w14:paraId="7314381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firstLine="0" w:firstLineChars="0"/>
              <w:jc w:val="center"/>
              <w:textAlignment w:val="auto"/>
              <w:rPr>
                <w:rFonts w:hint="eastAsia" w:ascii="宋体" w:hAnsi="宋体" w:eastAsia="宋体" w:cs="宋体"/>
                <w:b w:val="0"/>
                <w:bCs w:val="0"/>
                <w:color w:val="auto"/>
                <w:sz w:val="21"/>
                <w:szCs w:val="21"/>
                <w:vertAlign w:val="baseline"/>
              </w:rPr>
            </w:pPr>
            <w:r>
              <w:rPr>
                <w:rFonts w:hint="eastAsia" w:ascii="宋体" w:hAnsi="宋体" w:eastAsia="宋体" w:cs="宋体"/>
                <w:color w:val="auto"/>
                <w:spacing w:val="-1"/>
                <w:sz w:val="21"/>
                <w:szCs w:val="21"/>
              </w:rPr>
              <w:t>4-2线</w:t>
            </w:r>
          </w:p>
        </w:tc>
        <w:tc>
          <w:tcPr>
            <w:tcW w:w="330" w:type="pct"/>
            <w:tcBorders>
              <w:tl2br w:val="nil"/>
              <w:tr2bl w:val="nil"/>
            </w:tcBorders>
            <w:vAlign w:val="center"/>
          </w:tcPr>
          <w:p w14:paraId="5BFAC2F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rPr>
                <w:rFonts w:hint="eastAsia" w:ascii="宋体" w:hAnsi="宋体" w:eastAsia="宋体" w:cs="宋体"/>
                <w:b w:val="0"/>
                <w:bCs w:val="0"/>
                <w:color w:val="auto"/>
                <w:sz w:val="21"/>
                <w:szCs w:val="21"/>
                <w:vertAlign w:val="baseline"/>
              </w:rPr>
            </w:pPr>
            <w:r>
              <w:rPr>
                <w:rFonts w:hint="eastAsia" w:ascii="宋体" w:hAnsi="宋体" w:eastAsia="宋体" w:cs="宋体"/>
                <w:color w:val="auto"/>
                <w:spacing w:val="-2"/>
                <w:sz w:val="21"/>
                <w:szCs w:val="21"/>
              </w:rPr>
              <w:t>KZ-2</w:t>
            </w:r>
          </w:p>
        </w:tc>
        <w:tc>
          <w:tcPr>
            <w:tcW w:w="542" w:type="pct"/>
            <w:tcBorders>
              <w:tl2br w:val="nil"/>
              <w:tr2bl w:val="nil"/>
            </w:tcBorders>
            <w:vAlign w:val="center"/>
          </w:tcPr>
          <w:p w14:paraId="2358E07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rPr>
                <w:rFonts w:hint="eastAsia" w:ascii="宋体" w:hAnsi="宋体" w:eastAsia="宋体" w:cs="宋体"/>
                <w:b w:val="0"/>
                <w:bCs w:val="0"/>
                <w:color w:val="auto"/>
                <w:sz w:val="21"/>
                <w:szCs w:val="21"/>
                <w:vertAlign w:val="baseline"/>
              </w:rPr>
            </w:pPr>
            <w:r>
              <w:rPr>
                <w:rFonts w:hint="eastAsia" w:ascii="宋体" w:hAnsi="宋体" w:eastAsia="宋体" w:cs="宋体"/>
                <w:color w:val="auto"/>
                <w:spacing w:val="-1"/>
                <w:sz w:val="21"/>
                <w:szCs w:val="21"/>
              </w:rPr>
              <w:t>2138.11</w:t>
            </w:r>
          </w:p>
        </w:tc>
        <w:tc>
          <w:tcPr>
            <w:tcW w:w="542" w:type="pct"/>
            <w:tcBorders>
              <w:tl2br w:val="nil"/>
              <w:tr2bl w:val="nil"/>
            </w:tcBorders>
            <w:vAlign w:val="center"/>
          </w:tcPr>
          <w:p w14:paraId="7084864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rPr>
                <w:rFonts w:hint="eastAsia" w:ascii="宋体" w:hAnsi="宋体" w:eastAsia="宋体" w:cs="宋体"/>
                <w:b w:val="0"/>
                <w:bCs w:val="0"/>
                <w:color w:val="auto"/>
                <w:sz w:val="21"/>
                <w:szCs w:val="21"/>
                <w:vertAlign w:val="baseline"/>
              </w:rPr>
            </w:pPr>
            <w:r>
              <w:rPr>
                <w:rFonts w:hint="eastAsia" w:ascii="宋体" w:hAnsi="宋体" w:eastAsia="宋体" w:cs="宋体"/>
                <w:color w:val="auto"/>
                <w:spacing w:val="-2"/>
                <w:sz w:val="21"/>
                <w:szCs w:val="21"/>
              </w:rPr>
              <w:t>6286</w:t>
            </w:r>
          </w:p>
        </w:tc>
        <w:tc>
          <w:tcPr>
            <w:tcW w:w="325" w:type="pct"/>
            <w:tcBorders>
              <w:tl2br w:val="nil"/>
              <w:tr2bl w:val="nil"/>
            </w:tcBorders>
            <w:vAlign w:val="center"/>
          </w:tcPr>
          <w:p w14:paraId="164C2B7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rPr>
                <w:rFonts w:hint="eastAsia" w:ascii="宋体" w:hAnsi="宋体" w:eastAsia="宋体" w:cs="宋体"/>
                <w:b w:val="0"/>
                <w:bCs w:val="0"/>
                <w:color w:val="auto"/>
                <w:sz w:val="21"/>
                <w:szCs w:val="21"/>
                <w:vertAlign w:val="baseline"/>
              </w:rPr>
            </w:pPr>
            <w:r>
              <w:rPr>
                <w:rFonts w:hint="eastAsia" w:ascii="宋体" w:hAnsi="宋体" w:eastAsia="宋体" w:cs="宋体"/>
                <w:color w:val="auto"/>
                <w:spacing w:val="-6"/>
                <w:sz w:val="21"/>
                <w:szCs w:val="21"/>
              </w:rPr>
              <w:t>100</w:t>
            </w:r>
          </w:p>
        </w:tc>
        <w:tc>
          <w:tcPr>
            <w:tcW w:w="768" w:type="pct"/>
            <w:tcBorders>
              <w:tl2br w:val="nil"/>
              <w:tr2bl w:val="nil"/>
            </w:tcBorders>
            <w:vAlign w:val="center"/>
          </w:tcPr>
          <w:p w14:paraId="0671C61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eastAsia" w:ascii="宋体" w:hAnsi="宋体" w:eastAsia="宋体" w:cs="宋体"/>
                <w:color w:val="auto"/>
                <w:spacing w:val="-1"/>
                <w:sz w:val="21"/>
                <w:szCs w:val="21"/>
              </w:rPr>
            </w:pPr>
            <w:r>
              <w:rPr>
                <w:rFonts w:hint="eastAsia" w:ascii="宋体" w:hAnsi="宋体" w:eastAsia="宋体" w:cs="宋体"/>
                <w:color w:val="auto"/>
                <w:spacing w:val="-1"/>
                <w:sz w:val="21"/>
                <w:szCs w:val="21"/>
              </w:rPr>
              <w:t>V=(S1+S2+</w:t>
            </w:r>
          </w:p>
          <w:p w14:paraId="50FD510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rPr>
                <w:rFonts w:hint="eastAsia" w:ascii="宋体" w:hAnsi="宋体" w:eastAsia="宋体" w:cs="宋体"/>
                <w:b w:val="0"/>
                <w:bCs w:val="0"/>
                <w:color w:val="auto"/>
                <w:sz w:val="21"/>
                <w:szCs w:val="21"/>
                <w:vertAlign w:val="baseline"/>
              </w:rPr>
            </w:pPr>
            <w:r>
              <w:rPr>
                <w:rFonts w:hint="eastAsia" w:ascii="宋体" w:hAnsi="宋体" w:eastAsia="宋体" w:cs="宋体"/>
                <w:color w:val="auto"/>
                <w:spacing w:val="-1"/>
                <w:sz w:val="21"/>
                <w:szCs w:val="21"/>
              </w:rPr>
              <w:t>√(S1*S2))•L/3</w:t>
            </w:r>
          </w:p>
        </w:tc>
        <w:tc>
          <w:tcPr>
            <w:tcW w:w="605" w:type="pct"/>
            <w:tcBorders>
              <w:tl2br w:val="nil"/>
              <w:tr2bl w:val="nil"/>
            </w:tcBorders>
            <w:vAlign w:val="center"/>
          </w:tcPr>
          <w:p w14:paraId="6E6F972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rPr>
                <w:rFonts w:hint="eastAsia" w:ascii="宋体" w:hAnsi="宋体" w:eastAsia="宋体" w:cs="宋体"/>
                <w:b w:val="0"/>
                <w:bCs w:val="0"/>
                <w:color w:val="auto"/>
                <w:sz w:val="21"/>
                <w:szCs w:val="21"/>
                <w:vertAlign w:val="baseline"/>
              </w:rPr>
            </w:pPr>
            <w:r>
              <w:rPr>
                <w:rFonts w:hint="eastAsia" w:ascii="宋体" w:hAnsi="宋体" w:eastAsia="宋体" w:cs="宋体"/>
                <w:color w:val="auto"/>
                <w:spacing w:val="-1"/>
                <w:sz w:val="21"/>
                <w:szCs w:val="21"/>
              </w:rPr>
              <w:t>403006.41</w:t>
            </w:r>
          </w:p>
        </w:tc>
        <w:tc>
          <w:tcPr>
            <w:tcW w:w="493" w:type="pct"/>
            <w:tcBorders>
              <w:tl2br w:val="nil"/>
              <w:tr2bl w:val="nil"/>
            </w:tcBorders>
            <w:vAlign w:val="center"/>
          </w:tcPr>
          <w:p w14:paraId="3B1C13E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rPr>
                <w:rFonts w:hint="eastAsia" w:ascii="宋体" w:hAnsi="宋体" w:eastAsia="宋体" w:cs="宋体"/>
                <w:b w:val="0"/>
                <w:bCs w:val="0"/>
                <w:color w:val="auto"/>
                <w:sz w:val="21"/>
                <w:szCs w:val="21"/>
                <w:vertAlign w:val="baseline"/>
              </w:rPr>
            </w:pPr>
            <w:r>
              <w:rPr>
                <w:rFonts w:hint="eastAsia" w:ascii="宋体" w:hAnsi="宋体" w:eastAsia="宋体" w:cs="宋体"/>
                <w:color w:val="auto"/>
                <w:spacing w:val="-1"/>
                <w:sz w:val="21"/>
                <w:szCs w:val="21"/>
              </w:rPr>
              <w:t>2.72</w:t>
            </w:r>
          </w:p>
        </w:tc>
        <w:tc>
          <w:tcPr>
            <w:tcW w:w="441" w:type="pct"/>
            <w:tcBorders>
              <w:tl2br w:val="nil"/>
              <w:tr2bl w:val="nil"/>
            </w:tcBorders>
            <w:vAlign w:val="center"/>
          </w:tcPr>
          <w:p w14:paraId="1899B2D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rPr>
                <w:rFonts w:hint="eastAsia" w:ascii="宋体" w:hAnsi="宋体" w:eastAsia="宋体" w:cs="宋体"/>
                <w:b w:val="0"/>
                <w:bCs w:val="0"/>
                <w:color w:val="auto"/>
                <w:sz w:val="21"/>
                <w:szCs w:val="21"/>
                <w:vertAlign w:val="baseline"/>
              </w:rPr>
            </w:pPr>
            <w:r>
              <w:rPr>
                <w:rFonts w:hint="eastAsia" w:ascii="宋体" w:hAnsi="宋体" w:eastAsia="宋体" w:cs="宋体"/>
                <w:color w:val="auto"/>
                <w:spacing w:val="-3"/>
                <w:sz w:val="21"/>
                <w:szCs w:val="21"/>
              </w:rPr>
              <w:t>109.62</w:t>
            </w:r>
          </w:p>
        </w:tc>
      </w:tr>
      <w:tr w14:paraId="090D10D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335" w:type="pct"/>
            <w:vMerge w:val="continue"/>
            <w:tcBorders>
              <w:tl2br w:val="nil"/>
              <w:tr2bl w:val="nil"/>
            </w:tcBorders>
            <w:vAlign w:val="center"/>
          </w:tcPr>
          <w:p w14:paraId="7DB4297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firstLine="0" w:firstLineChars="0"/>
              <w:jc w:val="center"/>
              <w:textAlignment w:val="auto"/>
              <w:rPr>
                <w:rFonts w:hint="eastAsia" w:ascii="宋体" w:hAnsi="宋体" w:eastAsia="宋体" w:cs="宋体"/>
                <w:b w:val="0"/>
                <w:bCs w:val="0"/>
                <w:color w:val="auto"/>
                <w:sz w:val="21"/>
                <w:szCs w:val="21"/>
                <w:vertAlign w:val="baseline"/>
              </w:rPr>
            </w:pPr>
          </w:p>
        </w:tc>
        <w:tc>
          <w:tcPr>
            <w:tcW w:w="318" w:type="pct"/>
            <w:vMerge w:val="restart"/>
            <w:tcBorders>
              <w:tl2br w:val="nil"/>
              <w:tr2bl w:val="nil"/>
            </w:tcBorders>
            <w:vAlign w:val="center"/>
          </w:tcPr>
          <w:p w14:paraId="2090090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firstLine="0" w:firstLineChars="0"/>
              <w:jc w:val="center"/>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推断</w:t>
            </w:r>
          </w:p>
        </w:tc>
        <w:tc>
          <w:tcPr>
            <w:tcW w:w="295" w:type="pct"/>
            <w:vMerge w:val="continue"/>
            <w:tcBorders>
              <w:tl2br w:val="nil"/>
              <w:tr2bl w:val="nil"/>
            </w:tcBorders>
            <w:vAlign w:val="center"/>
          </w:tcPr>
          <w:p w14:paraId="5ABCCA3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firstLine="0" w:firstLineChars="0"/>
              <w:jc w:val="center"/>
              <w:textAlignment w:val="auto"/>
              <w:rPr>
                <w:rFonts w:hint="eastAsia" w:ascii="宋体" w:hAnsi="宋体" w:eastAsia="宋体" w:cs="宋体"/>
                <w:b w:val="0"/>
                <w:bCs w:val="0"/>
                <w:color w:val="auto"/>
                <w:sz w:val="21"/>
                <w:szCs w:val="21"/>
                <w:vertAlign w:val="baseline"/>
              </w:rPr>
            </w:pPr>
          </w:p>
        </w:tc>
        <w:tc>
          <w:tcPr>
            <w:tcW w:w="330" w:type="pct"/>
            <w:tcBorders>
              <w:tl2br w:val="nil"/>
              <w:tr2bl w:val="nil"/>
            </w:tcBorders>
            <w:vAlign w:val="center"/>
          </w:tcPr>
          <w:p w14:paraId="476DC2E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rPr>
                <w:rFonts w:hint="eastAsia" w:ascii="宋体" w:hAnsi="宋体" w:eastAsia="宋体" w:cs="宋体"/>
                <w:b w:val="0"/>
                <w:bCs w:val="0"/>
                <w:color w:val="auto"/>
                <w:sz w:val="21"/>
                <w:szCs w:val="21"/>
                <w:vertAlign w:val="baseline"/>
              </w:rPr>
            </w:pPr>
            <w:r>
              <w:rPr>
                <w:rFonts w:hint="eastAsia" w:ascii="宋体" w:hAnsi="宋体" w:eastAsia="宋体" w:cs="宋体"/>
                <w:color w:val="auto"/>
                <w:spacing w:val="-2"/>
                <w:sz w:val="21"/>
                <w:szCs w:val="21"/>
              </w:rPr>
              <w:t>TD-1</w:t>
            </w:r>
          </w:p>
        </w:tc>
        <w:tc>
          <w:tcPr>
            <w:tcW w:w="542" w:type="pct"/>
            <w:tcBorders>
              <w:tl2br w:val="nil"/>
              <w:tr2bl w:val="nil"/>
            </w:tcBorders>
            <w:vAlign w:val="center"/>
          </w:tcPr>
          <w:p w14:paraId="67C4077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rPr>
                <w:rFonts w:hint="eastAsia" w:ascii="宋体" w:hAnsi="宋体" w:eastAsia="宋体" w:cs="宋体"/>
                <w:b w:val="0"/>
                <w:bCs w:val="0"/>
                <w:color w:val="auto"/>
                <w:sz w:val="21"/>
                <w:szCs w:val="21"/>
                <w:vertAlign w:val="baseline"/>
              </w:rPr>
            </w:pPr>
            <w:r>
              <w:rPr>
                <w:rFonts w:hint="eastAsia" w:ascii="宋体" w:hAnsi="宋体" w:eastAsia="宋体" w:cs="宋体"/>
                <w:color w:val="auto"/>
                <w:sz w:val="21"/>
                <w:szCs w:val="21"/>
              </w:rPr>
              <w:t>0</w:t>
            </w:r>
          </w:p>
        </w:tc>
        <w:tc>
          <w:tcPr>
            <w:tcW w:w="542" w:type="pct"/>
            <w:tcBorders>
              <w:tl2br w:val="nil"/>
              <w:tr2bl w:val="nil"/>
            </w:tcBorders>
            <w:vAlign w:val="center"/>
          </w:tcPr>
          <w:p w14:paraId="080D035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rPr>
                <w:rFonts w:hint="eastAsia" w:ascii="宋体" w:hAnsi="宋体" w:eastAsia="宋体" w:cs="宋体"/>
                <w:b w:val="0"/>
                <w:bCs w:val="0"/>
                <w:color w:val="auto"/>
                <w:sz w:val="21"/>
                <w:szCs w:val="21"/>
                <w:vertAlign w:val="baseline"/>
              </w:rPr>
            </w:pPr>
            <w:r>
              <w:rPr>
                <w:rFonts w:hint="eastAsia" w:ascii="宋体" w:hAnsi="宋体" w:eastAsia="宋体" w:cs="宋体"/>
                <w:color w:val="auto"/>
                <w:spacing w:val="-1"/>
                <w:sz w:val="21"/>
                <w:szCs w:val="21"/>
              </w:rPr>
              <w:t>2100.31</w:t>
            </w:r>
          </w:p>
        </w:tc>
        <w:tc>
          <w:tcPr>
            <w:tcW w:w="325" w:type="pct"/>
            <w:tcBorders>
              <w:tl2br w:val="nil"/>
              <w:tr2bl w:val="nil"/>
            </w:tcBorders>
            <w:vAlign w:val="center"/>
          </w:tcPr>
          <w:p w14:paraId="183BC1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rPr>
                <w:rFonts w:hint="eastAsia" w:ascii="宋体" w:hAnsi="宋体" w:eastAsia="宋体" w:cs="宋体"/>
                <w:b w:val="0"/>
                <w:bCs w:val="0"/>
                <w:color w:val="auto"/>
                <w:sz w:val="21"/>
                <w:szCs w:val="21"/>
                <w:vertAlign w:val="baseline"/>
              </w:rPr>
            </w:pPr>
            <w:r>
              <w:rPr>
                <w:rFonts w:hint="eastAsia" w:ascii="宋体" w:hAnsi="宋体" w:eastAsia="宋体" w:cs="宋体"/>
                <w:color w:val="auto"/>
                <w:spacing w:val="-6"/>
                <w:sz w:val="21"/>
                <w:szCs w:val="21"/>
              </w:rPr>
              <w:t>100</w:t>
            </w:r>
          </w:p>
        </w:tc>
        <w:tc>
          <w:tcPr>
            <w:tcW w:w="768" w:type="pct"/>
            <w:tcBorders>
              <w:tl2br w:val="nil"/>
              <w:tr2bl w:val="nil"/>
            </w:tcBorders>
            <w:vAlign w:val="center"/>
          </w:tcPr>
          <w:p w14:paraId="0629BA1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rPr>
                <w:rFonts w:hint="eastAsia" w:ascii="宋体" w:hAnsi="宋体" w:eastAsia="宋体" w:cs="宋体"/>
                <w:b w:val="0"/>
                <w:bCs w:val="0"/>
                <w:color w:val="auto"/>
                <w:sz w:val="21"/>
                <w:szCs w:val="21"/>
                <w:vertAlign w:val="baseline"/>
              </w:rPr>
            </w:pPr>
            <w:r>
              <w:rPr>
                <w:rFonts w:hint="eastAsia" w:ascii="宋体" w:hAnsi="宋体" w:eastAsia="宋体" w:cs="宋体"/>
                <w:color w:val="auto"/>
                <w:spacing w:val="-1"/>
                <w:sz w:val="21"/>
                <w:szCs w:val="21"/>
              </w:rPr>
              <w:t>V=S•L/3</w:t>
            </w:r>
          </w:p>
        </w:tc>
        <w:tc>
          <w:tcPr>
            <w:tcW w:w="605" w:type="pct"/>
            <w:tcBorders>
              <w:tl2br w:val="nil"/>
              <w:tr2bl w:val="nil"/>
            </w:tcBorders>
            <w:vAlign w:val="center"/>
          </w:tcPr>
          <w:p w14:paraId="7AE4950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rPr>
                <w:rFonts w:hint="eastAsia" w:ascii="宋体" w:hAnsi="宋体" w:eastAsia="宋体" w:cs="宋体"/>
                <w:b w:val="0"/>
                <w:bCs w:val="0"/>
                <w:color w:val="auto"/>
                <w:sz w:val="21"/>
                <w:szCs w:val="21"/>
                <w:vertAlign w:val="baseline"/>
              </w:rPr>
            </w:pPr>
            <w:r>
              <w:rPr>
                <w:rFonts w:hint="eastAsia" w:ascii="宋体" w:hAnsi="宋体" w:eastAsia="宋体" w:cs="宋体"/>
                <w:color w:val="auto"/>
                <w:spacing w:val="-1"/>
                <w:sz w:val="21"/>
                <w:szCs w:val="21"/>
              </w:rPr>
              <w:t>70010.33</w:t>
            </w:r>
          </w:p>
        </w:tc>
        <w:tc>
          <w:tcPr>
            <w:tcW w:w="493" w:type="pct"/>
            <w:tcBorders>
              <w:tl2br w:val="nil"/>
              <w:tr2bl w:val="nil"/>
            </w:tcBorders>
            <w:vAlign w:val="center"/>
          </w:tcPr>
          <w:p w14:paraId="619868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rPr>
                <w:rFonts w:hint="eastAsia" w:ascii="宋体" w:hAnsi="宋体" w:eastAsia="宋体" w:cs="宋体"/>
                <w:b w:val="0"/>
                <w:bCs w:val="0"/>
                <w:color w:val="auto"/>
                <w:sz w:val="21"/>
                <w:szCs w:val="21"/>
                <w:vertAlign w:val="baseline"/>
              </w:rPr>
            </w:pPr>
            <w:r>
              <w:rPr>
                <w:rFonts w:hint="eastAsia" w:ascii="宋体" w:hAnsi="宋体" w:eastAsia="宋体" w:cs="宋体"/>
                <w:color w:val="auto"/>
                <w:spacing w:val="-1"/>
                <w:sz w:val="21"/>
                <w:szCs w:val="21"/>
              </w:rPr>
              <w:t>2.72</w:t>
            </w:r>
          </w:p>
        </w:tc>
        <w:tc>
          <w:tcPr>
            <w:tcW w:w="441" w:type="pct"/>
            <w:tcBorders>
              <w:tl2br w:val="nil"/>
              <w:tr2bl w:val="nil"/>
            </w:tcBorders>
            <w:vAlign w:val="center"/>
          </w:tcPr>
          <w:p w14:paraId="338E819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rPr>
                <w:rFonts w:hint="eastAsia" w:ascii="宋体" w:hAnsi="宋体" w:eastAsia="宋体" w:cs="宋体"/>
                <w:b w:val="0"/>
                <w:bCs w:val="0"/>
                <w:color w:val="auto"/>
                <w:sz w:val="21"/>
                <w:szCs w:val="21"/>
                <w:vertAlign w:val="baseline"/>
              </w:rPr>
            </w:pPr>
            <w:r>
              <w:rPr>
                <w:rFonts w:hint="eastAsia" w:ascii="宋体" w:hAnsi="宋体" w:eastAsia="宋体" w:cs="宋体"/>
                <w:color w:val="auto"/>
                <w:spacing w:val="-4"/>
                <w:sz w:val="21"/>
                <w:szCs w:val="21"/>
              </w:rPr>
              <w:t>19.04</w:t>
            </w:r>
          </w:p>
        </w:tc>
      </w:tr>
      <w:tr w14:paraId="5C5F30F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335" w:type="pct"/>
            <w:vMerge w:val="continue"/>
            <w:tcBorders>
              <w:tl2br w:val="nil"/>
              <w:tr2bl w:val="nil"/>
            </w:tcBorders>
            <w:vAlign w:val="center"/>
          </w:tcPr>
          <w:p w14:paraId="0944635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firstLine="0" w:firstLineChars="0"/>
              <w:jc w:val="center"/>
              <w:textAlignment w:val="auto"/>
              <w:rPr>
                <w:rFonts w:hint="eastAsia" w:ascii="宋体" w:hAnsi="宋体" w:eastAsia="宋体" w:cs="宋体"/>
                <w:b w:val="0"/>
                <w:bCs w:val="0"/>
                <w:color w:val="auto"/>
                <w:sz w:val="21"/>
                <w:szCs w:val="21"/>
                <w:vertAlign w:val="baseline"/>
              </w:rPr>
            </w:pPr>
          </w:p>
        </w:tc>
        <w:tc>
          <w:tcPr>
            <w:tcW w:w="318" w:type="pct"/>
            <w:vMerge w:val="continue"/>
            <w:tcBorders>
              <w:tl2br w:val="nil"/>
              <w:tr2bl w:val="nil"/>
            </w:tcBorders>
            <w:vAlign w:val="center"/>
          </w:tcPr>
          <w:p w14:paraId="41D963C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firstLine="0" w:firstLineChars="0"/>
              <w:jc w:val="center"/>
              <w:textAlignment w:val="auto"/>
              <w:rPr>
                <w:rFonts w:hint="eastAsia" w:ascii="宋体" w:hAnsi="宋体" w:eastAsia="宋体" w:cs="宋体"/>
                <w:b w:val="0"/>
                <w:bCs w:val="0"/>
                <w:color w:val="auto"/>
                <w:sz w:val="21"/>
                <w:szCs w:val="21"/>
                <w:vertAlign w:val="baseline"/>
              </w:rPr>
            </w:pPr>
          </w:p>
        </w:tc>
        <w:tc>
          <w:tcPr>
            <w:tcW w:w="295" w:type="pct"/>
            <w:vMerge w:val="continue"/>
            <w:tcBorders>
              <w:tl2br w:val="nil"/>
              <w:tr2bl w:val="nil"/>
            </w:tcBorders>
            <w:vAlign w:val="center"/>
          </w:tcPr>
          <w:p w14:paraId="11C4386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firstLine="0" w:firstLineChars="0"/>
              <w:jc w:val="center"/>
              <w:textAlignment w:val="auto"/>
              <w:rPr>
                <w:rFonts w:hint="eastAsia" w:ascii="宋体" w:hAnsi="宋体" w:eastAsia="宋体" w:cs="宋体"/>
                <w:b w:val="0"/>
                <w:bCs w:val="0"/>
                <w:color w:val="auto"/>
                <w:sz w:val="21"/>
                <w:szCs w:val="21"/>
                <w:vertAlign w:val="baseline"/>
              </w:rPr>
            </w:pPr>
          </w:p>
        </w:tc>
        <w:tc>
          <w:tcPr>
            <w:tcW w:w="330" w:type="pct"/>
            <w:tcBorders>
              <w:tl2br w:val="nil"/>
              <w:tr2bl w:val="nil"/>
            </w:tcBorders>
            <w:vAlign w:val="center"/>
          </w:tcPr>
          <w:p w14:paraId="11CD08B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rPr>
                <w:rFonts w:hint="eastAsia" w:ascii="宋体" w:hAnsi="宋体" w:eastAsia="宋体" w:cs="宋体"/>
                <w:b w:val="0"/>
                <w:bCs w:val="0"/>
                <w:color w:val="auto"/>
                <w:sz w:val="21"/>
                <w:szCs w:val="21"/>
                <w:vertAlign w:val="baseline"/>
              </w:rPr>
            </w:pPr>
            <w:r>
              <w:rPr>
                <w:rFonts w:hint="eastAsia" w:ascii="宋体" w:hAnsi="宋体" w:eastAsia="宋体" w:cs="宋体"/>
                <w:color w:val="auto"/>
                <w:spacing w:val="-2"/>
                <w:sz w:val="21"/>
                <w:szCs w:val="21"/>
              </w:rPr>
              <w:t>TD-2</w:t>
            </w:r>
          </w:p>
        </w:tc>
        <w:tc>
          <w:tcPr>
            <w:tcW w:w="542" w:type="pct"/>
            <w:tcBorders>
              <w:tl2br w:val="nil"/>
              <w:tr2bl w:val="nil"/>
            </w:tcBorders>
            <w:vAlign w:val="center"/>
          </w:tcPr>
          <w:p w14:paraId="0FAE4CB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rPr>
                <w:rFonts w:hint="eastAsia" w:ascii="宋体" w:hAnsi="宋体" w:eastAsia="宋体" w:cs="宋体"/>
                <w:b w:val="0"/>
                <w:bCs w:val="0"/>
                <w:color w:val="auto"/>
                <w:sz w:val="21"/>
                <w:szCs w:val="21"/>
                <w:vertAlign w:val="baseline"/>
              </w:rPr>
            </w:pPr>
            <w:r>
              <w:rPr>
                <w:rFonts w:hint="eastAsia" w:ascii="宋体" w:hAnsi="宋体" w:eastAsia="宋体" w:cs="宋体"/>
                <w:color w:val="auto"/>
                <w:sz w:val="21"/>
                <w:szCs w:val="21"/>
              </w:rPr>
              <w:t>0</w:t>
            </w:r>
          </w:p>
        </w:tc>
        <w:tc>
          <w:tcPr>
            <w:tcW w:w="542" w:type="pct"/>
            <w:tcBorders>
              <w:tl2br w:val="nil"/>
              <w:tr2bl w:val="nil"/>
            </w:tcBorders>
            <w:vAlign w:val="center"/>
          </w:tcPr>
          <w:p w14:paraId="35BC667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rPr>
                <w:rFonts w:hint="eastAsia" w:ascii="宋体" w:hAnsi="宋体" w:eastAsia="宋体" w:cs="宋体"/>
                <w:b w:val="0"/>
                <w:bCs w:val="0"/>
                <w:color w:val="auto"/>
                <w:sz w:val="21"/>
                <w:szCs w:val="21"/>
                <w:vertAlign w:val="baseline"/>
              </w:rPr>
            </w:pPr>
            <w:r>
              <w:rPr>
                <w:rFonts w:hint="eastAsia" w:ascii="宋体" w:hAnsi="宋体" w:eastAsia="宋体" w:cs="宋体"/>
                <w:color w:val="auto"/>
                <w:spacing w:val="-1"/>
                <w:sz w:val="21"/>
                <w:szCs w:val="21"/>
              </w:rPr>
              <w:t>352.35</w:t>
            </w:r>
          </w:p>
        </w:tc>
        <w:tc>
          <w:tcPr>
            <w:tcW w:w="325" w:type="pct"/>
            <w:tcBorders>
              <w:tl2br w:val="nil"/>
              <w:tr2bl w:val="nil"/>
            </w:tcBorders>
            <w:vAlign w:val="center"/>
          </w:tcPr>
          <w:p w14:paraId="606BD2A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rPr>
                <w:rFonts w:hint="eastAsia" w:ascii="宋体" w:hAnsi="宋体" w:eastAsia="宋体" w:cs="宋体"/>
                <w:b w:val="0"/>
                <w:bCs w:val="0"/>
                <w:color w:val="auto"/>
                <w:sz w:val="21"/>
                <w:szCs w:val="21"/>
                <w:vertAlign w:val="baseline"/>
              </w:rPr>
            </w:pPr>
            <w:r>
              <w:rPr>
                <w:rFonts w:hint="eastAsia" w:ascii="宋体" w:hAnsi="宋体" w:eastAsia="宋体" w:cs="宋体"/>
                <w:color w:val="auto"/>
                <w:spacing w:val="-6"/>
                <w:sz w:val="21"/>
                <w:szCs w:val="21"/>
              </w:rPr>
              <w:t>100</w:t>
            </w:r>
          </w:p>
        </w:tc>
        <w:tc>
          <w:tcPr>
            <w:tcW w:w="768" w:type="pct"/>
            <w:tcBorders>
              <w:tl2br w:val="nil"/>
              <w:tr2bl w:val="nil"/>
            </w:tcBorders>
            <w:vAlign w:val="center"/>
          </w:tcPr>
          <w:p w14:paraId="3C41612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rPr>
                <w:rFonts w:hint="eastAsia" w:ascii="宋体" w:hAnsi="宋体" w:eastAsia="宋体" w:cs="宋体"/>
                <w:b w:val="0"/>
                <w:bCs w:val="0"/>
                <w:color w:val="auto"/>
                <w:sz w:val="21"/>
                <w:szCs w:val="21"/>
                <w:vertAlign w:val="baseline"/>
              </w:rPr>
            </w:pPr>
            <w:r>
              <w:rPr>
                <w:rFonts w:hint="eastAsia" w:ascii="宋体" w:hAnsi="宋体" w:eastAsia="宋体" w:cs="宋体"/>
                <w:color w:val="auto"/>
                <w:spacing w:val="-1"/>
                <w:sz w:val="21"/>
                <w:szCs w:val="21"/>
              </w:rPr>
              <w:t>V=S•L/3</w:t>
            </w:r>
          </w:p>
        </w:tc>
        <w:tc>
          <w:tcPr>
            <w:tcW w:w="605" w:type="pct"/>
            <w:tcBorders>
              <w:tl2br w:val="nil"/>
              <w:tr2bl w:val="nil"/>
            </w:tcBorders>
            <w:vAlign w:val="center"/>
          </w:tcPr>
          <w:p w14:paraId="4111478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rPr>
                <w:rFonts w:hint="eastAsia" w:ascii="宋体" w:hAnsi="宋体" w:eastAsia="宋体" w:cs="宋体"/>
                <w:b w:val="0"/>
                <w:bCs w:val="0"/>
                <w:color w:val="auto"/>
                <w:sz w:val="21"/>
                <w:szCs w:val="21"/>
                <w:vertAlign w:val="baseline"/>
              </w:rPr>
            </w:pPr>
            <w:r>
              <w:rPr>
                <w:rFonts w:hint="eastAsia" w:ascii="宋体" w:hAnsi="宋体" w:eastAsia="宋体" w:cs="宋体"/>
                <w:color w:val="auto"/>
                <w:spacing w:val="-3"/>
                <w:sz w:val="21"/>
                <w:szCs w:val="21"/>
              </w:rPr>
              <w:t>11745.00</w:t>
            </w:r>
          </w:p>
        </w:tc>
        <w:tc>
          <w:tcPr>
            <w:tcW w:w="493" w:type="pct"/>
            <w:tcBorders>
              <w:tl2br w:val="nil"/>
              <w:tr2bl w:val="nil"/>
            </w:tcBorders>
            <w:vAlign w:val="center"/>
          </w:tcPr>
          <w:p w14:paraId="150D5C7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rPr>
                <w:rFonts w:hint="eastAsia" w:ascii="宋体" w:hAnsi="宋体" w:eastAsia="宋体" w:cs="宋体"/>
                <w:b w:val="0"/>
                <w:bCs w:val="0"/>
                <w:color w:val="auto"/>
                <w:sz w:val="21"/>
                <w:szCs w:val="21"/>
                <w:vertAlign w:val="baseline"/>
              </w:rPr>
            </w:pPr>
            <w:r>
              <w:rPr>
                <w:rFonts w:hint="eastAsia" w:ascii="宋体" w:hAnsi="宋体" w:eastAsia="宋体" w:cs="宋体"/>
                <w:color w:val="auto"/>
                <w:spacing w:val="-1"/>
                <w:sz w:val="21"/>
                <w:szCs w:val="21"/>
              </w:rPr>
              <w:t>2.72</w:t>
            </w:r>
          </w:p>
        </w:tc>
        <w:tc>
          <w:tcPr>
            <w:tcW w:w="441" w:type="pct"/>
            <w:tcBorders>
              <w:tl2br w:val="nil"/>
              <w:tr2bl w:val="nil"/>
            </w:tcBorders>
            <w:vAlign w:val="center"/>
          </w:tcPr>
          <w:p w14:paraId="5D0BF4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rPr>
                <w:rFonts w:hint="eastAsia" w:ascii="宋体" w:hAnsi="宋体" w:eastAsia="宋体" w:cs="宋体"/>
                <w:b w:val="0"/>
                <w:bCs w:val="0"/>
                <w:color w:val="auto"/>
                <w:sz w:val="21"/>
                <w:szCs w:val="21"/>
                <w:vertAlign w:val="baseline"/>
              </w:rPr>
            </w:pPr>
            <w:r>
              <w:rPr>
                <w:rFonts w:hint="eastAsia" w:ascii="宋体" w:hAnsi="宋体" w:eastAsia="宋体" w:cs="宋体"/>
                <w:color w:val="auto"/>
                <w:spacing w:val="-2"/>
                <w:sz w:val="21"/>
                <w:szCs w:val="21"/>
              </w:rPr>
              <w:t>3.19</w:t>
            </w:r>
          </w:p>
        </w:tc>
      </w:tr>
      <w:tr w14:paraId="0B9FB3B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335" w:type="pct"/>
            <w:vMerge w:val="continue"/>
            <w:tcBorders>
              <w:tl2br w:val="nil"/>
              <w:tr2bl w:val="nil"/>
            </w:tcBorders>
            <w:vAlign w:val="center"/>
          </w:tcPr>
          <w:p w14:paraId="2E7D079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firstLine="0" w:firstLineChars="0"/>
              <w:jc w:val="center"/>
              <w:textAlignment w:val="auto"/>
              <w:rPr>
                <w:rFonts w:hint="eastAsia" w:ascii="宋体" w:hAnsi="宋体" w:eastAsia="宋体" w:cs="宋体"/>
                <w:b w:val="0"/>
                <w:bCs w:val="0"/>
                <w:color w:val="auto"/>
                <w:sz w:val="21"/>
                <w:szCs w:val="21"/>
                <w:vertAlign w:val="baseline"/>
              </w:rPr>
            </w:pPr>
          </w:p>
        </w:tc>
        <w:tc>
          <w:tcPr>
            <w:tcW w:w="318" w:type="pct"/>
            <w:tcBorders>
              <w:tl2br w:val="nil"/>
              <w:tr2bl w:val="nil"/>
            </w:tcBorders>
            <w:vAlign w:val="center"/>
          </w:tcPr>
          <w:p w14:paraId="6DF4953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firstLine="0" w:firstLineChars="0"/>
              <w:jc w:val="center"/>
              <w:textAlignment w:val="auto"/>
              <w:rPr>
                <w:rFonts w:hint="eastAsia" w:ascii="宋体" w:hAnsi="宋体" w:eastAsia="宋体" w:cs="宋体"/>
                <w:b w:val="0"/>
                <w:bCs w:val="0"/>
                <w:color w:val="auto"/>
                <w:sz w:val="21"/>
                <w:szCs w:val="21"/>
                <w:vertAlign w:val="baseline"/>
              </w:rPr>
            </w:pPr>
            <w:r>
              <w:rPr>
                <w:rFonts w:hint="eastAsia" w:ascii="宋体" w:hAnsi="宋体" w:eastAsia="宋体" w:cs="宋体"/>
                <w:b w:val="0"/>
                <w:bCs w:val="0"/>
                <w:color w:val="auto"/>
                <w:sz w:val="21"/>
                <w:szCs w:val="21"/>
                <w:vertAlign w:val="baseline"/>
                <w:lang w:val="en-US" w:eastAsia="zh-CN"/>
              </w:rPr>
              <w:t>控制</w:t>
            </w:r>
          </w:p>
        </w:tc>
        <w:tc>
          <w:tcPr>
            <w:tcW w:w="295" w:type="pct"/>
            <w:vMerge w:val="restart"/>
            <w:tcBorders>
              <w:tl2br w:val="nil"/>
              <w:tr2bl w:val="nil"/>
            </w:tcBorders>
            <w:vAlign w:val="center"/>
          </w:tcPr>
          <w:p w14:paraId="2A5F44C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firstLine="0" w:firstLineChars="0"/>
              <w:jc w:val="center"/>
              <w:textAlignment w:val="auto"/>
              <w:rPr>
                <w:rFonts w:hint="eastAsia" w:ascii="宋体" w:hAnsi="宋体" w:eastAsia="宋体" w:cs="宋体"/>
                <w:b w:val="0"/>
                <w:bCs w:val="0"/>
                <w:color w:val="auto"/>
                <w:sz w:val="21"/>
                <w:szCs w:val="21"/>
                <w:vertAlign w:val="baseline"/>
              </w:rPr>
            </w:pPr>
            <w:r>
              <w:rPr>
                <w:rFonts w:hint="eastAsia" w:ascii="宋体" w:hAnsi="宋体" w:eastAsia="宋体" w:cs="宋体"/>
                <w:color w:val="auto"/>
                <w:spacing w:val="-1"/>
                <w:sz w:val="21"/>
                <w:szCs w:val="21"/>
              </w:rPr>
              <w:t>2-0线</w:t>
            </w:r>
          </w:p>
        </w:tc>
        <w:tc>
          <w:tcPr>
            <w:tcW w:w="330" w:type="pct"/>
            <w:tcBorders>
              <w:tl2br w:val="nil"/>
              <w:tr2bl w:val="nil"/>
            </w:tcBorders>
            <w:vAlign w:val="center"/>
          </w:tcPr>
          <w:p w14:paraId="0ED9578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rPr>
                <w:rFonts w:hint="eastAsia" w:ascii="宋体" w:hAnsi="宋体" w:eastAsia="宋体" w:cs="宋体"/>
                <w:b w:val="0"/>
                <w:bCs w:val="0"/>
                <w:color w:val="auto"/>
                <w:sz w:val="21"/>
                <w:szCs w:val="21"/>
                <w:vertAlign w:val="baseline"/>
              </w:rPr>
            </w:pPr>
            <w:r>
              <w:rPr>
                <w:rFonts w:hint="eastAsia" w:ascii="宋体" w:hAnsi="宋体" w:eastAsia="宋体" w:cs="宋体"/>
                <w:color w:val="auto"/>
                <w:spacing w:val="-2"/>
                <w:sz w:val="21"/>
                <w:szCs w:val="21"/>
              </w:rPr>
              <w:t>KZ-3</w:t>
            </w:r>
          </w:p>
        </w:tc>
        <w:tc>
          <w:tcPr>
            <w:tcW w:w="542" w:type="pct"/>
            <w:tcBorders>
              <w:tl2br w:val="nil"/>
              <w:tr2bl w:val="nil"/>
            </w:tcBorders>
            <w:vAlign w:val="center"/>
          </w:tcPr>
          <w:p w14:paraId="79D3795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rPr>
                <w:rFonts w:hint="eastAsia" w:ascii="宋体" w:hAnsi="宋体" w:eastAsia="宋体" w:cs="宋体"/>
                <w:b w:val="0"/>
                <w:bCs w:val="0"/>
                <w:color w:val="auto"/>
                <w:sz w:val="21"/>
                <w:szCs w:val="21"/>
                <w:vertAlign w:val="baseline"/>
              </w:rPr>
            </w:pPr>
            <w:r>
              <w:rPr>
                <w:rFonts w:hint="eastAsia" w:ascii="宋体" w:hAnsi="宋体" w:eastAsia="宋体" w:cs="宋体"/>
                <w:color w:val="auto"/>
                <w:spacing w:val="-2"/>
                <w:sz w:val="21"/>
                <w:szCs w:val="21"/>
              </w:rPr>
              <w:t>6286</w:t>
            </w:r>
          </w:p>
        </w:tc>
        <w:tc>
          <w:tcPr>
            <w:tcW w:w="542" w:type="pct"/>
            <w:tcBorders>
              <w:tl2br w:val="nil"/>
              <w:tr2bl w:val="nil"/>
            </w:tcBorders>
            <w:vAlign w:val="center"/>
          </w:tcPr>
          <w:p w14:paraId="1315917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rPr>
                <w:rFonts w:hint="eastAsia" w:ascii="宋体" w:hAnsi="宋体" w:eastAsia="宋体" w:cs="宋体"/>
                <w:b w:val="0"/>
                <w:bCs w:val="0"/>
                <w:color w:val="auto"/>
                <w:sz w:val="21"/>
                <w:szCs w:val="21"/>
                <w:vertAlign w:val="baseline"/>
              </w:rPr>
            </w:pPr>
            <w:r>
              <w:rPr>
                <w:rFonts w:hint="eastAsia" w:ascii="宋体" w:hAnsi="宋体" w:eastAsia="宋体" w:cs="宋体"/>
                <w:color w:val="auto"/>
                <w:spacing w:val="-3"/>
                <w:sz w:val="21"/>
                <w:szCs w:val="21"/>
              </w:rPr>
              <w:t>11252.42</w:t>
            </w:r>
          </w:p>
        </w:tc>
        <w:tc>
          <w:tcPr>
            <w:tcW w:w="325" w:type="pct"/>
            <w:tcBorders>
              <w:tl2br w:val="nil"/>
              <w:tr2bl w:val="nil"/>
            </w:tcBorders>
            <w:vAlign w:val="center"/>
          </w:tcPr>
          <w:p w14:paraId="6CE10F3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rPr>
                <w:rFonts w:hint="eastAsia" w:ascii="宋体" w:hAnsi="宋体" w:eastAsia="宋体" w:cs="宋体"/>
                <w:b w:val="0"/>
                <w:bCs w:val="0"/>
                <w:color w:val="auto"/>
                <w:sz w:val="21"/>
                <w:szCs w:val="21"/>
                <w:vertAlign w:val="baseline"/>
              </w:rPr>
            </w:pPr>
            <w:r>
              <w:rPr>
                <w:rFonts w:hint="eastAsia" w:ascii="宋体" w:hAnsi="宋体" w:eastAsia="宋体" w:cs="宋体"/>
                <w:color w:val="auto"/>
                <w:spacing w:val="-6"/>
                <w:sz w:val="21"/>
                <w:szCs w:val="21"/>
              </w:rPr>
              <w:t>100</w:t>
            </w:r>
          </w:p>
        </w:tc>
        <w:tc>
          <w:tcPr>
            <w:tcW w:w="768" w:type="pct"/>
            <w:tcBorders>
              <w:tl2br w:val="nil"/>
              <w:tr2bl w:val="nil"/>
            </w:tcBorders>
            <w:vAlign w:val="center"/>
          </w:tcPr>
          <w:p w14:paraId="05EA4E8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eastAsia" w:ascii="宋体" w:hAnsi="宋体" w:eastAsia="宋体" w:cs="宋体"/>
                <w:color w:val="auto"/>
                <w:spacing w:val="-1"/>
                <w:sz w:val="21"/>
                <w:szCs w:val="21"/>
              </w:rPr>
            </w:pPr>
            <w:r>
              <w:rPr>
                <w:rFonts w:hint="eastAsia" w:ascii="宋体" w:hAnsi="宋体" w:eastAsia="宋体" w:cs="宋体"/>
                <w:color w:val="auto"/>
                <w:spacing w:val="-1"/>
                <w:sz w:val="21"/>
                <w:szCs w:val="21"/>
              </w:rPr>
              <w:t>V=(S1+S2+</w:t>
            </w:r>
          </w:p>
          <w:p w14:paraId="0CA671A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rPr>
                <w:rFonts w:hint="eastAsia" w:ascii="宋体" w:hAnsi="宋体" w:eastAsia="宋体" w:cs="宋体"/>
                <w:b w:val="0"/>
                <w:bCs w:val="0"/>
                <w:color w:val="auto"/>
                <w:sz w:val="21"/>
                <w:szCs w:val="21"/>
                <w:vertAlign w:val="baseline"/>
              </w:rPr>
            </w:pPr>
            <w:r>
              <w:rPr>
                <w:rFonts w:hint="eastAsia" w:ascii="宋体" w:hAnsi="宋体" w:eastAsia="宋体" w:cs="宋体"/>
                <w:color w:val="auto"/>
                <w:spacing w:val="-1"/>
                <w:sz w:val="21"/>
                <w:szCs w:val="21"/>
              </w:rPr>
              <w:t>√(S1*S2))•L/3</w:t>
            </w:r>
          </w:p>
        </w:tc>
        <w:tc>
          <w:tcPr>
            <w:tcW w:w="605" w:type="pct"/>
            <w:tcBorders>
              <w:tl2br w:val="nil"/>
              <w:tr2bl w:val="nil"/>
            </w:tcBorders>
            <w:vAlign w:val="center"/>
          </w:tcPr>
          <w:p w14:paraId="7EB88BC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rPr>
                <w:rFonts w:hint="eastAsia" w:ascii="宋体" w:hAnsi="宋体" w:eastAsia="宋体" w:cs="宋体"/>
                <w:b w:val="0"/>
                <w:bCs w:val="0"/>
                <w:color w:val="auto"/>
                <w:sz w:val="21"/>
                <w:szCs w:val="21"/>
                <w:vertAlign w:val="baseline"/>
              </w:rPr>
            </w:pPr>
            <w:r>
              <w:rPr>
                <w:rFonts w:hint="eastAsia" w:ascii="宋体" w:hAnsi="宋体" w:eastAsia="宋体" w:cs="宋体"/>
                <w:color w:val="auto"/>
                <w:spacing w:val="-2"/>
                <w:sz w:val="21"/>
                <w:szCs w:val="21"/>
              </w:rPr>
              <w:t>864956.47</w:t>
            </w:r>
          </w:p>
        </w:tc>
        <w:tc>
          <w:tcPr>
            <w:tcW w:w="493" w:type="pct"/>
            <w:tcBorders>
              <w:tl2br w:val="nil"/>
              <w:tr2bl w:val="nil"/>
            </w:tcBorders>
            <w:vAlign w:val="center"/>
          </w:tcPr>
          <w:p w14:paraId="7E1172E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rPr>
                <w:rFonts w:hint="eastAsia" w:ascii="宋体" w:hAnsi="宋体" w:eastAsia="宋体" w:cs="宋体"/>
                <w:b w:val="0"/>
                <w:bCs w:val="0"/>
                <w:color w:val="auto"/>
                <w:sz w:val="21"/>
                <w:szCs w:val="21"/>
                <w:vertAlign w:val="baseline"/>
              </w:rPr>
            </w:pPr>
            <w:r>
              <w:rPr>
                <w:rFonts w:hint="eastAsia" w:ascii="宋体" w:hAnsi="宋体" w:eastAsia="宋体" w:cs="宋体"/>
                <w:color w:val="auto"/>
                <w:spacing w:val="-1"/>
                <w:sz w:val="21"/>
                <w:szCs w:val="21"/>
              </w:rPr>
              <w:t>2.72</w:t>
            </w:r>
          </w:p>
        </w:tc>
        <w:tc>
          <w:tcPr>
            <w:tcW w:w="441" w:type="pct"/>
            <w:tcBorders>
              <w:tl2br w:val="nil"/>
              <w:tr2bl w:val="nil"/>
            </w:tcBorders>
            <w:vAlign w:val="center"/>
          </w:tcPr>
          <w:p w14:paraId="04844BE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rPr>
                <w:rFonts w:hint="eastAsia" w:ascii="宋体" w:hAnsi="宋体" w:eastAsia="宋体" w:cs="宋体"/>
                <w:b w:val="0"/>
                <w:bCs w:val="0"/>
                <w:color w:val="auto"/>
                <w:sz w:val="21"/>
                <w:szCs w:val="21"/>
                <w:vertAlign w:val="baseline"/>
              </w:rPr>
            </w:pPr>
            <w:r>
              <w:rPr>
                <w:rFonts w:hint="eastAsia" w:ascii="宋体" w:hAnsi="宋体" w:eastAsia="宋体" w:cs="宋体"/>
                <w:color w:val="auto"/>
                <w:spacing w:val="-1"/>
                <w:sz w:val="21"/>
                <w:szCs w:val="21"/>
              </w:rPr>
              <w:t>235.27</w:t>
            </w:r>
          </w:p>
        </w:tc>
      </w:tr>
      <w:tr w14:paraId="62F84AA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335" w:type="pct"/>
            <w:vMerge w:val="continue"/>
            <w:tcBorders>
              <w:tl2br w:val="nil"/>
              <w:tr2bl w:val="nil"/>
            </w:tcBorders>
            <w:vAlign w:val="center"/>
          </w:tcPr>
          <w:p w14:paraId="0D97966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firstLine="0" w:firstLineChars="0"/>
              <w:jc w:val="center"/>
              <w:textAlignment w:val="auto"/>
              <w:rPr>
                <w:rFonts w:hint="eastAsia" w:ascii="宋体" w:hAnsi="宋体" w:eastAsia="宋体" w:cs="宋体"/>
                <w:b w:val="0"/>
                <w:bCs w:val="0"/>
                <w:color w:val="auto"/>
                <w:sz w:val="21"/>
                <w:szCs w:val="21"/>
                <w:vertAlign w:val="baseline"/>
              </w:rPr>
            </w:pPr>
          </w:p>
        </w:tc>
        <w:tc>
          <w:tcPr>
            <w:tcW w:w="318" w:type="pct"/>
            <w:vMerge w:val="restart"/>
            <w:tcBorders>
              <w:tl2br w:val="nil"/>
              <w:tr2bl w:val="nil"/>
            </w:tcBorders>
            <w:vAlign w:val="center"/>
          </w:tcPr>
          <w:p w14:paraId="4CE2F5F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firstLine="0" w:firstLineChars="0"/>
              <w:jc w:val="center"/>
              <w:textAlignment w:val="auto"/>
              <w:rPr>
                <w:rFonts w:hint="eastAsia" w:ascii="宋体" w:hAnsi="宋体" w:eastAsia="宋体" w:cs="宋体"/>
                <w:b w:val="0"/>
                <w:bCs w:val="0"/>
                <w:color w:val="auto"/>
                <w:sz w:val="21"/>
                <w:szCs w:val="21"/>
                <w:vertAlign w:val="baseline"/>
              </w:rPr>
            </w:pPr>
            <w:r>
              <w:rPr>
                <w:rFonts w:hint="eastAsia" w:ascii="宋体" w:hAnsi="宋体" w:eastAsia="宋体" w:cs="宋体"/>
                <w:b w:val="0"/>
                <w:bCs w:val="0"/>
                <w:color w:val="auto"/>
                <w:sz w:val="21"/>
                <w:szCs w:val="21"/>
                <w:vertAlign w:val="baseline"/>
                <w:lang w:val="en-US" w:eastAsia="zh-CN"/>
              </w:rPr>
              <w:t>推断</w:t>
            </w:r>
          </w:p>
        </w:tc>
        <w:tc>
          <w:tcPr>
            <w:tcW w:w="295" w:type="pct"/>
            <w:vMerge w:val="continue"/>
            <w:tcBorders>
              <w:tl2br w:val="nil"/>
              <w:tr2bl w:val="nil"/>
            </w:tcBorders>
            <w:vAlign w:val="center"/>
          </w:tcPr>
          <w:p w14:paraId="74C6CBF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firstLine="0" w:firstLineChars="0"/>
              <w:jc w:val="center"/>
              <w:textAlignment w:val="auto"/>
              <w:rPr>
                <w:rFonts w:hint="eastAsia" w:ascii="宋体" w:hAnsi="宋体" w:eastAsia="宋体" w:cs="宋体"/>
                <w:b w:val="0"/>
                <w:bCs w:val="0"/>
                <w:color w:val="auto"/>
                <w:sz w:val="21"/>
                <w:szCs w:val="21"/>
                <w:vertAlign w:val="baseline"/>
              </w:rPr>
            </w:pPr>
          </w:p>
        </w:tc>
        <w:tc>
          <w:tcPr>
            <w:tcW w:w="330" w:type="pct"/>
            <w:tcBorders>
              <w:tl2br w:val="nil"/>
              <w:tr2bl w:val="nil"/>
            </w:tcBorders>
            <w:vAlign w:val="center"/>
          </w:tcPr>
          <w:p w14:paraId="0029FB8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rPr>
                <w:rFonts w:hint="eastAsia" w:ascii="宋体" w:hAnsi="宋体" w:eastAsia="宋体" w:cs="宋体"/>
                <w:b w:val="0"/>
                <w:bCs w:val="0"/>
                <w:color w:val="auto"/>
                <w:sz w:val="21"/>
                <w:szCs w:val="21"/>
                <w:vertAlign w:val="baseline"/>
              </w:rPr>
            </w:pPr>
            <w:r>
              <w:rPr>
                <w:rFonts w:hint="eastAsia" w:ascii="宋体" w:hAnsi="宋体" w:eastAsia="宋体" w:cs="宋体"/>
                <w:color w:val="auto"/>
                <w:spacing w:val="-2"/>
                <w:sz w:val="21"/>
                <w:szCs w:val="21"/>
              </w:rPr>
              <w:t>TD-3</w:t>
            </w:r>
          </w:p>
        </w:tc>
        <w:tc>
          <w:tcPr>
            <w:tcW w:w="542" w:type="pct"/>
            <w:tcBorders>
              <w:tl2br w:val="nil"/>
              <w:tr2bl w:val="nil"/>
            </w:tcBorders>
            <w:vAlign w:val="center"/>
          </w:tcPr>
          <w:p w14:paraId="7772134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rPr>
                <w:rFonts w:hint="eastAsia" w:ascii="宋体" w:hAnsi="宋体" w:eastAsia="宋体" w:cs="宋体"/>
                <w:b w:val="0"/>
                <w:bCs w:val="0"/>
                <w:color w:val="auto"/>
                <w:sz w:val="21"/>
                <w:szCs w:val="21"/>
                <w:vertAlign w:val="baseline"/>
              </w:rPr>
            </w:pPr>
            <w:r>
              <w:rPr>
                <w:rFonts w:hint="eastAsia" w:ascii="宋体" w:hAnsi="宋体" w:eastAsia="宋体" w:cs="宋体"/>
                <w:color w:val="auto"/>
                <w:spacing w:val="-1"/>
                <w:sz w:val="21"/>
                <w:szCs w:val="21"/>
              </w:rPr>
              <w:t>2100.31</w:t>
            </w:r>
          </w:p>
        </w:tc>
        <w:tc>
          <w:tcPr>
            <w:tcW w:w="542" w:type="pct"/>
            <w:tcBorders>
              <w:tl2br w:val="nil"/>
              <w:tr2bl w:val="nil"/>
            </w:tcBorders>
            <w:vAlign w:val="center"/>
          </w:tcPr>
          <w:p w14:paraId="39F1151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rPr>
                <w:rFonts w:hint="eastAsia" w:ascii="宋体" w:hAnsi="宋体" w:eastAsia="宋体" w:cs="宋体"/>
                <w:b w:val="0"/>
                <w:bCs w:val="0"/>
                <w:color w:val="auto"/>
                <w:sz w:val="21"/>
                <w:szCs w:val="21"/>
                <w:vertAlign w:val="baseline"/>
              </w:rPr>
            </w:pPr>
            <w:r>
              <w:rPr>
                <w:rFonts w:hint="eastAsia" w:ascii="宋体" w:hAnsi="宋体" w:eastAsia="宋体" w:cs="宋体"/>
                <w:color w:val="auto"/>
                <w:sz w:val="21"/>
                <w:szCs w:val="21"/>
              </w:rPr>
              <w:t>0</w:t>
            </w:r>
          </w:p>
        </w:tc>
        <w:tc>
          <w:tcPr>
            <w:tcW w:w="325" w:type="pct"/>
            <w:tcBorders>
              <w:tl2br w:val="nil"/>
              <w:tr2bl w:val="nil"/>
            </w:tcBorders>
            <w:vAlign w:val="center"/>
          </w:tcPr>
          <w:p w14:paraId="05CA7B3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rPr>
                <w:rFonts w:hint="eastAsia" w:ascii="宋体" w:hAnsi="宋体" w:eastAsia="宋体" w:cs="宋体"/>
                <w:b w:val="0"/>
                <w:bCs w:val="0"/>
                <w:color w:val="auto"/>
                <w:sz w:val="21"/>
                <w:szCs w:val="21"/>
                <w:vertAlign w:val="baseline"/>
              </w:rPr>
            </w:pPr>
            <w:r>
              <w:rPr>
                <w:rFonts w:hint="eastAsia" w:ascii="宋体" w:hAnsi="宋体" w:eastAsia="宋体" w:cs="宋体"/>
                <w:color w:val="auto"/>
                <w:spacing w:val="-6"/>
                <w:sz w:val="21"/>
                <w:szCs w:val="21"/>
              </w:rPr>
              <w:t>100</w:t>
            </w:r>
          </w:p>
        </w:tc>
        <w:tc>
          <w:tcPr>
            <w:tcW w:w="768" w:type="pct"/>
            <w:tcBorders>
              <w:tl2br w:val="nil"/>
              <w:tr2bl w:val="nil"/>
            </w:tcBorders>
            <w:vAlign w:val="center"/>
          </w:tcPr>
          <w:p w14:paraId="40026A2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rPr>
                <w:rFonts w:hint="eastAsia" w:ascii="宋体" w:hAnsi="宋体" w:eastAsia="宋体" w:cs="宋体"/>
                <w:b w:val="0"/>
                <w:bCs w:val="0"/>
                <w:color w:val="auto"/>
                <w:sz w:val="21"/>
                <w:szCs w:val="21"/>
                <w:vertAlign w:val="baseline"/>
              </w:rPr>
            </w:pPr>
            <w:r>
              <w:rPr>
                <w:rFonts w:hint="eastAsia" w:ascii="宋体" w:hAnsi="宋体" w:eastAsia="宋体" w:cs="宋体"/>
                <w:color w:val="auto"/>
                <w:spacing w:val="-1"/>
                <w:sz w:val="21"/>
                <w:szCs w:val="21"/>
              </w:rPr>
              <w:t>V=S•L/3</w:t>
            </w:r>
          </w:p>
        </w:tc>
        <w:tc>
          <w:tcPr>
            <w:tcW w:w="605" w:type="pct"/>
            <w:tcBorders>
              <w:tl2br w:val="nil"/>
              <w:tr2bl w:val="nil"/>
            </w:tcBorders>
            <w:vAlign w:val="center"/>
          </w:tcPr>
          <w:p w14:paraId="44055DF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rPr>
                <w:rFonts w:hint="eastAsia" w:ascii="宋体" w:hAnsi="宋体" w:eastAsia="宋体" w:cs="宋体"/>
                <w:b w:val="0"/>
                <w:bCs w:val="0"/>
                <w:color w:val="auto"/>
                <w:sz w:val="21"/>
                <w:szCs w:val="21"/>
                <w:vertAlign w:val="baseline"/>
              </w:rPr>
            </w:pPr>
            <w:r>
              <w:rPr>
                <w:rFonts w:hint="eastAsia" w:ascii="宋体" w:hAnsi="宋体" w:eastAsia="宋体" w:cs="宋体"/>
                <w:color w:val="auto"/>
                <w:spacing w:val="-1"/>
                <w:sz w:val="21"/>
                <w:szCs w:val="21"/>
              </w:rPr>
              <w:t>70010.33</w:t>
            </w:r>
          </w:p>
        </w:tc>
        <w:tc>
          <w:tcPr>
            <w:tcW w:w="493" w:type="pct"/>
            <w:tcBorders>
              <w:tl2br w:val="nil"/>
              <w:tr2bl w:val="nil"/>
            </w:tcBorders>
            <w:vAlign w:val="center"/>
          </w:tcPr>
          <w:p w14:paraId="7E785AC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rPr>
                <w:rFonts w:hint="eastAsia" w:ascii="宋体" w:hAnsi="宋体" w:eastAsia="宋体" w:cs="宋体"/>
                <w:b w:val="0"/>
                <w:bCs w:val="0"/>
                <w:color w:val="auto"/>
                <w:sz w:val="21"/>
                <w:szCs w:val="21"/>
                <w:vertAlign w:val="baseline"/>
              </w:rPr>
            </w:pPr>
            <w:r>
              <w:rPr>
                <w:rFonts w:hint="eastAsia" w:ascii="宋体" w:hAnsi="宋体" w:eastAsia="宋体" w:cs="宋体"/>
                <w:color w:val="auto"/>
                <w:spacing w:val="-1"/>
                <w:sz w:val="21"/>
                <w:szCs w:val="21"/>
              </w:rPr>
              <w:t>2.72</w:t>
            </w:r>
          </w:p>
        </w:tc>
        <w:tc>
          <w:tcPr>
            <w:tcW w:w="441" w:type="pct"/>
            <w:tcBorders>
              <w:tl2br w:val="nil"/>
              <w:tr2bl w:val="nil"/>
            </w:tcBorders>
            <w:vAlign w:val="center"/>
          </w:tcPr>
          <w:p w14:paraId="2B5E5D8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rPr>
                <w:rFonts w:hint="eastAsia" w:ascii="宋体" w:hAnsi="宋体" w:eastAsia="宋体" w:cs="宋体"/>
                <w:b w:val="0"/>
                <w:bCs w:val="0"/>
                <w:color w:val="auto"/>
                <w:sz w:val="21"/>
                <w:szCs w:val="21"/>
                <w:vertAlign w:val="baseline"/>
              </w:rPr>
            </w:pPr>
            <w:r>
              <w:rPr>
                <w:rFonts w:hint="eastAsia" w:ascii="宋体" w:hAnsi="宋体" w:eastAsia="宋体" w:cs="宋体"/>
                <w:color w:val="auto"/>
                <w:spacing w:val="-4"/>
                <w:sz w:val="21"/>
                <w:szCs w:val="21"/>
              </w:rPr>
              <w:t>19.04</w:t>
            </w:r>
          </w:p>
        </w:tc>
      </w:tr>
      <w:tr w14:paraId="7976C0A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335" w:type="pct"/>
            <w:vMerge w:val="continue"/>
            <w:tcBorders>
              <w:tl2br w:val="nil"/>
              <w:tr2bl w:val="nil"/>
            </w:tcBorders>
            <w:vAlign w:val="center"/>
          </w:tcPr>
          <w:p w14:paraId="7C4C48D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firstLine="0" w:firstLineChars="0"/>
              <w:jc w:val="center"/>
              <w:textAlignment w:val="auto"/>
              <w:rPr>
                <w:rFonts w:hint="eastAsia" w:ascii="宋体" w:hAnsi="宋体" w:eastAsia="宋体" w:cs="宋体"/>
                <w:b w:val="0"/>
                <w:bCs w:val="0"/>
                <w:color w:val="auto"/>
                <w:sz w:val="21"/>
                <w:szCs w:val="21"/>
                <w:vertAlign w:val="baseline"/>
              </w:rPr>
            </w:pPr>
          </w:p>
        </w:tc>
        <w:tc>
          <w:tcPr>
            <w:tcW w:w="318" w:type="pct"/>
            <w:vMerge w:val="continue"/>
            <w:tcBorders>
              <w:tl2br w:val="nil"/>
              <w:tr2bl w:val="nil"/>
            </w:tcBorders>
            <w:vAlign w:val="center"/>
          </w:tcPr>
          <w:p w14:paraId="3D5B4CC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firstLine="0" w:firstLineChars="0"/>
              <w:jc w:val="center"/>
              <w:textAlignment w:val="auto"/>
              <w:rPr>
                <w:rFonts w:hint="eastAsia" w:ascii="宋体" w:hAnsi="宋体" w:eastAsia="宋体" w:cs="宋体"/>
                <w:b w:val="0"/>
                <w:bCs w:val="0"/>
                <w:color w:val="auto"/>
                <w:sz w:val="21"/>
                <w:szCs w:val="21"/>
                <w:vertAlign w:val="baseline"/>
              </w:rPr>
            </w:pPr>
          </w:p>
        </w:tc>
        <w:tc>
          <w:tcPr>
            <w:tcW w:w="295" w:type="pct"/>
            <w:vMerge w:val="continue"/>
            <w:tcBorders>
              <w:tl2br w:val="nil"/>
              <w:tr2bl w:val="nil"/>
            </w:tcBorders>
            <w:vAlign w:val="center"/>
          </w:tcPr>
          <w:p w14:paraId="6D73656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firstLine="0" w:firstLineChars="0"/>
              <w:jc w:val="center"/>
              <w:textAlignment w:val="auto"/>
              <w:rPr>
                <w:rFonts w:hint="eastAsia" w:ascii="宋体" w:hAnsi="宋体" w:eastAsia="宋体" w:cs="宋体"/>
                <w:b w:val="0"/>
                <w:bCs w:val="0"/>
                <w:color w:val="auto"/>
                <w:sz w:val="21"/>
                <w:szCs w:val="21"/>
                <w:vertAlign w:val="baseline"/>
              </w:rPr>
            </w:pPr>
          </w:p>
        </w:tc>
        <w:tc>
          <w:tcPr>
            <w:tcW w:w="330" w:type="pct"/>
            <w:tcBorders>
              <w:tl2br w:val="nil"/>
              <w:tr2bl w:val="nil"/>
            </w:tcBorders>
            <w:vAlign w:val="center"/>
          </w:tcPr>
          <w:p w14:paraId="305FE9A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rPr>
                <w:rFonts w:hint="eastAsia" w:ascii="宋体" w:hAnsi="宋体" w:eastAsia="宋体" w:cs="宋体"/>
                <w:b w:val="0"/>
                <w:bCs w:val="0"/>
                <w:color w:val="auto"/>
                <w:sz w:val="21"/>
                <w:szCs w:val="21"/>
                <w:vertAlign w:val="baseline"/>
              </w:rPr>
            </w:pPr>
            <w:r>
              <w:rPr>
                <w:rFonts w:hint="eastAsia" w:ascii="宋体" w:hAnsi="宋体" w:eastAsia="宋体" w:cs="宋体"/>
                <w:color w:val="auto"/>
                <w:spacing w:val="-2"/>
                <w:sz w:val="21"/>
                <w:szCs w:val="21"/>
              </w:rPr>
              <w:t>TD-4</w:t>
            </w:r>
          </w:p>
        </w:tc>
        <w:tc>
          <w:tcPr>
            <w:tcW w:w="542" w:type="pct"/>
            <w:tcBorders>
              <w:tl2br w:val="nil"/>
              <w:tr2bl w:val="nil"/>
            </w:tcBorders>
            <w:vAlign w:val="center"/>
          </w:tcPr>
          <w:p w14:paraId="0CD6399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rPr>
                <w:rFonts w:hint="eastAsia" w:ascii="宋体" w:hAnsi="宋体" w:eastAsia="宋体" w:cs="宋体"/>
                <w:b w:val="0"/>
                <w:bCs w:val="0"/>
                <w:color w:val="auto"/>
                <w:sz w:val="21"/>
                <w:szCs w:val="21"/>
                <w:vertAlign w:val="baseline"/>
              </w:rPr>
            </w:pPr>
            <w:r>
              <w:rPr>
                <w:rFonts w:hint="eastAsia" w:ascii="宋体" w:hAnsi="宋体" w:eastAsia="宋体" w:cs="宋体"/>
                <w:color w:val="auto"/>
                <w:spacing w:val="-1"/>
                <w:sz w:val="21"/>
                <w:szCs w:val="21"/>
              </w:rPr>
              <w:t>352.35</w:t>
            </w:r>
          </w:p>
        </w:tc>
        <w:tc>
          <w:tcPr>
            <w:tcW w:w="542" w:type="pct"/>
            <w:tcBorders>
              <w:tl2br w:val="nil"/>
              <w:tr2bl w:val="nil"/>
            </w:tcBorders>
            <w:vAlign w:val="center"/>
          </w:tcPr>
          <w:p w14:paraId="4574393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rPr>
                <w:rFonts w:hint="eastAsia" w:ascii="宋体" w:hAnsi="宋体" w:eastAsia="宋体" w:cs="宋体"/>
                <w:b w:val="0"/>
                <w:bCs w:val="0"/>
                <w:color w:val="auto"/>
                <w:sz w:val="21"/>
                <w:szCs w:val="21"/>
                <w:vertAlign w:val="baseline"/>
              </w:rPr>
            </w:pPr>
            <w:r>
              <w:rPr>
                <w:rFonts w:hint="eastAsia" w:ascii="宋体" w:hAnsi="宋体" w:eastAsia="宋体" w:cs="宋体"/>
                <w:color w:val="auto"/>
                <w:spacing w:val="-1"/>
                <w:sz w:val="21"/>
                <w:szCs w:val="21"/>
              </w:rPr>
              <w:t>2709.1</w:t>
            </w:r>
          </w:p>
        </w:tc>
        <w:tc>
          <w:tcPr>
            <w:tcW w:w="325" w:type="pct"/>
            <w:tcBorders>
              <w:tl2br w:val="nil"/>
              <w:tr2bl w:val="nil"/>
            </w:tcBorders>
            <w:vAlign w:val="center"/>
          </w:tcPr>
          <w:p w14:paraId="1360971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rPr>
                <w:rFonts w:hint="eastAsia" w:ascii="宋体" w:hAnsi="宋体" w:eastAsia="宋体" w:cs="宋体"/>
                <w:b w:val="0"/>
                <w:bCs w:val="0"/>
                <w:color w:val="auto"/>
                <w:sz w:val="21"/>
                <w:szCs w:val="21"/>
                <w:vertAlign w:val="baseline"/>
              </w:rPr>
            </w:pPr>
            <w:r>
              <w:rPr>
                <w:rFonts w:hint="eastAsia" w:ascii="宋体" w:hAnsi="宋体" w:eastAsia="宋体" w:cs="宋体"/>
                <w:color w:val="auto"/>
                <w:spacing w:val="-6"/>
                <w:sz w:val="21"/>
                <w:szCs w:val="21"/>
              </w:rPr>
              <w:t>100</w:t>
            </w:r>
          </w:p>
        </w:tc>
        <w:tc>
          <w:tcPr>
            <w:tcW w:w="768" w:type="pct"/>
            <w:tcBorders>
              <w:tl2br w:val="nil"/>
              <w:tr2bl w:val="nil"/>
            </w:tcBorders>
            <w:vAlign w:val="center"/>
          </w:tcPr>
          <w:p w14:paraId="5198053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eastAsia" w:ascii="宋体" w:hAnsi="宋体" w:eastAsia="宋体" w:cs="宋体"/>
                <w:color w:val="auto"/>
                <w:spacing w:val="-1"/>
                <w:sz w:val="21"/>
                <w:szCs w:val="21"/>
              </w:rPr>
            </w:pPr>
            <w:r>
              <w:rPr>
                <w:rFonts w:hint="eastAsia" w:ascii="宋体" w:hAnsi="宋体" w:eastAsia="宋体" w:cs="宋体"/>
                <w:color w:val="auto"/>
                <w:spacing w:val="-1"/>
                <w:sz w:val="21"/>
                <w:szCs w:val="21"/>
              </w:rPr>
              <w:t>V=(S1+S2+</w:t>
            </w:r>
          </w:p>
          <w:p w14:paraId="48745CF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rPr>
                <w:rFonts w:hint="eastAsia" w:ascii="宋体" w:hAnsi="宋体" w:eastAsia="宋体" w:cs="宋体"/>
                <w:b w:val="0"/>
                <w:bCs w:val="0"/>
                <w:color w:val="auto"/>
                <w:sz w:val="21"/>
                <w:szCs w:val="21"/>
                <w:vertAlign w:val="baseline"/>
              </w:rPr>
            </w:pPr>
            <w:r>
              <w:rPr>
                <w:rFonts w:hint="eastAsia" w:ascii="宋体" w:hAnsi="宋体" w:eastAsia="宋体" w:cs="宋体"/>
                <w:color w:val="auto"/>
                <w:spacing w:val="-1"/>
                <w:sz w:val="21"/>
                <w:szCs w:val="21"/>
              </w:rPr>
              <w:t>√(S1*S2))•L/3</w:t>
            </w:r>
          </w:p>
        </w:tc>
        <w:tc>
          <w:tcPr>
            <w:tcW w:w="605" w:type="pct"/>
            <w:tcBorders>
              <w:tl2br w:val="nil"/>
              <w:tr2bl w:val="nil"/>
            </w:tcBorders>
            <w:vAlign w:val="center"/>
          </w:tcPr>
          <w:p w14:paraId="04DFC1F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rPr>
                <w:rFonts w:hint="eastAsia" w:ascii="宋体" w:hAnsi="宋体" w:eastAsia="宋体" w:cs="宋体"/>
                <w:b w:val="0"/>
                <w:bCs w:val="0"/>
                <w:color w:val="auto"/>
                <w:sz w:val="21"/>
                <w:szCs w:val="21"/>
                <w:vertAlign w:val="baseline"/>
              </w:rPr>
            </w:pPr>
            <w:r>
              <w:rPr>
                <w:rFonts w:hint="eastAsia" w:ascii="宋体" w:hAnsi="宋体" w:eastAsia="宋体" w:cs="宋体"/>
                <w:color w:val="auto"/>
                <w:spacing w:val="-3"/>
                <w:sz w:val="21"/>
                <w:szCs w:val="21"/>
              </w:rPr>
              <w:t>134615.38</w:t>
            </w:r>
          </w:p>
        </w:tc>
        <w:tc>
          <w:tcPr>
            <w:tcW w:w="493" w:type="pct"/>
            <w:tcBorders>
              <w:tl2br w:val="nil"/>
              <w:tr2bl w:val="nil"/>
            </w:tcBorders>
            <w:vAlign w:val="center"/>
          </w:tcPr>
          <w:p w14:paraId="5251AEC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rPr>
                <w:rFonts w:hint="eastAsia" w:ascii="宋体" w:hAnsi="宋体" w:eastAsia="宋体" w:cs="宋体"/>
                <w:b w:val="0"/>
                <w:bCs w:val="0"/>
                <w:color w:val="auto"/>
                <w:sz w:val="21"/>
                <w:szCs w:val="21"/>
                <w:vertAlign w:val="baseline"/>
              </w:rPr>
            </w:pPr>
            <w:r>
              <w:rPr>
                <w:rFonts w:hint="eastAsia" w:ascii="宋体" w:hAnsi="宋体" w:eastAsia="宋体" w:cs="宋体"/>
                <w:color w:val="auto"/>
                <w:spacing w:val="-1"/>
                <w:sz w:val="21"/>
                <w:szCs w:val="21"/>
              </w:rPr>
              <w:t>2.72</w:t>
            </w:r>
          </w:p>
        </w:tc>
        <w:tc>
          <w:tcPr>
            <w:tcW w:w="441" w:type="pct"/>
            <w:tcBorders>
              <w:tl2br w:val="nil"/>
              <w:tr2bl w:val="nil"/>
            </w:tcBorders>
            <w:vAlign w:val="center"/>
          </w:tcPr>
          <w:p w14:paraId="1682B19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rPr>
                <w:rFonts w:hint="eastAsia" w:ascii="宋体" w:hAnsi="宋体" w:eastAsia="宋体" w:cs="宋体"/>
                <w:b w:val="0"/>
                <w:bCs w:val="0"/>
                <w:color w:val="auto"/>
                <w:sz w:val="21"/>
                <w:szCs w:val="21"/>
                <w:vertAlign w:val="baseline"/>
              </w:rPr>
            </w:pPr>
            <w:r>
              <w:rPr>
                <w:rFonts w:hint="eastAsia" w:ascii="宋体" w:hAnsi="宋体" w:eastAsia="宋体" w:cs="宋体"/>
                <w:color w:val="auto"/>
                <w:spacing w:val="-1"/>
                <w:sz w:val="21"/>
                <w:szCs w:val="21"/>
              </w:rPr>
              <w:t>36.62</w:t>
            </w:r>
          </w:p>
        </w:tc>
      </w:tr>
      <w:tr w14:paraId="5AAE4D3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335" w:type="pct"/>
            <w:vMerge w:val="continue"/>
            <w:tcBorders>
              <w:tl2br w:val="nil"/>
              <w:tr2bl w:val="nil"/>
            </w:tcBorders>
            <w:vAlign w:val="center"/>
          </w:tcPr>
          <w:p w14:paraId="705B17F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firstLine="0" w:firstLineChars="0"/>
              <w:jc w:val="center"/>
              <w:textAlignment w:val="auto"/>
              <w:rPr>
                <w:rFonts w:hint="eastAsia" w:ascii="宋体" w:hAnsi="宋体" w:eastAsia="宋体" w:cs="宋体"/>
                <w:b w:val="0"/>
                <w:bCs w:val="0"/>
                <w:color w:val="auto"/>
                <w:sz w:val="21"/>
                <w:szCs w:val="21"/>
                <w:vertAlign w:val="baseline"/>
              </w:rPr>
            </w:pPr>
          </w:p>
        </w:tc>
        <w:tc>
          <w:tcPr>
            <w:tcW w:w="318" w:type="pct"/>
            <w:tcBorders>
              <w:tl2br w:val="nil"/>
              <w:tr2bl w:val="nil"/>
            </w:tcBorders>
            <w:vAlign w:val="center"/>
          </w:tcPr>
          <w:p w14:paraId="135E3D5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firstLine="0" w:firstLineChars="0"/>
              <w:jc w:val="center"/>
              <w:textAlignment w:val="auto"/>
              <w:rPr>
                <w:rFonts w:hint="eastAsia" w:ascii="宋体" w:hAnsi="宋体" w:eastAsia="宋体" w:cs="宋体"/>
                <w:b w:val="0"/>
                <w:bCs w:val="0"/>
                <w:color w:val="auto"/>
                <w:sz w:val="21"/>
                <w:szCs w:val="21"/>
                <w:vertAlign w:val="baseline"/>
              </w:rPr>
            </w:pPr>
            <w:r>
              <w:rPr>
                <w:rFonts w:hint="eastAsia" w:ascii="宋体" w:hAnsi="宋体" w:eastAsia="宋体" w:cs="宋体"/>
                <w:b w:val="0"/>
                <w:bCs w:val="0"/>
                <w:color w:val="auto"/>
                <w:sz w:val="21"/>
                <w:szCs w:val="21"/>
                <w:vertAlign w:val="baseline"/>
                <w:lang w:val="en-US" w:eastAsia="zh-CN"/>
              </w:rPr>
              <w:t>推断</w:t>
            </w:r>
          </w:p>
        </w:tc>
        <w:tc>
          <w:tcPr>
            <w:tcW w:w="295" w:type="pct"/>
            <w:tcBorders>
              <w:tl2br w:val="nil"/>
              <w:tr2bl w:val="nil"/>
            </w:tcBorders>
            <w:vAlign w:val="center"/>
          </w:tcPr>
          <w:p w14:paraId="79684CF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firstLine="0" w:firstLineChars="0"/>
              <w:jc w:val="center"/>
              <w:textAlignment w:val="auto"/>
              <w:rPr>
                <w:rFonts w:hint="eastAsia" w:ascii="宋体" w:hAnsi="宋体" w:eastAsia="宋体" w:cs="宋体"/>
                <w:b w:val="0"/>
                <w:bCs w:val="0"/>
                <w:color w:val="auto"/>
                <w:sz w:val="21"/>
                <w:szCs w:val="21"/>
                <w:vertAlign w:val="baseline"/>
              </w:rPr>
            </w:pPr>
            <w:r>
              <w:rPr>
                <w:rFonts w:hint="eastAsia" w:ascii="宋体" w:hAnsi="宋体" w:eastAsia="宋体" w:cs="宋体"/>
                <w:color w:val="auto"/>
                <w:spacing w:val="-1"/>
                <w:sz w:val="21"/>
                <w:szCs w:val="21"/>
              </w:rPr>
              <w:t>0-1线</w:t>
            </w:r>
          </w:p>
        </w:tc>
        <w:tc>
          <w:tcPr>
            <w:tcW w:w="330" w:type="pct"/>
            <w:tcBorders>
              <w:tl2br w:val="nil"/>
              <w:tr2bl w:val="nil"/>
            </w:tcBorders>
            <w:vAlign w:val="center"/>
          </w:tcPr>
          <w:p w14:paraId="258E752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rPr>
                <w:rFonts w:hint="eastAsia" w:ascii="宋体" w:hAnsi="宋体" w:eastAsia="宋体" w:cs="宋体"/>
                <w:b w:val="0"/>
                <w:bCs w:val="0"/>
                <w:color w:val="auto"/>
                <w:sz w:val="21"/>
                <w:szCs w:val="21"/>
                <w:vertAlign w:val="baseline"/>
              </w:rPr>
            </w:pPr>
            <w:r>
              <w:rPr>
                <w:rFonts w:hint="eastAsia" w:ascii="宋体" w:hAnsi="宋体" w:eastAsia="宋体" w:cs="宋体"/>
                <w:color w:val="auto"/>
                <w:spacing w:val="-2"/>
                <w:sz w:val="21"/>
                <w:szCs w:val="21"/>
              </w:rPr>
              <w:t>TD-5</w:t>
            </w:r>
          </w:p>
        </w:tc>
        <w:tc>
          <w:tcPr>
            <w:tcW w:w="542" w:type="pct"/>
            <w:tcBorders>
              <w:tl2br w:val="nil"/>
              <w:tr2bl w:val="nil"/>
            </w:tcBorders>
            <w:vAlign w:val="center"/>
          </w:tcPr>
          <w:p w14:paraId="668DA19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rPr>
                <w:rFonts w:hint="eastAsia" w:ascii="宋体" w:hAnsi="宋体" w:eastAsia="宋体" w:cs="宋体"/>
                <w:b w:val="0"/>
                <w:bCs w:val="0"/>
                <w:color w:val="auto"/>
                <w:sz w:val="21"/>
                <w:szCs w:val="21"/>
                <w:vertAlign w:val="baseline"/>
              </w:rPr>
            </w:pPr>
            <w:r>
              <w:rPr>
                <w:rFonts w:hint="eastAsia" w:ascii="宋体" w:hAnsi="宋体" w:eastAsia="宋体" w:cs="宋体"/>
                <w:color w:val="auto"/>
                <w:spacing w:val="-3"/>
                <w:sz w:val="21"/>
                <w:szCs w:val="21"/>
              </w:rPr>
              <w:t>13961.52</w:t>
            </w:r>
          </w:p>
        </w:tc>
        <w:tc>
          <w:tcPr>
            <w:tcW w:w="542" w:type="pct"/>
            <w:tcBorders>
              <w:tl2br w:val="nil"/>
              <w:tr2bl w:val="nil"/>
            </w:tcBorders>
            <w:vAlign w:val="center"/>
          </w:tcPr>
          <w:p w14:paraId="754301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rPr>
                <w:rFonts w:hint="eastAsia" w:ascii="宋体" w:hAnsi="宋体" w:eastAsia="宋体" w:cs="宋体"/>
                <w:b w:val="0"/>
                <w:bCs w:val="0"/>
                <w:color w:val="auto"/>
                <w:sz w:val="21"/>
                <w:szCs w:val="21"/>
                <w:vertAlign w:val="baseline"/>
              </w:rPr>
            </w:pPr>
            <w:r>
              <w:rPr>
                <w:rFonts w:hint="eastAsia" w:ascii="宋体" w:hAnsi="宋体" w:eastAsia="宋体" w:cs="宋体"/>
                <w:color w:val="auto"/>
                <w:spacing w:val="-1"/>
                <w:sz w:val="21"/>
                <w:szCs w:val="21"/>
              </w:rPr>
              <w:t>3490.38</w:t>
            </w:r>
          </w:p>
        </w:tc>
        <w:tc>
          <w:tcPr>
            <w:tcW w:w="325" w:type="pct"/>
            <w:tcBorders>
              <w:tl2br w:val="nil"/>
              <w:tr2bl w:val="nil"/>
            </w:tcBorders>
            <w:vAlign w:val="center"/>
          </w:tcPr>
          <w:p w14:paraId="59F5332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rPr>
                <w:rFonts w:hint="eastAsia" w:ascii="宋体" w:hAnsi="宋体" w:eastAsia="宋体" w:cs="宋体"/>
                <w:b w:val="0"/>
                <w:bCs w:val="0"/>
                <w:color w:val="auto"/>
                <w:sz w:val="21"/>
                <w:szCs w:val="21"/>
                <w:vertAlign w:val="baseline"/>
              </w:rPr>
            </w:pPr>
            <w:r>
              <w:rPr>
                <w:rFonts w:hint="eastAsia" w:ascii="宋体" w:hAnsi="宋体" w:eastAsia="宋体" w:cs="宋体"/>
                <w:color w:val="auto"/>
                <w:spacing w:val="-2"/>
                <w:sz w:val="21"/>
                <w:szCs w:val="21"/>
              </w:rPr>
              <w:t>50</w:t>
            </w:r>
          </w:p>
        </w:tc>
        <w:tc>
          <w:tcPr>
            <w:tcW w:w="768" w:type="pct"/>
            <w:tcBorders>
              <w:tl2br w:val="nil"/>
              <w:tr2bl w:val="nil"/>
            </w:tcBorders>
            <w:vAlign w:val="center"/>
          </w:tcPr>
          <w:p w14:paraId="4EC6AA3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eastAsia" w:ascii="宋体" w:hAnsi="宋体" w:eastAsia="宋体" w:cs="宋体"/>
                <w:color w:val="auto"/>
                <w:spacing w:val="-1"/>
                <w:sz w:val="21"/>
                <w:szCs w:val="21"/>
              </w:rPr>
            </w:pPr>
            <w:r>
              <w:rPr>
                <w:rFonts w:hint="eastAsia" w:ascii="宋体" w:hAnsi="宋体" w:eastAsia="宋体" w:cs="宋体"/>
                <w:color w:val="auto"/>
                <w:spacing w:val="-1"/>
                <w:sz w:val="21"/>
                <w:szCs w:val="21"/>
              </w:rPr>
              <w:t>V=(S1+S2+</w:t>
            </w:r>
          </w:p>
          <w:p w14:paraId="1455B6F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rPr>
                <w:rFonts w:hint="eastAsia" w:ascii="宋体" w:hAnsi="宋体" w:eastAsia="宋体" w:cs="宋体"/>
                <w:b w:val="0"/>
                <w:bCs w:val="0"/>
                <w:color w:val="auto"/>
                <w:sz w:val="21"/>
                <w:szCs w:val="21"/>
                <w:vertAlign w:val="baseline"/>
              </w:rPr>
            </w:pPr>
            <w:r>
              <w:rPr>
                <w:rFonts w:hint="eastAsia" w:ascii="宋体" w:hAnsi="宋体" w:eastAsia="宋体" w:cs="宋体"/>
                <w:color w:val="auto"/>
                <w:spacing w:val="-1"/>
                <w:sz w:val="21"/>
                <w:szCs w:val="21"/>
              </w:rPr>
              <w:t>√(S1*S2))•L/3</w:t>
            </w:r>
          </w:p>
        </w:tc>
        <w:tc>
          <w:tcPr>
            <w:tcW w:w="605" w:type="pct"/>
            <w:tcBorders>
              <w:tl2br w:val="nil"/>
              <w:tr2bl w:val="nil"/>
            </w:tcBorders>
            <w:vAlign w:val="center"/>
          </w:tcPr>
          <w:p w14:paraId="7ED25DF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rPr>
                <w:rFonts w:hint="eastAsia" w:ascii="宋体" w:hAnsi="宋体" w:eastAsia="宋体" w:cs="宋体"/>
                <w:b w:val="0"/>
                <w:bCs w:val="0"/>
                <w:color w:val="auto"/>
                <w:sz w:val="21"/>
                <w:szCs w:val="21"/>
                <w:vertAlign w:val="baseline"/>
              </w:rPr>
            </w:pPr>
            <w:r>
              <w:rPr>
                <w:rFonts w:hint="eastAsia" w:ascii="宋体" w:hAnsi="宋体" w:eastAsia="宋体" w:cs="宋体"/>
                <w:color w:val="auto"/>
                <w:spacing w:val="-1"/>
                <w:sz w:val="21"/>
                <w:szCs w:val="21"/>
              </w:rPr>
              <w:t>407211.00</w:t>
            </w:r>
          </w:p>
        </w:tc>
        <w:tc>
          <w:tcPr>
            <w:tcW w:w="493" w:type="pct"/>
            <w:tcBorders>
              <w:tl2br w:val="nil"/>
              <w:tr2bl w:val="nil"/>
            </w:tcBorders>
            <w:vAlign w:val="center"/>
          </w:tcPr>
          <w:p w14:paraId="268A20A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rPr>
                <w:rFonts w:hint="eastAsia" w:ascii="宋体" w:hAnsi="宋体" w:eastAsia="宋体" w:cs="宋体"/>
                <w:b w:val="0"/>
                <w:bCs w:val="0"/>
                <w:color w:val="auto"/>
                <w:sz w:val="21"/>
                <w:szCs w:val="21"/>
                <w:vertAlign w:val="baseline"/>
              </w:rPr>
            </w:pPr>
            <w:r>
              <w:rPr>
                <w:rFonts w:hint="eastAsia" w:ascii="宋体" w:hAnsi="宋体" w:eastAsia="宋体" w:cs="宋体"/>
                <w:color w:val="auto"/>
                <w:spacing w:val="-1"/>
                <w:sz w:val="21"/>
                <w:szCs w:val="21"/>
              </w:rPr>
              <w:t>2.72</w:t>
            </w:r>
          </w:p>
        </w:tc>
        <w:tc>
          <w:tcPr>
            <w:tcW w:w="441" w:type="pct"/>
            <w:tcBorders>
              <w:tl2br w:val="nil"/>
              <w:tr2bl w:val="nil"/>
            </w:tcBorders>
            <w:vAlign w:val="center"/>
          </w:tcPr>
          <w:p w14:paraId="6016C48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rPr>
                <w:rFonts w:hint="eastAsia" w:ascii="宋体" w:hAnsi="宋体" w:eastAsia="宋体" w:cs="宋体"/>
                <w:b w:val="0"/>
                <w:bCs w:val="0"/>
                <w:color w:val="auto"/>
                <w:sz w:val="21"/>
                <w:szCs w:val="21"/>
                <w:vertAlign w:val="baseline"/>
              </w:rPr>
            </w:pPr>
            <w:r>
              <w:rPr>
                <w:rFonts w:hint="eastAsia" w:ascii="宋体" w:hAnsi="宋体" w:eastAsia="宋体" w:cs="宋体"/>
                <w:color w:val="auto"/>
                <w:spacing w:val="-4"/>
                <w:sz w:val="21"/>
                <w:szCs w:val="21"/>
              </w:rPr>
              <w:t>110.76</w:t>
            </w:r>
          </w:p>
        </w:tc>
      </w:tr>
      <w:tr w14:paraId="1B59597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335" w:type="pct"/>
            <w:tcBorders>
              <w:tl2br w:val="nil"/>
              <w:tr2bl w:val="nil"/>
            </w:tcBorders>
            <w:vAlign w:val="center"/>
          </w:tcPr>
          <w:p w14:paraId="53AD221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firstLine="0" w:firstLineChars="0"/>
              <w:jc w:val="center"/>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合计</w:t>
            </w:r>
          </w:p>
        </w:tc>
        <w:tc>
          <w:tcPr>
            <w:tcW w:w="4222" w:type="pct"/>
            <w:gridSpan w:val="9"/>
            <w:tcBorders>
              <w:tl2br w:val="nil"/>
              <w:tr2bl w:val="nil"/>
            </w:tcBorders>
            <w:vAlign w:val="center"/>
          </w:tcPr>
          <w:p w14:paraId="1F69A0F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firstLine="0" w:firstLineChars="0"/>
              <w:jc w:val="center"/>
              <w:textAlignment w:val="auto"/>
              <w:rPr>
                <w:rFonts w:hint="eastAsia" w:ascii="宋体" w:hAnsi="宋体" w:eastAsia="宋体" w:cs="宋体"/>
                <w:b w:val="0"/>
                <w:bCs w:val="0"/>
                <w:color w:val="auto"/>
                <w:sz w:val="21"/>
                <w:szCs w:val="21"/>
                <w:vertAlign w:val="baseline"/>
              </w:rPr>
            </w:pPr>
          </w:p>
        </w:tc>
        <w:tc>
          <w:tcPr>
            <w:tcW w:w="441" w:type="pct"/>
            <w:tcBorders>
              <w:tl2br w:val="nil"/>
              <w:tr2bl w:val="nil"/>
            </w:tcBorders>
            <w:vAlign w:val="center"/>
          </w:tcPr>
          <w:p w14:paraId="6935E73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firstLine="0" w:firstLineChars="0"/>
              <w:jc w:val="center"/>
              <w:textAlignment w:val="auto"/>
              <w:rPr>
                <w:rFonts w:hint="eastAsia" w:ascii="宋体" w:hAnsi="宋体" w:eastAsia="宋体" w:cs="宋体"/>
                <w:b w:val="0"/>
                <w:bCs w:val="0"/>
                <w:color w:val="auto"/>
                <w:sz w:val="21"/>
                <w:szCs w:val="21"/>
                <w:vertAlign w:val="baseline"/>
              </w:rPr>
            </w:pPr>
            <w:r>
              <w:rPr>
                <w:rFonts w:hint="eastAsia" w:ascii="宋体" w:hAnsi="宋体" w:eastAsia="宋体" w:cs="宋体"/>
                <w:color w:val="auto"/>
                <w:spacing w:val="-2"/>
                <w:sz w:val="21"/>
                <w:szCs w:val="21"/>
              </w:rPr>
              <w:t>552.93</w:t>
            </w:r>
          </w:p>
        </w:tc>
      </w:tr>
    </w:tbl>
    <w:p w14:paraId="58CA48CF">
      <w:pPr>
        <w:keepNext w:val="0"/>
        <w:keepLines w:val="0"/>
        <w:pageBreakBefore w:val="0"/>
        <w:widowControl w:val="0"/>
        <w:kinsoku/>
        <w:wordWrap/>
        <w:overflowPunct/>
        <w:topLinePunct w:val="0"/>
        <w:autoSpaceDE/>
        <w:autoSpaceDN/>
        <w:bidi w:val="0"/>
        <w:adjustRightInd w:val="0"/>
        <w:snapToGrid w:val="0"/>
        <w:spacing w:line="520" w:lineRule="exact"/>
        <w:ind w:firstLine="0" w:firstLineChars="0"/>
        <w:jc w:val="center"/>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rPr>
        <w:t>表2.4-</w:t>
      </w:r>
      <w:r>
        <w:rPr>
          <w:rFonts w:hint="eastAsia" w:cs="宋体"/>
          <w:b/>
          <w:bCs/>
          <w:color w:val="auto"/>
          <w:sz w:val="28"/>
          <w:szCs w:val="28"/>
          <w:lang w:val="en-US" w:eastAsia="zh-CN"/>
        </w:rPr>
        <w:t>2</w:t>
      </w:r>
      <w:r>
        <w:rPr>
          <w:rFonts w:hint="eastAsia" w:ascii="宋体" w:hAnsi="宋体" w:eastAsia="宋体" w:cs="宋体"/>
          <w:b/>
          <w:bCs/>
          <w:color w:val="auto"/>
          <w:sz w:val="28"/>
          <w:szCs w:val="28"/>
        </w:rPr>
        <w:t xml:space="preserve"> 李家庄方解石矿资源量估算统计表</w:t>
      </w:r>
    </w:p>
    <w:tbl>
      <w:tblPr>
        <w:tblStyle w:val="25"/>
        <w:tblW w:w="5000"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1901"/>
        <w:gridCol w:w="1903"/>
        <w:gridCol w:w="1903"/>
        <w:gridCol w:w="1903"/>
        <w:gridCol w:w="1904"/>
      </w:tblGrid>
      <w:tr w14:paraId="4CFF908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999" w:type="pct"/>
            <w:tcBorders>
              <w:tl2br w:val="nil"/>
              <w:tr2bl w:val="nil"/>
            </w:tcBorders>
            <w:vAlign w:val="center"/>
          </w:tcPr>
          <w:p w14:paraId="673049F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firstLine="0" w:firstLineChars="0"/>
              <w:jc w:val="center"/>
              <w:textAlignment w:val="auto"/>
              <w:rPr>
                <w:rFonts w:hint="default" w:ascii="宋体" w:hAnsi="宋体" w:eastAsia="宋体" w:cs="宋体"/>
                <w:b/>
                <w:bCs/>
                <w:color w:val="auto"/>
                <w:sz w:val="21"/>
                <w:szCs w:val="21"/>
                <w:vertAlign w:val="baseline"/>
                <w:lang w:val="en-US" w:eastAsia="zh-CN"/>
              </w:rPr>
            </w:pPr>
            <w:r>
              <w:rPr>
                <w:rFonts w:hint="eastAsia" w:cs="宋体"/>
                <w:b/>
                <w:bCs/>
                <w:color w:val="auto"/>
                <w:sz w:val="21"/>
                <w:szCs w:val="21"/>
                <w:vertAlign w:val="baseline"/>
                <w:lang w:val="en-US" w:eastAsia="zh-CN"/>
              </w:rPr>
              <w:t>矿体编号</w:t>
            </w:r>
          </w:p>
        </w:tc>
        <w:tc>
          <w:tcPr>
            <w:tcW w:w="1000" w:type="pct"/>
            <w:tcBorders>
              <w:tl2br w:val="nil"/>
              <w:tr2bl w:val="nil"/>
            </w:tcBorders>
            <w:vAlign w:val="center"/>
          </w:tcPr>
          <w:p w14:paraId="552E550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firstLine="0" w:firstLineChars="0"/>
              <w:jc w:val="center"/>
              <w:textAlignment w:val="auto"/>
              <w:rPr>
                <w:rFonts w:hint="default" w:ascii="宋体" w:hAnsi="宋体" w:eastAsia="宋体" w:cs="宋体"/>
                <w:b/>
                <w:bCs/>
                <w:color w:val="auto"/>
                <w:sz w:val="21"/>
                <w:szCs w:val="21"/>
                <w:vertAlign w:val="baseline"/>
                <w:lang w:val="en-US" w:eastAsia="zh-CN"/>
              </w:rPr>
            </w:pPr>
            <w:r>
              <w:rPr>
                <w:rFonts w:hint="eastAsia" w:cs="宋体"/>
                <w:b/>
                <w:bCs/>
                <w:color w:val="auto"/>
                <w:sz w:val="21"/>
                <w:szCs w:val="21"/>
                <w:vertAlign w:val="baseline"/>
                <w:lang w:val="en-US" w:eastAsia="zh-CN"/>
              </w:rPr>
              <w:t>资源量类别</w:t>
            </w:r>
          </w:p>
        </w:tc>
        <w:tc>
          <w:tcPr>
            <w:tcW w:w="1000" w:type="pct"/>
            <w:tcBorders>
              <w:tl2br w:val="nil"/>
              <w:tr2bl w:val="nil"/>
            </w:tcBorders>
            <w:vAlign w:val="center"/>
          </w:tcPr>
          <w:p w14:paraId="4D2B9F9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firstLine="0" w:firstLineChars="0"/>
              <w:jc w:val="center"/>
              <w:textAlignment w:val="auto"/>
              <w:rPr>
                <w:rFonts w:hint="eastAsia" w:ascii="宋体" w:hAnsi="宋体" w:eastAsia="宋体" w:cs="宋体"/>
                <w:b/>
                <w:bCs/>
                <w:color w:val="auto"/>
                <w:sz w:val="21"/>
                <w:szCs w:val="21"/>
                <w:vertAlign w:val="baseline"/>
                <w:lang w:val="en-US" w:eastAsia="zh-CN"/>
              </w:rPr>
            </w:pPr>
            <w:r>
              <w:rPr>
                <w:rFonts w:hint="eastAsia" w:cs="宋体"/>
                <w:b/>
                <w:bCs/>
                <w:color w:val="auto"/>
                <w:sz w:val="21"/>
                <w:szCs w:val="21"/>
                <w:vertAlign w:val="baseline"/>
                <w:lang w:val="en-US" w:eastAsia="zh-CN"/>
              </w:rPr>
              <w:t>矿石量</w:t>
            </w:r>
          </w:p>
        </w:tc>
        <w:tc>
          <w:tcPr>
            <w:tcW w:w="1000" w:type="pct"/>
            <w:tcBorders>
              <w:tl2br w:val="nil"/>
              <w:tr2bl w:val="nil"/>
            </w:tcBorders>
            <w:vAlign w:val="center"/>
          </w:tcPr>
          <w:p w14:paraId="229D77E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firstLine="0" w:firstLineChars="0"/>
              <w:jc w:val="center"/>
              <w:textAlignment w:val="auto"/>
              <w:rPr>
                <w:rFonts w:hint="default" w:ascii="宋体" w:hAnsi="宋体" w:eastAsia="宋体" w:cs="宋体"/>
                <w:b/>
                <w:bCs/>
                <w:color w:val="auto"/>
                <w:sz w:val="21"/>
                <w:szCs w:val="21"/>
                <w:vertAlign w:val="baseline"/>
                <w:lang w:val="en-US" w:eastAsia="zh-CN"/>
              </w:rPr>
            </w:pPr>
            <w:r>
              <w:rPr>
                <w:rFonts w:hint="eastAsia" w:cs="宋体"/>
                <w:b/>
                <w:bCs/>
                <w:color w:val="auto"/>
                <w:sz w:val="21"/>
                <w:szCs w:val="21"/>
                <w:vertAlign w:val="baseline"/>
                <w:lang w:val="en-US" w:eastAsia="zh-CN"/>
              </w:rPr>
              <w:t>所占比例()</w:t>
            </w:r>
          </w:p>
        </w:tc>
        <w:tc>
          <w:tcPr>
            <w:tcW w:w="1000" w:type="pct"/>
            <w:tcBorders>
              <w:tl2br w:val="nil"/>
              <w:tr2bl w:val="nil"/>
            </w:tcBorders>
            <w:vAlign w:val="center"/>
          </w:tcPr>
          <w:p w14:paraId="757928C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firstLine="0" w:firstLineChars="0"/>
              <w:jc w:val="center"/>
              <w:textAlignment w:val="auto"/>
              <w:rPr>
                <w:rFonts w:hint="eastAsia" w:ascii="宋体" w:hAnsi="宋体" w:eastAsia="宋体" w:cs="宋体"/>
                <w:b/>
                <w:bCs/>
                <w:color w:val="auto"/>
                <w:sz w:val="21"/>
                <w:szCs w:val="21"/>
                <w:vertAlign w:val="baseline"/>
                <w:lang w:val="en-US" w:eastAsia="zh-CN"/>
              </w:rPr>
            </w:pPr>
            <w:r>
              <w:rPr>
                <w:rFonts w:hint="eastAsia" w:cs="宋体"/>
                <w:b/>
                <w:bCs/>
                <w:color w:val="auto"/>
                <w:sz w:val="21"/>
                <w:szCs w:val="21"/>
                <w:vertAlign w:val="baseline"/>
                <w:lang w:val="en-US" w:eastAsia="zh-CN"/>
              </w:rPr>
              <w:t>备注</w:t>
            </w:r>
          </w:p>
        </w:tc>
      </w:tr>
      <w:tr w14:paraId="0BB85FD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999" w:type="pct"/>
            <w:vMerge w:val="restart"/>
            <w:tcBorders>
              <w:tl2br w:val="nil"/>
              <w:tr2bl w:val="nil"/>
            </w:tcBorders>
            <w:vAlign w:val="center"/>
          </w:tcPr>
          <w:p w14:paraId="3967F83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firstLine="0" w:firstLineChars="0"/>
              <w:jc w:val="center"/>
              <w:textAlignment w:val="auto"/>
              <w:rPr>
                <w:rFonts w:hint="default" w:ascii="宋体" w:hAnsi="宋体" w:eastAsia="宋体" w:cs="宋体"/>
                <w:b w:val="0"/>
                <w:bCs w:val="0"/>
                <w:color w:val="auto"/>
                <w:sz w:val="21"/>
                <w:szCs w:val="21"/>
                <w:vertAlign w:val="baseline"/>
                <w:lang w:val="en-US" w:eastAsia="zh-CN"/>
              </w:rPr>
            </w:pPr>
            <w:r>
              <w:rPr>
                <w:rFonts w:hint="eastAsia" w:cs="宋体"/>
                <w:b w:val="0"/>
                <w:bCs w:val="0"/>
                <w:color w:val="auto"/>
                <w:sz w:val="21"/>
                <w:szCs w:val="21"/>
                <w:vertAlign w:val="baseline"/>
                <w:lang w:val="en-US" w:eastAsia="zh-CN"/>
              </w:rPr>
              <w:t>K1</w:t>
            </w:r>
          </w:p>
        </w:tc>
        <w:tc>
          <w:tcPr>
            <w:tcW w:w="1000" w:type="pct"/>
            <w:tcBorders>
              <w:tl2br w:val="nil"/>
              <w:tr2bl w:val="nil"/>
            </w:tcBorders>
            <w:vAlign w:val="center"/>
          </w:tcPr>
          <w:p w14:paraId="074B0B3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firstLine="0" w:firstLineChars="0"/>
              <w:jc w:val="center"/>
              <w:textAlignment w:val="auto"/>
              <w:rPr>
                <w:rFonts w:hint="eastAsia" w:ascii="宋体" w:hAnsi="宋体" w:eastAsia="宋体" w:cs="宋体"/>
                <w:b w:val="0"/>
                <w:bCs w:val="0"/>
                <w:color w:val="auto"/>
                <w:sz w:val="21"/>
                <w:szCs w:val="21"/>
                <w:vertAlign w:val="baseline"/>
                <w:lang w:val="en-US" w:eastAsia="zh-CN"/>
              </w:rPr>
            </w:pPr>
            <w:r>
              <w:rPr>
                <w:rFonts w:hint="eastAsia" w:cs="宋体"/>
                <w:b w:val="0"/>
                <w:bCs w:val="0"/>
                <w:color w:val="auto"/>
                <w:sz w:val="21"/>
                <w:szCs w:val="21"/>
                <w:vertAlign w:val="baseline"/>
                <w:lang w:val="en-US" w:eastAsia="zh-CN"/>
              </w:rPr>
              <w:t>控制</w:t>
            </w:r>
          </w:p>
        </w:tc>
        <w:tc>
          <w:tcPr>
            <w:tcW w:w="1000" w:type="pct"/>
            <w:tcBorders>
              <w:tl2br w:val="nil"/>
              <w:tr2bl w:val="nil"/>
            </w:tcBorders>
            <w:vAlign w:val="center"/>
          </w:tcPr>
          <w:p w14:paraId="0CCFA54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firstLine="0" w:firstLineChars="0"/>
              <w:jc w:val="center"/>
              <w:textAlignment w:val="auto"/>
              <w:rPr>
                <w:rFonts w:hint="default" w:ascii="宋体" w:hAnsi="宋体" w:eastAsia="宋体" w:cs="宋体"/>
                <w:b w:val="0"/>
                <w:bCs w:val="0"/>
                <w:color w:val="auto"/>
                <w:sz w:val="21"/>
                <w:szCs w:val="21"/>
                <w:vertAlign w:val="baseline"/>
                <w:lang w:val="en-US" w:eastAsia="zh-CN"/>
              </w:rPr>
            </w:pPr>
            <w:r>
              <w:rPr>
                <w:rFonts w:hint="eastAsia" w:cs="宋体"/>
                <w:b w:val="0"/>
                <w:bCs w:val="0"/>
                <w:color w:val="auto"/>
                <w:sz w:val="21"/>
                <w:szCs w:val="21"/>
                <w:vertAlign w:val="baseline"/>
                <w:lang w:val="en-US" w:eastAsia="zh-CN"/>
              </w:rPr>
              <w:t>364.28</w:t>
            </w:r>
          </w:p>
        </w:tc>
        <w:tc>
          <w:tcPr>
            <w:tcW w:w="1000" w:type="pct"/>
            <w:tcBorders>
              <w:tl2br w:val="nil"/>
              <w:tr2bl w:val="nil"/>
            </w:tcBorders>
            <w:vAlign w:val="center"/>
          </w:tcPr>
          <w:p w14:paraId="24FEC9C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firstLine="0" w:firstLineChars="0"/>
              <w:jc w:val="center"/>
              <w:textAlignment w:val="auto"/>
              <w:rPr>
                <w:rFonts w:hint="default" w:ascii="宋体" w:hAnsi="宋体" w:eastAsia="宋体" w:cs="宋体"/>
                <w:b w:val="0"/>
                <w:bCs w:val="0"/>
                <w:color w:val="auto"/>
                <w:sz w:val="21"/>
                <w:szCs w:val="21"/>
                <w:vertAlign w:val="baseline"/>
                <w:lang w:val="en-US" w:eastAsia="zh-CN"/>
              </w:rPr>
            </w:pPr>
            <w:r>
              <w:rPr>
                <w:rFonts w:hint="eastAsia" w:cs="宋体"/>
                <w:b w:val="0"/>
                <w:bCs w:val="0"/>
                <w:color w:val="auto"/>
                <w:sz w:val="21"/>
                <w:szCs w:val="21"/>
                <w:vertAlign w:val="baseline"/>
                <w:lang w:val="en-US" w:eastAsia="zh-CN"/>
              </w:rPr>
              <w:t>65.88</w:t>
            </w:r>
          </w:p>
        </w:tc>
        <w:tc>
          <w:tcPr>
            <w:tcW w:w="1000" w:type="pct"/>
            <w:tcBorders>
              <w:tl2br w:val="nil"/>
              <w:tr2bl w:val="nil"/>
            </w:tcBorders>
            <w:vAlign w:val="center"/>
          </w:tcPr>
          <w:p w14:paraId="2F8ECFD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firstLine="0" w:firstLineChars="0"/>
              <w:jc w:val="center"/>
              <w:textAlignment w:val="auto"/>
              <w:rPr>
                <w:rFonts w:hint="eastAsia" w:ascii="宋体" w:hAnsi="宋体" w:eastAsia="宋体" w:cs="宋体"/>
                <w:b w:val="0"/>
                <w:bCs w:val="0"/>
                <w:color w:val="auto"/>
                <w:sz w:val="21"/>
                <w:szCs w:val="21"/>
                <w:vertAlign w:val="baseline"/>
              </w:rPr>
            </w:pPr>
          </w:p>
        </w:tc>
      </w:tr>
      <w:tr w14:paraId="5A0D03F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999" w:type="pct"/>
            <w:vMerge w:val="continue"/>
            <w:tcBorders>
              <w:tl2br w:val="nil"/>
              <w:tr2bl w:val="nil"/>
            </w:tcBorders>
            <w:vAlign w:val="center"/>
          </w:tcPr>
          <w:p w14:paraId="2A4A5C9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firstLine="0" w:firstLineChars="0"/>
              <w:jc w:val="center"/>
              <w:textAlignment w:val="auto"/>
              <w:rPr>
                <w:rFonts w:hint="eastAsia" w:ascii="宋体" w:hAnsi="宋体" w:eastAsia="宋体" w:cs="宋体"/>
                <w:b w:val="0"/>
                <w:bCs w:val="0"/>
                <w:color w:val="auto"/>
                <w:sz w:val="21"/>
                <w:szCs w:val="21"/>
                <w:vertAlign w:val="baseline"/>
              </w:rPr>
            </w:pPr>
          </w:p>
        </w:tc>
        <w:tc>
          <w:tcPr>
            <w:tcW w:w="1000" w:type="pct"/>
            <w:tcBorders>
              <w:tl2br w:val="nil"/>
              <w:tr2bl w:val="nil"/>
            </w:tcBorders>
            <w:vAlign w:val="center"/>
          </w:tcPr>
          <w:p w14:paraId="1D9764E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firstLine="0" w:firstLineChars="0"/>
              <w:jc w:val="center"/>
              <w:textAlignment w:val="auto"/>
              <w:rPr>
                <w:rFonts w:hint="default" w:ascii="宋体" w:hAnsi="宋体" w:eastAsia="宋体" w:cs="宋体"/>
                <w:b w:val="0"/>
                <w:bCs w:val="0"/>
                <w:color w:val="auto"/>
                <w:sz w:val="21"/>
                <w:szCs w:val="21"/>
                <w:vertAlign w:val="baseline"/>
                <w:lang w:val="en-US" w:eastAsia="zh-CN"/>
              </w:rPr>
            </w:pPr>
            <w:r>
              <w:rPr>
                <w:rFonts w:hint="eastAsia" w:cs="宋体"/>
                <w:b w:val="0"/>
                <w:bCs w:val="0"/>
                <w:color w:val="auto"/>
                <w:sz w:val="21"/>
                <w:szCs w:val="21"/>
                <w:vertAlign w:val="baseline"/>
                <w:lang w:val="en-US" w:eastAsia="zh-CN"/>
              </w:rPr>
              <w:t>推断</w:t>
            </w:r>
          </w:p>
        </w:tc>
        <w:tc>
          <w:tcPr>
            <w:tcW w:w="1000" w:type="pct"/>
            <w:tcBorders>
              <w:tl2br w:val="nil"/>
              <w:tr2bl w:val="nil"/>
            </w:tcBorders>
            <w:vAlign w:val="center"/>
          </w:tcPr>
          <w:p w14:paraId="5124586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firstLine="0" w:firstLineChars="0"/>
              <w:jc w:val="center"/>
              <w:textAlignment w:val="auto"/>
              <w:rPr>
                <w:rFonts w:hint="default" w:ascii="宋体" w:hAnsi="宋体" w:eastAsia="宋体" w:cs="宋体"/>
                <w:b w:val="0"/>
                <w:bCs w:val="0"/>
                <w:color w:val="auto"/>
                <w:sz w:val="21"/>
                <w:szCs w:val="21"/>
                <w:vertAlign w:val="baseline"/>
                <w:lang w:val="en-US" w:eastAsia="zh-CN"/>
              </w:rPr>
            </w:pPr>
            <w:r>
              <w:rPr>
                <w:rFonts w:hint="eastAsia" w:cs="宋体"/>
                <w:b w:val="0"/>
                <w:bCs w:val="0"/>
                <w:color w:val="auto"/>
                <w:sz w:val="21"/>
                <w:szCs w:val="21"/>
                <w:vertAlign w:val="baseline"/>
                <w:lang w:val="en-US" w:eastAsia="zh-CN"/>
              </w:rPr>
              <w:t>188.65</w:t>
            </w:r>
          </w:p>
        </w:tc>
        <w:tc>
          <w:tcPr>
            <w:tcW w:w="1000" w:type="pct"/>
            <w:tcBorders>
              <w:tl2br w:val="nil"/>
              <w:tr2bl w:val="nil"/>
            </w:tcBorders>
            <w:vAlign w:val="center"/>
          </w:tcPr>
          <w:p w14:paraId="3F0D17E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firstLine="0" w:firstLineChars="0"/>
              <w:jc w:val="center"/>
              <w:textAlignment w:val="auto"/>
              <w:rPr>
                <w:rFonts w:hint="default" w:ascii="宋体" w:hAnsi="宋体" w:eastAsia="宋体" w:cs="宋体"/>
                <w:b w:val="0"/>
                <w:bCs w:val="0"/>
                <w:color w:val="auto"/>
                <w:sz w:val="21"/>
                <w:szCs w:val="21"/>
                <w:vertAlign w:val="baseline"/>
                <w:lang w:val="en-US" w:eastAsia="zh-CN"/>
              </w:rPr>
            </w:pPr>
            <w:r>
              <w:rPr>
                <w:rFonts w:hint="eastAsia" w:cs="宋体"/>
                <w:b w:val="0"/>
                <w:bCs w:val="0"/>
                <w:color w:val="auto"/>
                <w:sz w:val="21"/>
                <w:szCs w:val="21"/>
                <w:vertAlign w:val="baseline"/>
                <w:lang w:val="en-US" w:eastAsia="zh-CN"/>
              </w:rPr>
              <w:t>34.12</w:t>
            </w:r>
          </w:p>
        </w:tc>
        <w:tc>
          <w:tcPr>
            <w:tcW w:w="1000" w:type="pct"/>
            <w:tcBorders>
              <w:tl2br w:val="nil"/>
              <w:tr2bl w:val="nil"/>
            </w:tcBorders>
            <w:vAlign w:val="center"/>
          </w:tcPr>
          <w:p w14:paraId="77D9879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firstLine="0" w:firstLineChars="0"/>
              <w:jc w:val="center"/>
              <w:textAlignment w:val="auto"/>
              <w:rPr>
                <w:rFonts w:hint="eastAsia" w:ascii="宋体" w:hAnsi="宋体" w:eastAsia="宋体" w:cs="宋体"/>
                <w:b w:val="0"/>
                <w:bCs w:val="0"/>
                <w:color w:val="auto"/>
                <w:sz w:val="21"/>
                <w:szCs w:val="21"/>
                <w:vertAlign w:val="baseline"/>
              </w:rPr>
            </w:pPr>
          </w:p>
        </w:tc>
      </w:tr>
      <w:tr w14:paraId="384949B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999" w:type="pct"/>
            <w:tcBorders>
              <w:tl2br w:val="nil"/>
              <w:tr2bl w:val="nil"/>
            </w:tcBorders>
            <w:vAlign w:val="center"/>
          </w:tcPr>
          <w:p w14:paraId="0DEF0BE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firstLine="0" w:firstLineChars="0"/>
              <w:jc w:val="center"/>
              <w:textAlignment w:val="auto"/>
              <w:rPr>
                <w:rFonts w:hint="eastAsia" w:ascii="宋体" w:hAnsi="宋体" w:eastAsia="宋体" w:cs="宋体"/>
                <w:b w:val="0"/>
                <w:bCs w:val="0"/>
                <w:color w:val="auto"/>
                <w:sz w:val="21"/>
                <w:szCs w:val="21"/>
                <w:vertAlign w:val="baseline"/>
                <w:lang w:val="en-US" w:eastAsia="zh-CN"/>
              </w:rPr>
            </w:pPr>
            <w:r>
              <w:rPr>
                <w:rFonts w:hint="eastAsia" w:cs="宋体"/>
                <w:b w:val="0"/>
                <w:bCs w:val="0"/>
                <w:color w:val="auto"/>
                <w:sz w:val="21"/>
                <w:szCs w:val="21"/>
                <w:vertAlign w:val="baseline"/>
                <w:lang w:val="en-US" w:eastAsia="zh-CN"/>
              </w:rPr>
              <w:t>合计</w:t>
            </w:r>
          </w:p>
        </w:tc>
        <w:tc>
          <w:tcPr>
            <w:tcW w:w="1000" w:type="pct"/>
            <w:tcBorders>
              <w:tl2br w:val="nil"/>
              <w:tr2bl w:val="nil"/>
            </w:tcBorders>
            <w:vAlign w:val="center"/>
          </w:tcPr>
          <w:p w14:paraId="67ADB25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firstLine="0" w:firstLineChars="0"/>
              <w:jc w:val="center"/>
              <w:textAlignment w:val="auto"/>
              <w:rPr>
                <w:rFonts w:hint="eastAsia" w:ascii="宋体" w:hAnsi="宋体" w:eastAsia="宋体" w:cs="宋体"/>
                <w:b w:val="0"/>
                <w:bCs w:val="0"/>
                <w:color w:val="auto"/>
                <w:sz w:val="21"/>
                <w:szCs w:val="21"/>
                <w:vertAlign w:val="baseline"/>
              </w:rPr>
            </w:pPr>
          </w:p>
        </w:tc>
        <w:tc>
          <w:tcPr>
            <w:tcW w:w="1000" w:type="pct"/>
            <w:tcBorders>
              <w:tl2br w:val="nil"/>
              <w:tr2bl w:val="nil"/>
            </w:tcBorders>
            <w:vAlign w:val="center"/>
          </w:tcPr>
          <w:p w14:paraId="3D03852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firstLine="0" w:firstLineChars="0"/>
              <w:jc w:val="center"/>
              <w:textAlignment w:val="auto"/>
              <w:rPr>
                <w:rFonts w:hint="default" w:ascii="宋体" w:hAnsi="宋体" w:eastAsia="宋体" w:cs="宋体"/>
                <w:b w:val="0"/>
                <w:bCs w:val="0"/>
                <w:color w:val="auto"/>
                <w:sz w:val="21"/>
                <w:szCs w:val="21"/>
                <w:vertAlign w:val="baseline"/>
                <w:lang w:val="en-US" w:eastAsia="zh-CN"/>
              </w:rPr>
            </w:pPr>
            <w:r>
              <w:rPr>
                <w:rFonts w:hint="eastAsia" w:cs="宋体"/>
                <w:b w:val="0"/>
                <w:bCs w:val="0"/>
                <w:color w:val="auto"/>
                <w:sz w:val="21"/>
                <w:szCs w:val="21"/>
                <w:vertAlign w:val="baseline"/>
                <w:lang w:val="en-US" w:eastAsia="zh-CN"/>
              </w:rPr>
              <w:t>552.93</w:t>
            </w:r>
          </w:p>
        </w:tc>
        <w:tc>
          <w:tcPr>
            <w:tcW w:w="1000" w:type="pct"/>
            <w:tcBorders>
              <w:tl2br w:val="nil"/>
              <w:tr2bl w:val="nil"/>
            </w:tcBorders>
            <w:vAlign w:val="center"/>
          </w:tcPr>
          <w:p w14:paraId="11423AE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firstLine="0" w:firstLineChars="0"/>
              <w:jc w:val="center"/>
              <w:textAlignment w:val="auto"/>
              <w:rPr>
                <w:rFonts w:hint="default" w:ascii="宋体" w:hAnsi="宋体" w:eastAsia="宋体" w:cs="宋体"/>
                <w:b w:val="0"/>
                <w:bCs w:val="0"/>
                <w:color w:val="auto"/>
                <w:sz w:val="21"/>
                <w:szCs w:val="21"/>
                <w:vertAlign w:val="baseline"/>
                <w:lang w:val="en-US" w:eastAsia="zh-CN"/>
              </w:rPr>
            </w:pPr>
            <w:r>
              <w:rPr>
                <w:rFonts w:hint="eastAsia" w:cs="宋体"/>
                <w:b w:val="0"/>
                <w:bCs w:val="0"/>
                <w:color w:val="auto"/>
                <w:sz w:val="21"/>
                <w:szCs w:val="21"/>
                <w:vertAlign w:val="baseline"/>
                <w:lang w:val="en-US" w:eastAsia="zh-CN"/>
              </w:rPr>
              <w:t>100</w:t>
            </w:r>
          </w:p>
        </w:tc>
        <w:tc>
          <w:tcPr>
            <w:tcW w:w="1000" w:type="pct"/>
            <w:tcBorders>
              <w:tl2br w:val="nil"/>
              <w:tr2bl w:val="nil"/>
            </w:tcBorders>
            <w:vAlign w:val="center"/>
          </w:tcPr>
          <w:p w14:paraId="53B827C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firstLine="0" w:firstLineChars="0"/>
              <w:jc w:val="center"/>
              <w:textAlignment w:val="auto"/>
              <w:rPr>
                <w:rFonts w:hint="eastAsia" w:ascii="宋体" w:hAnsi="宋体" w:eastAsia="宋体" w:cs="宋体"/>
                <w:b w:val="0"/>
                <w:bCs w:val="0"/>
                <w:color w:val="auto"/>
                <w:sz w:val="21"/>
                <w:szCs w:val="21"/>
                <w:vertAlign w:val="baseline"/>
              </w:rPr>
            </w:pPr>
          </w:p>
        </w:tc>
      </w:tr>
      <w:bookmarkEnd w:id="72"/>
    </w:tbl>
    <w:p w14:paraId="13737106">
      <w:pPr>
        <w:pStyle w:val="5"/>
        <w:bidi w:val="0"/>
        <w:rPr>
          <w:color w:val="auto"/>
        </w:rPr>
      </w:pPr>
      <w:r>
        <w:rPr>
          <w:rFonts w:hint="eastAsia"/>
          <w:color w:val="auto"/>
        </w:rPr>
        <w:t>2.4.</w:t>
      </w:r>
      <w:r>
        <w:rPr>
          <w:rFonts w:hint="eastAsia"/>
          <w:color w:val="auto"/>
          <w:lang w:val="en-US" w:eastAsia="zh-CN"/>
        </w:rPr>
        <w:t>2</w:t>
      </w:r>
      <w:r>
        <w:rPr>
          <w:rFonts w:hint="eastAsia"/>
          <w:color w:val="auto"/>
        </w:rPr>
        <w:t>.2</w:t>
      </w:r>
      <w:r>
        <w:rPr>
          <w:rFonts w:hint="eastAsia"/>
          <w:color w:val="auto"/>
          <w:lang w:val="en-US" w:eastAsia="zh-CN"/>
        </w:rPr>
        <w:t>生产</w:t>
      </w:r>
      <w:r>
        <w:rPr>
          <w:rFonts w:hint="eastAsia"/>
          <w:color w:val="auto"/>
        </w:rPr>
        <w:t>规模及工作制度</w:t>
      </w:r>
    </w:p>
    <w:p w14:paraId="1B795FCC">
      <w:pPr>
        <w:keepNext w:val="0"/>
        <w:keepLines w:val="0"/>
        <w:pageBreakBefore w:val="0"/>
        <w:widowControl w:val="0"/>
        <w:numPr>
          <w:ilvl w:val="0"/>
          <w:numId w:val="3"/>
        </w:numPr>
        <w:kinsoku/>
        <w:wordWrap/>
        <w:overflowPunct/>
        <w:topLinePunct w:val="0"/>
        <w:autoSpaceDE/>
        <w:autoSpaceDN/>
        <w:bidi w:val="0"/>
        <w:adjustRightInd/>
        <w:snapToGrid/>
        <w:ind w:left="0" w:leftChars="0" w:firstLine="560" w:firstLineChars="200"/>
        <w:textAlignment w:val="auto"/>
        <w:rPr>
          <w:rFonts w:hint="eastAsia"/>
          <w:color w:val="auto"/>
        </w:rPr>
      </w:pPr>
      <w:r>
        <w:rPr>
          <w:rFonts w:hint="eastAsia"/>
          <w:color w:val="auto"/>
          <w:lang w:val="en-US" w:eastAsia="zh-CN"/>
        </w:rPr>
        <w:t>生产规模</w:t>
      </w:r>
    </w:p>
    <w:p w14:paraId="5E658D5B">
      <w:pPr>
        <w:bidi w:val="0"/>
        <w:rPr>
          <w:rFonts w:hint="eastAsia"/>
          <w:color w:val="auto"/>
        </w:rPr>
      </w:pPr>
      <w:r>
        <w:rPr>
          <w:rFonts w:hint="eastAsia"/>
          <w:color w:val="auto"/>
        </w:rPr>
        <w:t>矿山</w:t>
      </w:r>
      <w:r>
        <w:rPr>
          <w:rFonts w:hint="eastAsia"/>
          <w:color w:val="auto"/>
          <w:lang w:val="en-US" w:eastAsia="zh-CN"/>
        </w:rPr>
        <w:t>生产</w:t>
      </w:r>
      <w:r>
        <w:rPr>
          <w:rFonts w:hint="eastAsia"/>
          <w:color w:val="auto"/>
        </w:rPr>
        <w:t>规模</w:t>
      </w:r>
      <w:r>
        <w:rPr>
          <w:rFonts w:hint="eastAsia"/>
          <w:color w:val="auto"/>
          <w:lang w:val="en-US" w:eastAsia="zh-CN"/>
        </w:rPr>
        <w:t>拟</w:t>
      </w:r>
      <w:r>
        <w:rPr>
          <w:rFonts w:hint="eastAsia"/>
          <w:color w:val="auto"/>
        </w:rPr>
        <w:t>为年产方解石矿石量20×10</w:t>
      </w:r>
      <w:r>
        <w:rPr>
          <w:rFonts w:hint="eastAsia"/>
          <w:color w:val="auto"/>
          <w:vertAlign w:val="superscript"/>
          <w:lang w:val="en-US" w:eastAsia="zh-CN"/>
        </w:rPr>
        <w:t>4</w:t>
      </w:r>
      <w:r>
        <w:rPr>
          <w:rFonts w:hint="eastAsia"/>
          <w:color w:val="auto"/>
        </w:rPr>
        <w:t>t/a。</w:t>
      </w:r>
    </w:p>
    <w:p w14:paraId="76C25036">
      <w:pPr>
        <w:keepNext w:val="0"/>
        <w:keepLines w:val="0"/>
        <w:pageBreakBefore w:val="0"/>
        <w:widowControl w:val="0"/>
        <w:numPr>
          <w:ilvl w:val="0"/>
          <w:numId w:val="3"/>
        </w:numPr>
        <w:kinsoku/>
        <w:wordWrap/>
        <w:overflowPunct/>
        <w:topLinePunct w:val="0"/>
        <w:autoSpaceDE/>
        <w:autoSpaceDN/>
        <w:bidi w:val="0"/>
        <w:adjustRightInd/>
        <w:snapToGrid/>
        <w:ind w:left="0" w:leftChars="0" w:firstLine="560" w:firstLineChars="200"/>
        <w:textAlignment w:val="auto"/>
        <w:rPr>
          <w:rFonts w:hint="eastAsia"/>
          <w:color w:val="auto"/>
          <w:lang w:val="en-US" w:eastAsia="zh-CN"/>
        </w:rPr>
      </w:pPr>
      <w:r>
        <w:rPr>
          <w:rFonts w:hint="eastAsia"/>
          <w:color w:val="auto"/>
          <w:lang w:val="en-US" w:eastAsia="zh-CN"/>
        </w:rPr>
        <w:t>服务年限</w:t>
      </w:r>
    </w:p>
    <w:p w14:paraId="3B9B3764">
      <w:pPr>
        <w:bidi w:val="0"/>
        <w:rPr>
          <w:rFonts w:hint="eastAsia"/>
          <w:color w:val="auto"/>
          <w:lang w:val="en-US" w:eastAsia="zh-CN"/>
        </w:rPr>
      </w:pPr>
      <w:r>
        <w:rPr>
          <w:rFonts w:hint="eastAsia"/>
          <w:color w:val="auto"/>
          <w:lang w:val="en-US" w:eastAsia="zh-CN"/>
        </w:rPr>
        <w:t>矿山服务年限13年，其中基建期1年，生产期12年(第1年为达产期，第2～11年为稳产期，第12年为减产期)。</w:t>
      </w:r>
    </w:p>
    <w:p w14:paraId="360AF51B">
      <w:pPr>
        <w:keepNext w:val="0"/>
        <w:keepLines w:val="0"/>
        <w:pageBreakBefore w:val="0"/>
        <w:widowControl w:val="0"/>
        <w:numPr>
          <w:ilvl w:val="0"/>
          <w:numId w:val="3"/>
        </w:numPr>
        <w:kinsoku/>
        <w:wordWrap/>
        <w:overflowPunct/>
        <w:topLinePunct w:val="0"/>
        <w:autoSpaceDE/>
        <w:autoSpaceDN/>
        <w:bidi w:val="0"/>
        <w:adjustRightInd/>
        <w:snapToGrid/>
        <w:ind w:left="0" w:leftChars="0" w:firstLine="560" w:firstLineChars="200"/>
        <w:textAlignment w:val="auto"/>
        <w:rPr>
          <w:rFonts w:hint="eastAsia"/>
          <w:color w:val="auto"/>
          <w:lang w:val="en-US" w:eastAsia="zh-CN"/>
        </w:rPr>
      </w:pPr>
      <w:r>
        <w:rPr>
          <w:rFonts w:hint="eastAsia"/>
          <w:color w:val="auto"/>
          <w:lang w:val="en-US" w:eastAsia="zh-CN"/>
        </w:rPr>
        <w:t>工作制度</w:t>
      </w:r>
    </w:p>
    <w:p w14:paraId="448A94F9">
      <w:pPr>
        <w:bidi w:val="0"/>
        <w:rPr>
          <w:rFonts w:hint="eastAsia"/>
          <w:color w:val="auto"/>
          <w:lang w:val="en-US" w:eastAsia="zh-CN"/>
        </w:rPr>
      </w:pPr>
      <w:r>
        <w:rPr>
          <w:rFonts w:hint="eastAsia"/>
          <w:color w:val="auto"/>
          <w:lang w:val="en-US" w:eastAsia="zh-CN"/>
        </w:rPr>
        <w:t>矿山工作制度拟为年作业300天，每天2班，每班8小时。</w:t>
      </w:r>
    </w:p>
    <w:p w14:paraId="58CF8C2F">
      <w:pPr>
        <w:pStyle w:val="5"/>
        <w:bidi w:val="0"/>
        <w:rPr>
          <w:rFonts w:hint="eastAsia"/>
          <w:color w:val="auto"/>
        </w:rPr>
      </w:pPr>
      <w:r>
        <w:rPr>
          <w:rFonts w:hint="eastAsia"/>
          <w:color w:val="auto"/>
        </w:rPr>
        <w:t>2.4.</w:t>
      </w:r>
      <w:r>
        <w:rPr>
          <w:rFonts w:hint="eastAsia"/>
          <w:color w:val="auto"/>
          <w:lang w:val="en-US" w:eastAsia="zh-CN"/>
        </w:rPr>
        <w:t>2</w:t>
      </w:r>
      <w:r>
        <w:rPr>
          <w:rFonts w:hint="eastAsia"/>
          <w:color w:val="auto"/>
        </w:rPr>
        <w:t>.</w:t>
      </w:r>
      <w:r>
        <w:rPr>
          <w:rFonts w:hint="eastAsia"/>
          <w:color w:val="auto"/>
          <w:lang w:val="en-US" w:eastAsia="zh-CN"/>
        </w:rPr>
        <w:t>3基建期</w:t>
      </w:r>
    </w:p>
    <w:p w14:paraId="6ACD6C45">
      <w:pPr>
        <w:rPr>
          <w:rFonts w:hint="eastAsia" w:eastAsia="宋体"/>
          <w:color w:val="auto"/>
          <w:lang w:eastAsia="zh-CN"/>
        </w:rPr>
      </w:pPr>
      <w:r>
        <w:rPr>
          <w:rFonts w:hint="eastAsia"/>
          <w:color w:val="auto"/>
        </w:rPr>
        <w:t>基建范围为</w:t>
      </w:r>
      <w:r>
        <w:rPr>
          <w:rFonts w:hint="eastAsia"/>
          <w:color w:val="auto"/>
          <w:lang w:eastAsia="zh-CN"/>
        </w:rPr>
        <w:t>：</w:t>
      </w:r>
      <w:r>
        <w:rPr>
          <w:rFonts w:hint="eastAsia"/>
          <w:color w:val="auto"/>
        </w:rPr>
        <w:t>主运输</w:t>
      </w:r>
      <w:r>
        <w:rPr>
          <w:rFonts w:hint="eastAsia"/>
          <w:color w:val="auto"/>
          <w:lang w:val="en-US" w:eastAsia="zh-CN"/>
        </w:rPr>
        <w:t>平硐及</w:t>
      </w:r>
      <w:r>
        <w:rPr>
          <w:rFonts w:hint="eastAsia"/>
          <w:color w:val="auto"/>
        </w:rPr>
        <w:t>斜坡道、1290m中段、1305m中段，回风巷道、变电硐室及采切工程等</w:t>
      </w:r>
      <w:r>
        <w:rPr>
          <w:rFonts w:hint="eastAsia"/>
          <w:color w:val="auto"/>
          <w:lang w:eastAsia="zh-CN"/>
        </w:rPr>
        <w:t>。矿山安排3个作业面同时作业，基建期为1年。</w:t>
      </w:r>
    </w:p>
    <w:p w14:paraId="4BCCA87E">
      <w:pPr>
        <w:pStyle w:val="4"/>
        <w:rPr>
          <w:color w:val="auto"/>
        </w:rPr>
      </w:pPr>
      <w:r>
        <w:rPr>
          <w:rFonts w:hint="eastAsia"/>
          <w:color w:val="auto"/>
        </w:rPr>
        <w:t>2.4.</w:t>
      </w:r>
      <w:r>
        <w:rPr>
          <w:rFonts w:hint="eastAsia"/>
          <w:color w:val="auto"/>
          <w:lang w:val="en-US" w:eastAsia="zh-CN"/>
        </w:rPr>
        <w:t>3</w:t>
      </w:r>
      <w:r>
        <w:rPr>
          <w:rFonts w:hint="eastAsia"/>
          <w:color w:val="auto"/>
        </w:rPr>
        <w:t>总图运输</w:t>
      </w:r>
    </w:p>
    <w:p w14:paraId="376CF31D">
      <w:pPr>
        <w:pStyle w:val="5"/>
        <w:keepNext/>
        <w:keepLines/>
        <w:pageBreakBefore w:val="0"/>
        <w:widowControl w:val="0"/>
        <w:kinsoku/>
        <w:wordWrap/>
        <w:overflowPunct/>
        <w:topLinePunct w:val="0"/>
        <w:autoSpaceDE/>
        <w:autoSpaceDN/>
        <w:bidi w:val="0"/>
        <w:adjustRightInd/>
        <w:snapToGrid/>
        <w:ind w:firstLine="560" w:firstLineChars="200"/>
        <w:textAlignment w:val="auto"/>
        <w:rPr>
          <w:rFonts w:hint="eastAsia"/>
          <w:color w:val="auto"/>
        </w:rPr>
      </w:pPr>
      <w:bookmarkStart w:id="73" w:name="_Toc419285073"/>
      <w:bookmarkStart w:id="74" w:name="_Toc330281110"/>
      <w:bookmarkStart w:id="75" w:name="_Toc341950702"/>
      <w:bookmarkStart w:id="76" w:name="_Toc422395392"/>
      <w:r>
        <w:rPr>
          <w:rFonts w:hint="eastAsia"/>
          <w:color w:val="auto"/>
        </w:rPr>
        <w:t>2.4.</w:t>
      </w:r>
      <w:r>
        <w:rPr>
          <w:rFonts w:hint="eastAsia"/>
          <w:color w:val="auto"/>
          <w:lang w:val="en-US" w:eastAsia="zh-CN"/>
        </w:rPr>
        <w:t>3</w:t>
      </w:r>
      <w:r>
        <w:rPr>
          <w:rFonts w:hint="eastAsia"/>
          <w:color w:val="auto"/>
        </w:rPr>
        <w:t>.</w:t>
      </w:r>
      <w:bookmarkEnd w:id="73"/>
      <w:bookmarkEnd w:id="74"/>
      <w:bookmarkEnd w:id="75"/>
      <w:bookmarkEnd w:id="76"/>
      <w:r>
        <w:rPr>
          <w:rFonts w:hint="eastAsia"/>
          <w:color w:val="auto"/>
        </w:rPr>
        <w:t>1总平面布置</w:t>
      </w:r>
    </w:p>
    <w:p w14:paraId="33823246">
      <w:pPr>
        <w:rPr>
          <w:rFonts w:hint="eastAsia"/>
          <w:color w:val="auto"/>
        </w:rPr>
      </w:pPr>
      <w:r>
        <w:rPr>
          <w:rFonts w:hint="eastAsia"/>
          <w:color w:val="auto"/>
          <w:lang w:val="en-US" w:eastAsia="zh-CN"/>
        </w:rPr>
        <w:t>矿山</w:t>
      </w:r>
      <w:r>
        <w:rPr>
          <w:rFonts w:hint="eastAsia"/>
          <w:color w:val="auto"/>
        </w:rPr>
        <w:t>将主平硐口设置在矿区西北角。采矿工业场地布置在主平硐口北侧现有平场地内</w:t>
      </w:r>
      <w:r>
        <w:rPr>
          <w:rFonts w:hint="eastAsia"/>
          <w:color w:val="auto"/>
          <w:lang w:eastAsia="zh-CN"/>
        </w:rPr>
        <w:t>，</w:t>
      </w:r>
      <w:r>
        <w:rPr>
          <w:rFonts w:hint="eastAsia"/>
          <w:color w:val="auto"/>
        </w:rPr>
        <w:t>占地面积为13724m</w:t>
      </w:r>
      <w:r>
        <w:rPr>
          <w:rFonts w:hint="eastAsia"/>
          <w:color w:val="auto"/>
          <w:vertAlign w:val="superscript"/>
        </w:rPr>
        <w:t>2</w:t>
      </w:r>
      <w:r>
        <w:rPr>
          <w:rFonts w:hint="eastAsia"/>
          <w:color w:val="auto"/>
        </w:rPr>
        <w:t>。原矿转运场地布置在主平硐口东侧场地，面积约9000m</w:t>
      </w:r>
      <w:r>
        <w:rPr>
          <w:rFonts w:hint="eastAsia"/>
          <w:color w:val="auto"/>
          <w:vertAlign w:val="superscript"/>
          <w:lang w:val="en-US" w:eastAsia="zh-CN"/>
        </w:rPr>
        <w:t>2</w:t>
      </w:r>
      <w:r>
        <w:rPr>
          <w:rFonts w:hint="eastAsia"/>
          <w:color w:val="auto"/>
          <w:lang w:eastAsia="zh-CN"/>
        </w:rPr>
        <w:t>，</w:t>
      </w:r>
      <w:r>
        <w:rPr>
          <w:rFonts w:hint="eastAsia"/>
          <w:color w:val="auto"/>
        </w:rPr>
        <w:t>井下采出矿石在此场地临时堆存，转公路运输车辆外运。空压机站、</w:t>
      </w:r>
      <w:r>
        <w:rPr>
          <w:rFonts w:hint="eastAsia"/>
          <w:color w:val="auto"/>
          <w:lang w:val="en-US" w:eastAsia="zh-CN"/>
        </w:rPr>
        <w:t>井上</w:t>
      </w:r>
      <w:r>
        <w:rPr>
          <w:rFonts w:hint="eastAsia"/>
          <w:color w:val="auto"/>
        </w:rPr>
        <w:t>变电所、仓库、维修间、值班室等</w:t>
      </w:r>
      <w:r>
        <w:rPr>
          <w:rFonts w:hint="eastAsia"/>
          <w:color w:val="auto"/>
          <w:lang w:val="en-US" w:eastAsia="zh-CN"/>
        </w:rPr>
        <w:t>布置</w:t>
      </w:r>
      <w:r>
        <w:rPr>
          <w:rFonts w:hint="eastAsia"/>
          <w:color w:val="auto"/>
        </w:rPr>
        <w:t>在主平硐口西侧。</w:t>
      </w:r>
      <w:r>
        <w:rPr>
          <w:rFonts w:hint="eastAsia" w:hAnsi="宋体" w:cs="宋体"/>
          <w:color w:val="auto"/>
          <w:szCs w:val="28"/>
        </w:rPr>
        <w:t>柴油</w:t>
      </w:r>
      <w:r>
        <w:rPr>
          <w:rFonts w:hint="eastAsia" w:cs="宋体"/>
          <w:color w:val="auto"/>
          <w:szCs w:val="28"/>
          <w:lang w:val="en-US" w:eastAsia="zh-CN"/>
        </w:rPr>
        <w:t>设备主要通过外部加油车加油，矿区内最多在维修车间存放1桶</w:t>
      </w:r>
      <w:r>
        <w:rPr>
          <w:rFonts w:hint="eastAsia" w:hAnsi="宋体" w:cs="宋体"/>
          <w:color w:val="auto"/>
          <w:szCs w:val="28"/>
        </w:rPr>
        <w:t>柴油</w:t>
      </w:r>
      <w:r>
        <w:rPr>
          <w:rFonts w:hint="eastAsia" w:cs="宋体"/>
          <w:color w:val="auto"/>
          <w:szCs w:val="28"/>
          <w:lang w:val="en-US" w:eastAsia="zh-CN"/>
        </w:rPr>
        <w:t>(约134kg)。</w:t>
      </w:r>
    </w:p>
    <w:p w14:paraId="0A61D189">
      <w:pPr>
        <w:rPr>
          <w:rFonts w:hint="default" w:eastAsia="宋体"/>
          <w:color w:val="auto"/>
          <w:lang w:val="en-US" w:eastAsia="zh-CN"/>
        </w:rPr>
      </w:pPr>
      <w:r>
        <w:rPr>
          <w:rFonts w:hint="eastAsia"/>
          <w:color w:val="auto"/>
          <w:lang w:val="en-US" w:eastAsia="zh-CN"/>
        </w:rPr>
        <w:t>拟</w:t>
      </w:r>
      <w:r>
        <w:rPr>
          <w:rFonts w:hint="eastAsia"/>
          <w:color w:val="auto"/>
        </w:rPr>
        <w:t>在采矿工业场地出入口位置布置一台汽车衡用于进出物料计量。在采矿工业场地南侧山坡</w:t>
      </w:r>
      <w:r>
        <w:rPr>
          <w:rFonts w:hint="eastAsia"/>
          <w:color w:val="auto"/>
          <w:lang w:val="en-US" w:eastAsia="zh-CN"/>
        </w:rPr>
        <w:t>1252m</w:t>
      </w:r>
      <w:r>
        <w:rPr>
          <w:rFonts w:hint="eastAsia"/>
          <w:color w:val="auto"/>
        </w:rPr>
        <w:t>建一座高位水池用于生产和消防</w:t>
      </w:r>
      <w:r>
        <w:rPr>
          <w:rFonts w:hint="eastAsia"/>
          <w:color w:val="auto"/>
          <w:lang w:eastAsia="zh-CN"/>
        </w:rPr>
        <w:t>，</w:t>
      </w:r>
      <w:r>
        <w:rPr>
          <w:rFonts w:hint="eastAsia"/>
          <w:color w:val="auto"/>
          <w:lang w:val="en-US" w:eastAsia="zh-CN"/>
        </w:rPr>
        <w:t>供水水源主要为矿区附近的小峪河河水。</w:t>
      </w:r>
    </w:p>
    <w:p w14:paraId="4392F9BC">
      <w:pPr>
        <w:pStyle w:val="5"/>
        <w:keepNext/>
        <w:keepLines/>
        <w:pageBreakBefore w:val="0"/>
        <w:widowControl w:val="0"/>
        <w:kinsoku/>
        <w:wordWrap/>
        <w:overflowPunct/>
        <w:topLinePunct w:val="0"/>
        <w:autoSpaceDE/>
        <w:autoSpaceDN/>
        <w:bidi w:val="0"/>
        <w:adjustRightInd/>
        <w:snapToGrid/>
        <w:ind w:firstLine="560" w:firstLineChars="200"/>
        <w:textAlignment w:val="auto"/>
        <w:rPr>
          <w:rFonts w:hint="default"/>
          <w:color w:val="auto"/>
          <w:lang w:val="en-US" w:eastAsia="zh-CN"/>
        </w:rPr>
      </w:pPr>
      <w:r>
        <w:rPr>
          <w:rFonts w:hint="eastAsia"/>
          <w:color w:val="auto"/>
        </w:rPr>
        <w:t>2.4.</w:t>
      </w:r>
      <w:r>
        <w:rPr>
          <w:rFonts w:hint="eastAsia"/>
          <w:color w:val="auto"/>
          <w:lang w:val="en-US" w:eastAsia="zh-CN"/>
        </w:rPr>
        <w:t>3</w:t>
      </w:r>
      <w:r>
        <w:rPr>
          <w:rFonts w:hint="eastAsia"/>
          <w:color w:val="auto"/>
        </w:rPr>
        <w:t>.2</w:t>
      </w:r>
      <w:r>
        <w:rPr>
          <w:rFonts w:hint="eastAsia"/>
          <w:color w:val="auto"/>
          <w:lang w:val="en-US" w:eastAsia="zh-CN"/>
        </w:rPr>
        <w:t>运输方式</w:t>
      </w:r>
    </w:p>
    <w:p w14:paraId="1F5AAAFD">
      <w:pPr>
        <w:rPr>
          <w:rFonts w:hint="default"/>
          <w:color w:val="auto"/>
          <w:lang w:val="en-US" w:eastAsia="zh-CN"/>
        </w:rPr>
      </w:pPr>
      <w:r>
        <w:rPr>
          <w:rFonts w:hint="eastAsia"/>
          <w:color w:val="auto"/>
          <w:lang w:val="en-US" w:eastAsia="zh-CN"/>
        </w:rPr>
        <w:t>(1)内外部运输</w:t>
      </w:r>
    </w:p>
    <w:p w14:paraId="51E5DE99">
      <w:pPr>
        <w:rPr>
          <w:rFonts w:hint="default"/>
          <w:color w:val="auto"/>
          <w:lang w:val="en-US" w:eastAsia="zh-CN"/>
        </w:rPr>
      </w:pPr>
      <w:r>
        <w:rPr>
          <w:rFonts w:hint="default"/>
          <w:color w:val="auto"/>
          <w:lang w:val="en-US" w:eastAsia="zh-CN"/>
        </w:rPr>
        <w:t>矿山内部运输主要为原矿石转运，年运输量为20万吨，原矿石</w:t>
      </w:r>
      <w:r>
        <w:rPr>
          <w:rFonts w:hint="eastAsia"/>
          <w:color w:val="auto"/>
          <w:lang w:val="en-US" w:eastAsia="zh-CN"/>
        </w:rPr>
        <w:t>拟</w:t>
      </w:r>
      <w:r>
        <w:rPr>
          <w:rFonts w:hint="default"/>
          <w:color w:val="auto"/>
          <w:lang w:val="en-US" w:eastAsia="zh-CN"/>
        </w:rPr>
        <w:t>采用矿用自卸汽车运输</w:t>
      </w:r>
      <w:r>
        <w:rPr>
          <w:rFonts w:hint="eastAsia"/>
          <w:color w:val="auto"/>
          <w:lang w:val="en-US" w:eastAsia="zh-CN"/>
        </w:rPr>
        <w:t>，</w:t>
      </w:r>
      <w:r>
        <w:rPr>
          <w:rFonts w:hint="default"/>
          <w:color w:val="auto"/>
          <w:lang w:val="en-US" w:eastAsia="zh-CN"/>
        </w:rPr>
        <w:t>通过斜坡道运出地表，</w:t>
      </w:r>
      <w:r>
        <w:rPr>
          <w:rFonts w:hint="eastAsia"/>
          <w:color w:val="auto"/>
          <w:lang w:val="en-US" w:eastAsia="zh-CN"/>
        </w:rPr>
        <w:t>拟将</w:t>
      </w:r>
      <w:r>
        <w:rPr>
          <w:rFonts w:hint="default"/>
          <w:color w:val="auto"/>
          <w:lang w:val="en-US" w:eastAsia="zh-CN"/>
        </w:rPr>
        <w:t>采出矿石临时堆存在原矿转运场地，后转公路运输车辆外运。</w:t>
      </w:r>
    </w:p>
    <w:p w14:paraId="7F762078">
      <w:pPr>
        <w:rPr>
          <w:rFonts w:hint="default"/>
          <w:color w:val="auto"/>
          <w:lang w:val="en-US" w:eastAsia="zh-CN"/>
        </w:rPr>
      </w:pPr>
      <w:r>
        <w:rPr>
          <w:rFonts w:hint="eastAsia"/>
          <w:color w:val="auto"/>
          <w:lang w:val="en-US" w:eastAsia="zh-CN"/>
        </w:rPr>
        <w:t>(2)运输设备</w:t>
      </w:r>
    </w:p>
    <w:p w14:paraId="30C2728E">
      <w:pPr>
        <w:rPr>
          <w:rFonts w:hint="default"/>
          <w:color w:val="auto"/>
          <w:lang w:val="en-US" w:eastAsia="zh-CN"/>
        </w:rPr>
      </w:pPr>
      <w:r>
        <w:rPr>
          <w:rFonts w:hint="default"/>
          <w:color w:val="auto"/>
          <w:lang w:val="en-US" w:eastAsia="zh-CN"/>
        </w:rPr>
        <w:t>原矿</w:t>
      </w:r>
      <w:r>
        <w:rPr>
          <w:rFonts w:hint="eastAsia"/>
          <w:color w:val="auto"/>
          <w:lang w:val="en-US" w:eastAsia="zh-CN"/>
        </w:rPr>
        <w:t>的</w:t>
      </w:r>
      <w:r>
        <w:rPr>
          <w:rFonts w:hint="default"/>
          <w:color w:val="auto"/>
          <w:lang w:val="en-US" w:eastAsia="zh-CN"/>
        </w:rPr>
        <w:t>外</w:t>
      </w:r>
      <w:r>
        <w:rPr>
          <w:rFonts w:hint="eastAsia"/>
          <w:color w:val="auto"/>
          <w:lang w:val="en-US" w:eastAsia="zh-CN"/>
        </w:rPr>
        <w:t>部</w:t>
      </w:r>
      <w:r>
        <w:rPr>
          <w:rFonts w:hint="default"/>
          <w:color w:val="auto"/>
          <w:lang w:val="en-US" w:eastAsia="zh-CN"/>
        </w:rPr>
        <w:t>运</w:t>
      </w:r>
      <w:r>
        <w:rPr>
          <w:rFonts w:hint="eastAsia"/>
          <w:color w:val="auto"/>
          <w:lang w:val="en-US" w:eastAsia="zh-CN"/>
        </w:rPr>
        <w:t>输拟</w:t>
      </w:r>
      <w:r>
        <w:rPr>
          <w:rFonts w:hint="default"/>
          <w:color w:val="auto"/>
          <w:lang w:val="en-US" w:eastAsia="zh-CN"/>
        </w:rPr>
        <w:t>由社会车辆承担。矿山</w:t>
      </w:r>
      <w:r>
        <w:rPr>
          <w:rFonts w:hint="eastAsia"/>
          <w:color w:val="auto"/>
          <w:lang w:val="en-US" w:eastAsia="zh-CN"/>
        </w:rPr>
        <w:t>拟</w:t>
      </w:r>
      <w:r>
        <w:rPr>
          <w:rFonts w:hint="default"/>
          <w:color w:val="auto"/>
          <w:lang w:val="en-US" w:eastAsia="zh-CN"/>
        </w:rPr>
        <w:t>自购1辆皮卡用于矿山内部小件材料运输，自购ZL50装载机1台用于矿石装车，自购</w:t>
      </w:r>
      <w:r>
        <w:rPr>
          <w:rFonts w:hint="eastAsia"/>
          <w:color w:val="auto"/>
          <w:lang w:val="en-US" w:eastAsia="zh-CN"/>
        </w:rPr>
        <w:t>3台20t矿用无轨运矿车用于日常内部矿石运输，自购2台20t矿用无轨运矿车备用，</w:t>
      </w:r>
      <w:r>
        <w:rPr>
          <w:rFonts w:hint="default"/>
          <w:color w:val="auto"/>
          <w:lang w:val="en-US" w:eastAsia="zh-CN"/>
        </w:rPr>
        <w:t>设置1台60t数字汽车衡用于进出物料计量。</w:t>
      </w:r>
    </w:p>
    <w:p w14:paraId="3623F01D">
      <w:pPr>
        <w:rPr>
          <w:rFonts w:hint="default"/>
          <w:color w:val="auto"/>
          <w:lang w:val="en-US" w:eastAsia="zh-CN"/>
        </w:rPr>
      </w:pPr>
      <w:r>
        <w:rPr>
          <w:rFonts w:hint="eastAsia"/>
          <w:color w:val="auto"/>
          <w:lang w:val="en-US" w:eastAsia="zh-CN"/>
        </w:rPr>
        <w:t>(3)运输道路</w:t>
      </w:r>
    </w:p>
    <w:p w14:paraId="1C4A0987">
      <w:pPr>
        <w:rPr>
          <w:rFonts w:hint="default"/>
          <w:color w:val="auto"/>
          <w:lang w:val="en-US" w:eastAsia="zh-CN"/>
        </w:rPr>
      </w:pPr>
      <w:r>
        <w:rPr>
          <w:rFonts w:hint="default"/>
          <w:color w:val="auto"/>
          <w:lang w:val="en-US" w:eastAsia="zh-CN"/>
        </w:rPr>
        <w:t>采矿工业场地大部分</w:t>
      </w:r>
      <w:r>
        <w:rPr>
          <w:rFonts w:hint="eastAsia"/>
          <w:color w:val="auto"/>
          <w:lang w:val="en-US" w:eastAsia="zh-CN"/>
        </w:rPr>
        <w:t>拟</w:t>
      </w:r>
      <w:r>
        <w:rPr>
          <w:rFonts w:hint="default"/>
          <w:color w:val="auto"/>
          <w:lang w:val="en-US" w:eastAsia="zh-CN"/>
        </w:rPr>
        <w:t>作原矿临时堆场，使用级配碎石铺筑。在采矿工业场地出入口附近设置道路，修建长度120m</w:t>
      </w:r>
      <w:r>
        <w:rPr>
          <w:rFonts w:hint="eastAsia"/>
          <w:color w:val="auto"/>
          <w:lang w:val="en-US" w:eastAsia="zh-CN"/>
        </w:rPr>
        <w:t>，</w:t>
      </w:r>
      <w:r>
        <w:rPr>
          <w:rFonts w:hint="default"/>
          <w:color w:val="auto"/>
          <w:lang w:val="en-US" w:eastAsia="zh-CN"/>
        </w:rPr>
        <w:t>道路路面宽度4</w:t>
      </w:r>
      <w:r>
        <w:rPr>
          <w:rFonts w:hint="eastAsia"/>
          <w:color w:val="auto"/>
          <w:lang w:val="en-US" w:eastAsia="zh-CN"/>
        </w:rPr>
        <w:t>m</w:t>
      </w:r>
      <w:r>
        <w:rPr>
          <w:rFonts w:hint="default"/>
          <w:color w:val="auto"/>
          <w:lang w:val="en-US" w:eastAsia="zh-CN"/>
        </w:rPr>
        <w:t>，公路型，路面采用水泥混凝土路面(水泥混泥土面层23cm</w:t>
      </w:r>
      <w:r>
        <w:rPr>
          <w:rFonts w:hint="eastAsia"/>
          <w:color w:val="auto"/>
          <w:lang w:val="en-US" w:eastAsia="zh-CN"/>
        </w:rPr>
        <w:t>，</w:t>
      </w:r>
      <w:r>
        <w:rPr>
          <w:rFonts w:hint="default"/>
          <w:color w:val="auto"/>
          <w:lang w:val="en-US" w:eastAsia="zh-CN"/>
        </w:rPr>
        <w:t>级配碎石基层25cm</w:t>
      </w:r>
      <w:r>
        <w:rPr>
          <w:rFonts w:hint="eastAsia"/>
          <w:color w:val="auto"/>
          <w:lang w:val="en-US" w:eastAsia="zh-CN"/>
        </w:rPr>
        <w:t>，</w:t>
      </w:r>
      <w:r>
        <w:rPr>
          <w:rFonts w:hint="default"/>
          <w:color w:val="auto"/>
          <w:lang w:val="en-US" w:eastAsia="zh-CN"/>
        </w:rPr>
        <w:t>天然砂砾垫层15cm)</w:t>
      </w:r>
      <w:r>
        <w:rPr>
          <w:rFonts w:hint="eastAsia"/>
          <w:color w:val="auto"/>
          <w:lang w:val="en-US" w:eastAsia="zh-CN"/>
        </w:rPr>
        <w:t>，</w:t>
      </w:r>
      <w:r>
        <w:rPr>
          <w:rFonts w:hint="default"/>
          <w:color w:val="auto"/>
          <w:lang w:val="en-US" w:eastAsia="zh-CN"/>
        </w:rPr>
        <w:t>荷载等级汽车20级，道路内缘半径15m。采矿工业场地连接外部公路的现有道路长度约150m</w:t>
      </w:r>
      <w:r>
        <w:rPr>
          <w:rFonts w:hint="eastAsia"/>
          <w:color w:val="auto"/>
          <w:lang w:val="en-US" w:eastAsia="zh-CN"/>
        </w:rPr>
        <w:t>，</w:t>
      </w:r>
      <w:r>
        <w:rPr>
          <w:rFonts w:hint="default"/>
          <w:color w:val="auto"/>
          <w:lang w:val="en-US" w:eastAsia="zh-CN"/>
        </w:rPr>
        <w:t>按场地内部道路路面结构做法进行加固。</w:t>
      </w:r>
    </w:p>
    <w:p w14:paraId="7323216E">
      <w:pPr>
        <w:rPr>
          <w:rFonts w:hint="default"/>
          <w:color w:val="auto"/>
          <w:lang w:val="en-US" w:eastAsia="zh-CN"/>
        </w:rPr>
      </w:pPr>
      <w:r>
        <w:rPr>
          <w:rFonts w:hint="default"/>
          <w:color w:val="auto"/>
          <w:lang w:val="en-US" w:eastAsia="zh-CN"/>
        </w:rPr>
        <w:t>场地硬化地坪面积9000m</w:t>
      </w:r>
      <w:r>
        <w:rPr>
          <w:rFonts w:hint="eastAsia"/>
          <w:color w:val="auto"/>
          <w:vertAlign w:val="superscript"/>
          <w:lang w:val="en-US" w:eastAsia="zh-CN"/>
        </w:rPr>
        <w:t>2</w:t>
      </w:r>
      <w:r>
        <w:rPr>
          <w:rFonts w:hint="eastAsia"/>
          <w:color w:val="auto"/>
          <w:lang w:val="en-US" w:eastAsia="zh-CN"/>
        </w:rPr>
        <w:t>，</w:t>
      </w:r>
      <w:r>
        <w:rPr>
          <w:rFonts w:hint="default"/>
          <w:color w:val="auto"/>
          <w:lang w:val="en-US" w:eastAsia="zh-CN"/>
        </w:rPr>
        <w:t>结构做法：15cm级配碎石面层，25cm混铺块碎石基层。</w:t>
      </w:r>
    </w:p>
    <w:p w14:paraId="1DC1CF4F">
      <w:pPr>
        <w:pStyle w:val="4"/>
        <w:rPr>
          <w:rFonts w:hint="eastAsia"/>
          <w:color w:val="auto"/>
        </w:rPr>
      </w:pPr>
      <w:r>
        <w:rPr>
          <w:rFonts w:hint="eastAsia"/>
          <w:color w:val="auto"/>
        </w:rPr>
        <w:t>2.4.</w:t>
      </w:r>
      <w:r>
        <w:rPr>
          <w:rFonts w:hint="eastAsia"/>
          <w:color w:val="auto"/>
          <w:lang w:val="en-US" w:eastAsia="zh-CN"/>
        </w:rPr>
        <w:t>4</w:t>
      </w:r>
      <w:r>
        <w:rPr>
          <w:rFonts w:hint="eastAsia"/>
          <w:color w:val="auto"/>
        </w:rPr>
        <w:t>开采范围</w:t>
      </w:r>
    </w:p>
    <w:p w14:paraId="62885FFD">
      <w:pPr>
        <w:pStyle w:val="5"/>
        <w:bidi w:val="0"/>
        <w:rPr>
          <w:rFonts w:hint="eastAsia"/>
          <w:color w:val="auto"/>
          <w:lang w:val="en-US" w:eastAsia="zh-CN"/>
        </w:rPr>
      </w:pPr>
      <w:r>
        <w:rPr>
          <w:rFonts w:hint="eastAsia"/>
          <w:color w:val="auto"/>
          <w:lang w:val="en-US" w:eastAsia="zh-CN"/>
        </w:rPr>
        <w:t>2.4.4.1开采对象</w:t>
      </w:r>
    </w:p>
    <w:p w14:paraId="20A82E11">
      <w:pPr>
        <w:rPr>
          <w:rFonts w:hint="default"/>
          <w:color w:val="auto"/>
          <w:lang w:val="en-US" w:eastAsia="zh-CN"/>
        </w:rPr>
      </w:pPr>
      <w:r>
        <w:rPr>
          <w:rFonts w:hint="default"/>
          <w:color w:val="auto"/>
          <w:lang w:val="en-US" w:eastAsia="zh-CN"/>
        </w:rPr>
        <w:t>李家庄方解石矿矿区范围内共圈定1条矿体，编号为K</w:t>
      </w:r>
      <w:r>
        <w:rPr>
          <w:rFonts w:hint="eastAsia"/>
          <w:color w:val="auto"/>
          <w:lang w:val="en-US" w:eastAsia="zh-CN"/>
        </w:rPr>
        <w:t>1，</w:t>
      </w:r>
      <w:r>
        <w:rPr>
          <w:rFonts w:hint="default"/>
          <w:color w:val="auto"/>
          <w:lang w:val="en-US" w:eastAsia="zh-CN"/>
        </w:rPr>
        <w:t>开采对象</w:t>
      </w:r>
      <w:r>
        <w:rPr>
          <w:rFonts w:hint="eastAsia"/>
          <w:color w:val="auto"/>
          <w:lang w:val="en-US" w:eastAsia="zh-CN"/>
        </w:rPr>
        <w:t>为</w:t>
      </w:r>
      <w:r>
        <w:rPr>
          <w:rFonts w:hint="default"/>
          <w:color w:val="auto"/>
          <w:lang w:val="en-US" w:eastAsia="zh-CN"/>
        </w:rPr>
        <w:t>K</w:t>
      </w:r>
      <w:r>
        <w:rPr>
          <w:rFonts w:hint="eastAsia"/>
          <w:color w:val="auto"/>
          <w:lang w:val="en-US" w:eastAsia="zh-CN"/>
        </w:rPr>
        <w:t>1</w:t>
      </w:r>
      <w:r>
        <w:rPr>
          <w:rFonts w:hint="default"/>
          <w:color w:val="auto"/>
          <w:lang w:val="en-US" w:eastAsia="zh-CN"/>
        </w:rPr>
        <w:t>矿体。</w:t>
      </w:r>
    </w:p>
    <w:p w14:paraId="27CF95AD">
      <w:pPr>
        <w:pStyle w:val="5"/>
        <w:bidi w:val="0"/>
        <w:rPr>
          <w:rFonts w:hint="eastAsia"/>
          <w:color w:val="auto"/>
          <w:lang w:val="en-US" w:eastAsia="zh-CN"/>
        </w:rPr>
      </w:pPr>
      <w:r>
        <w:rPr>
          <w:rFonts w:hint="eastAsia"/>
          <w:color w:val="auto"/>
          <w:lang w:val="en-US" w:eastAsia="zh-CN"/>
        </w:rPr>
        <w:t>2.4.4.2</w:t>
      </w:r>
      <w:r>
        <w:rPr>
          <w:rFonts w:hint="default"/>
          <w:color w:val="auto"/>
          <w:lang w:val="en-US" w:eastAsia="zh-CN"/>
        </w:rPr>
        <w:t>开采</w:t>
      </w:r>
      <w:r>
        <w:rPr>
          <w:rFonts w:hint="eastAsia"/>
          <w:color w:val="auto"/>
          <w:lang w:val="en-US" w:eastAsia="zh-CN"/>
        </w:rPr>
        <w:t>范围</w:t>
      </w:r>
    </w:p>
    <w:p w14:paraId="6EB78F96">
      <w:pPr>
        <w:rPr>
          <w:rFonts w:hint="default"/>
          <w:color w:val="auto"/>
          <w:lang w:val="en-US" w:eastAsia="zh-CN"/>
        </w:rPr>
      </w:pPr>
      <w:r>
        <w:rPr>
          <w:rFonts w:hint="default"/>
          <w:color w:val="auto"/>
          <w:lang w:val="en-US" w:eastAsia="zh-CN"/>
        </w:rPr>
        <w:t>矿山开采范围为采矿证许可范围，采矿证许可范围由6个坐标拐点圈定，面积0.34km²</w:t>
      </w:r>
      <w:r>
        <w:rPr>
          <w:rFonts w:hint="eastAsia"/>
          <w:color w:val="auto"/>
          <w:lang w:val="en-US" w:eastAsia="zh-CN"/>
        </w:rPr>
        <w:t>，</w:t>
      </w:r>
      <w:r>
        <w:rPr>
          <w:rFonts w:hint="default"/>
          <w:color w:val="auto"/>
          <w:lang w:val="en-US" w:eastAsia="zh-CN"/>
        </w:rPr>
        <w:t>开采标高为1325m</w:t>
      </w:r>
      <w:r>
        <w:rPr>
          <w:rFonts w:hint="eastAsia" w:ascii="宋体" w:hAnsi="宋体" w:eastAsia="宋体" w:cs="宋体"/>
          <w:color w:val="auto"/>
          <w:lang w:val="en-US" w:eastAsia="zh-CN"/>
        </w:rPr>
        <w:t>～</w:t>
      </w:r>
      <w:r>
        <w:rPr>
          <w:rFonts w:hint="default"/>
          <w:color w:val="auto"/>
          <w:lang w:val="en-US" w:eastAsia="zh-CN"/>
        </w:rPr>
        <w:t>1230m。</w:t>
      </w:r>
    </w:p>
    <w:p w14:paraId="257AF56A">
      <w:pPr>
        <w:pStyle w:val="5"/>
        <w:bidi w:val="0"/>
        <w:rPr>
          <w:rFonts w:hint="default"/>
          <w:color w:val="auto"/>
          <w:lang w:val="en-US" w:eastAsia="zh-CN"/>
        </w:rPr>
      </w:pPr>
      <w:r>
        <w:rPr>
          <w:rFonts w:hint="eastAsia"/>
          <w:color w:val="auto"/>
          <w:lang w:val="en-US" w:eastAsia="zh-CN"/>
        </w:rPr>
        <w:t>2.4.4.3</w:t>
      </w:r>
      <w:r>
        <w:rPr>
          <w:rFonts w:hint="default"/>
          <w:color w:val="auto"/>
          <w:lang w:val="en-US" w:eastAsia="zh-CN"/>
        </w:rPr>
        <w:t>矿区开采顺序</w:t>
      </w:r>
    </w:p>
    <w:p w14:paraId="1987919A">
      <w:pPr>
        <w:rPr>
          <w:rFonts w:hint="default"/>
          <w:color w:val="auto"/>
          <w:lang w:val="en-US" w:eastAsia="zh-CN"/>
        </w:rPr>
      </w:pPr>
      <w:r>
        <w:rPr>
          <w:rFonts w:hint="eastAsia"/>
          <w:color w:val="auto"/>
          <w:lang w:val="en-US" w:eastAsia="zh-CN"/>
        </w:rPr>
        <w:t>矿山拟</w:t>
      </w:r>
      <w:r>
        <w:rPr>
          <w:rFonts w:hint="default"/>
          <w:color w:val="auto"/>
          <w:lang w:val="en-US" w:eastAsia="zh-CN"/>
        </w:rPr>
        <w:t>采用平硐-斜坡道开拓，无轨运输方案。</w:t>
      </w:r>
    </w:p>
    <w:p w14:paraId="7A470205">
      <w:pPr>
        <w:rPr>
          <w:rFonts w:hint="default"/>
          <w:color w:val="auto"/>
          <w:lang w:val="en-US" w:eastAsia="zh-CN"/>
        </w:rPr>
      </w:pPr>
      <w:r>
        <w:rPr>
          <w:rFonts w:hint="default"/>
          <w:color w:val="auto"/>
          <w:lang w:val="en-US" w:eastAsia="zh-CN"/>
        </w:rPr>
        <w:t>矿山</w:t>
      </w:r>
      <w:r>
        <w:rPr>
          <w:rFonts w:hint="eastAsia"/>
          <w:color w:val="auto"/>
          <w:lang w:val="en-US" w:eastAsia="zh-CN"/>
        </w:rPr>
        <w:t>拟</w:t>
      </w:r>
      <w:r>
        <w:rPr>
          <w:rFonts w:hint="default"/>
          <w:color w:val="auto"/>
          <w:lang w:val="en-US" w:eastAsia="zh-CN"/>
        </w:rPr>
        <w:t>采用自上而下的开采顺序，</w:t>
      </w:r>
      <w:r>
        <w:rPr>
          <w:rFonts w:hint="eastAsia"/>
          <w:color w:val="auto"/>
          <w:lang w:val="en-US" w:eastAsia="zh-CN"/>
        </w:rPr>
        <w:t>逐</w:t>
      </w:r>
      <w:r>
        <w:rPr>
          <w:rFonts w:hint="default"/>
          <w:color w:val="auto"/>
          <w:lang w:val="en-US" w:eastAsia="zh-CN"/>
        </w:rPr>
        <w:t>中段回采</w:t>
      </w:r>
      <w:r>
        <w:rPr>
          <w:rFonts w:hint="eastAsia"/>
          <w:color w:val="auto"/>
          <w:lang w:val="en-US" w:eastAsia="zh-CN"/>
        </w:rPr>
        <w:t>，</w:t>
      </w:r>
      <w:r>
        <w:rPr>
          <w:rFonts w:hint="default"/>
          <w:color w:val="auto"/>
          <w:lang w:val="en-US" w:eastAsia="zh-CN"/>
        </w:rPr>
        <w:t>中段内采用自回风井至斜坡道后退式回采。</w:t>
      </w:r>
    </w:p>
    <w:p w14:paraId="0F46EA68">
      <w:pPr>
        <w:pStyle w:val="4"/>
        <w:rPr>
          <w:rFonts w:hint="eastAsia"/>
          <w:color w:val="auto"/>
        </w:rPr>
      </w:pPr>
      <w:r>
        <w:rPr>
          <w:rFonts w:hint="eastAsia"/>
          <w:color w:val="auto"/>
        </w:rPr>
        <w:t>2.4.</w:t>
      </w:r>
      <w:r>
        <w:rPr>
          <w:rFonts w:hint="eastAsia"/>
          <w:color w:val="auto"/>
          <w:lang w:val="en-US" w:eastAsia="zh-CN"/>
        </w:rPr>
        <w:t>5</w:t>
      </w:r>
      <w:r>
        <w:rPr>
          <w:rFonts w:hint="eastAsia"/>
          <w:color w:val="auto"/>
        </w:rPr>
        <w:t>开拓运输系统</w:t>
      </w:r>
    </w:p>
    <w:p w14:paraId="08DBBD13">
      <w:pPr>
        <w:pStyle w:val="5"/>
        <w:bidi w:val="0"/>
        <w:rPr>
          <w:color w:val="auto"/>
        </w:rPr>
      </w:pPr>
      <w:r>
        <w:rPr>
          <w:rFonts w:hint="eastAsia"/>
          <w:color w:val="auto"/>
          <w:lang w:val="en-US" w:eastAsia="zh-CN"/>
        </w:rPr>
        <w:t>2.4.5.1</w:t>
      </w:r>
      <w:r>
        <w:rPr>
          <w:rFonts w:hint="eastAsia"/>
          <w:color w:val="auto"/>
        </w:rPr>
        <w:t>岩体移动范围</w:t>
      </w:r>
    </w:p>
    <w:p w14:paraId="3713C1F1">
      <w:pPr>
        <w:pStyle w:val="55"/>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宋体"/>
          <w:b w:val="0"/>
          <w:bCs w:val="0"/>
          <w:color w:val="auto"/>
          <w:kern w:val="2"/>
          <w:sz w:val="28"/>
          <w:szCs w:val="22"/>
          <w:lang w:val="en-US" w:eastAsia="zh-CN" w:bidi="ar-SA"/>
        </w:rPr>
      </w:pPr>
      <w:r>
        <w:rPr>
          <w:rFonts w:hint="eastAsia" w:ascii="宋体" w:hAnsi="宋体" w:eastAsia="宋体" w:cs="宋体"/>
          <w:b w:val="0"/>
          <w:bCs w:val="0"/>
          <w:color w:val="auto"/>
          <w:kern w:val="2"/>
          <w:sz w:val="28"/>
          <w:szCs w:val="22"/>
          <w:lang w:val="en-US" w:eastAsia="zh-CN" w:bidi="ar-SA"/>
        </w:rPr>
        <w:t>综合考虑岩层倾角与矿体倾角的关系、环境地质及工程地质条件等因素，类比同类型地下开采矿山，确定移动角为：上盘65°，下盘65°，端部70°。据此圈定出矿床开采时地表岩石移动范围。</w:t>
      </w:r>
    </w:p>
    <w:p w14:paraId="7FE34CED">
      <w:pPr>
        <w:pStyle w:val="5"/>
        <w:bidi w:val="0"/>
        <w:rPr>
          <w:rFonts w:hint="eastAsia"/>
          <w:color w:val="auto"/>
          <w:lang w:val="en-US" w:eastAsia="zh-CN"/>
        </w:rPr>
      </w:pPr>
      <w:r>
        <w:rPr>
          <w:rFonts w:hint="eastAsia"/>
          <w:color w:val="auto"/>
          <w:lang w:val="en-US" w:eastAsia="zh-CN"/>
        </w:rPr>
        <w:t>2.4.5.2中段高度</w:t>
      </w:r>
    </w:p>
    <w:p w14:paraId="27544952">
      <w:pPr>
        <w:pStyle w:val="55"/>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宋体"/>
          <w:b w:val="0"/>
          <w:bCs w:val="0"/>
          <w:color w:val="auto"/>
          <w:kern w:val="2"/>
          <w:sz w:val="28"/>
          <w:szCs w:val="22"/>
          <w:lang w:val="en-US" w:eastAsia="zh-CN" w:bidi="ar-SA"/>
        </w:rPr>
      </w:pPr>
      <w:r>
        <w:rPr>
          <w:rFonts w:hint="eastAsia" w:ascii="宋体" w:hAnsi="宋体" w:eastAsia="宋体" w:cs="宋体"/>
          <w:b w:val="0"/>
          <w:bCs w:val="0"/>
          <w:color w:val="auto"/>
          <w:kern w:val="2"/>
          <w:sz w:val="28"/>
          <w:szCs w:val="22"/>
          <w:lang w:val="en-US" w:eastAsia="zh-CN" w:bidi="ar-SA"/>
        </w:rPr>
        <w:t>该矿体离地表较近，根据矿体的开采技术条件以及选用的采矿方法，矿山拟采用中段高度为15～20m。</w:t>
      </w:r>
    </w:p>
    <w:p w14:paraId="72EBA04F">
      <w:pPr>
        <w:pStyle w:val="5"/>
        <w:bidi w:val="0"/>
        <w:rPr>
          <w:rFonts w:hint="eastAsia"/>
          <w:color w:val="auto"/>
          <w:lang w:val="en-US" w:eastAsia="zh-CN"/>
        </w:rPr>
      </w:pPr>
      <w:r>
        <w:rPr>
          <w:rFonts w:hint="eastAsia"/>
          <w:color w:val="auto"/>
          <w:lang w:val="en-US" w:eastAsia="zh-CN"/>
        </w:rPr>
        <w:t>2.4.5.3开拓运输方式</w:t>
      </w:r>
    </w:p>
    <w:p w14:paraId="28F0314A">
      <w:pPr>
        <w:pStyle w:val="55"/>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宋体"/>
          <w:b w:val="0"/>
          <w:bCs w:val="0"/>
          <w:color w:val="auto"/>
          <w:kern w:val="2"/>
          <w:sz w:val="28"/>
          <w:szCs w:val="22"/>
          <w:lang w:val="en-US" w:eastAsia="zh-CN" w:bidi="ar-SA"/>
        </w:rPr>
      </w:pPr>
      <w:r>
        <w:rPr>
          <w:rFonts w:hint="eastAsia" w:ascii="宋体" w:hAnsi="宋体" w:eastAsia="宋体" w:cs="宋体"/>
          <w:b w:val="0"/>
          <w:bCs w:val="0"/>
          <w:color w:val="auto"/>
          <w:kern w:val="2"/>
          <w:sz w:val="28"/>
          <w:szCs w:val="22"/>
          <w:lang w:val="en-US" w:eastAsia="zh-CN" w:bidi="ar-SA"/>
        </w:rPr>
        <w:t>矿山拟采用平硐开拓系统，自上而下布置1305m、1290m、1270m、1250m、1230m共计5个中段，1230m平硐是主平硐，1305m平硐是回风平硐</w:t>
      </w:r>
      <w:r>
        <w:rPr>
          <w:rFonts w:hint="eastAsia"/>
          <w:color w:val="auto"/>
          <w:lang w:val="en-US" w:eastAsia="zh-CN"/>
        </w:rPr>
        <w:t>。</w:t>
      </w:r>
      <w:r>
        <w:rPr>
          <w:rFonts w:hint="eastAsia" w:ascii="宋体" w:hAnsi="宋体" w:eastAsia="宋体" w:cs="宋体"/>
          <w:b w:val="0"/>
          <w:bCs w:val="0"/>
          <w:color w:val="auto"/>
          <w:kern w:val="2"/>
          <w:sz w:val="28"/>
          <w:szCs w:val="22"/>
          <w:lang w:val="en-US" w:eastAsia="zh-CN" w:bidi="ar-SA"/>
        </w:rPr>
        <w:t>各中段平巷之间通过盲斜坡道连接。1305m回风中段直通地表，其余各个中段通过端部回风井相连，形成完整的开拓系统。</w:t>
      </w:r>
    </w:p>
    <w:p w14:paraId="4ACA7A6C">
      <w:pPr>
        <w:pStyle w:val="55"/>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宋体"/>
          <w:b w:val="0"/>
          <w:bCs w:val="0"/>
          <w:color w:val="auto"/>
          <w:kern w:val="2"/>
          <w:sz w:val="28"/>
          <w:szCs w:val="22"/>
          <w:lang w:val="en-US" w:eastAsia="zh-CN" w:bidi="ar-SA"/>
        </w:rPr>
      </w:pPr>
      <w:r>
        <w:rPr>
          <w:rFonts w:hint="eastAsia" w:ascii="宋体" w:hAnsi="宋体" w:eastAsia="宋体" w:cs="宋体"/>
          <w:b w:val="0"/>
          <w:bCs w:val="0"/>
          <w:color w:val="auto"/>
          <w:kern w:val="2"/>
          <w:sz w:val="28"/>
          <w:szCs w:val="22"/>
          <w:lang w:val="en-US" w:eastAsia="zh-CN" w:bidi="ar-SA"/>
        </w:rPr>
        <w:t>在1230m平硐内沿矿体外矿权内端部向上掘进螺旋式斜坡道直达1305m中段，形成矿井两个安全出口。斜坡道入口布置在2#勘探线北附近。主斜坡道坡度为10%，每隔200m设置一个错车道与缓坡段。</w:t>
      </w:r>
    </w:p>
    <w:p w14:paraId="229DADD1">
      <w:pPr>
        <w:pStyle w:val="55"/>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宋体"/>
          <w:b w:val="0"/>
          <w:bCs w:val="0"/>
          <w:color w:val="auto"/>
          <w:kern w:val="2"/>
          <w:sz w:val="28"/>
          <w:szCs w:val="22"/>
          <w:lang w:val="en-US" w:eastAsia="zh-CN" w:bidi="ar-SA"/>
        </w:rPr>
      </w:pPr>
      <w:r>
        <w:rPr>
          <w:rFonts w:hint="eastAsia" w:ascii="宋体" w:hAnsi="宋体" w:eastAsia="宋体" w:cs="宋体"/>
          <w:b w:val="0"/>
          <w:bCs w:val="0"/>
          <w:color w:val="auto"/>
          <w:kern w:val="2"/>
          <w:sz w:val="28"/>
          <w:szCs w:val="22"/>
          <w:lang w:val="en-US" w:eastAsia="zh-CN" w:bidi="ar-SA"/>
        </w:rPr>
        <w:t>井下矿石与废石拟采用具有矿安标志的20t矿用汽车运输。矿山不设专用废石堆场，矿石与废石通过斜坡道直接运至主平硐口东侧场地临时堆存后外运。</w:t>
      </w:r>
    </w:p>
    <w:p w14:paraId="7A502781">
      <w:pPr>
        <w:pStyle w:val="5"/>
        <w:bidi w:val="0"/>
        <w:rPr>
          <w:rFonts w:hint="eastAsia"/>
          <w:color w:val="auto"/>
          <w:lang w:val="en-US" w:eastAsia="zh-CN"/>
        </w:rPr>
      </w:pPr>
      <w:r>
        <w:rPr>
          <w:rFonts w:hint="eastAsia"/>
          <w:color w:val="auto"/>
          <w:lang w:val="en-US" w:eastAsia="zh-CN"/>
        </w:rPr>
        <w:t>2.4.5.4井下运输</w:t>
      </w:r>
    </w:p>
    <w:p w14:paraId="1C2898CC">
      <w:pPr>
        <w:rPr>
          <w:rFonts w:hint="eastAsia"/>
          <w:color w:val="auto"/>
          <w:lang w:val="en-US" w:eastAsia="zh-CN"/>
        </w:rPr>
      </w:pPr>
      <w:r>
        <w:rPr>
          <w:rFonts w:hint="eastAsia"/>
          <w:color w:val="auto"/>
          <w:lang w:val="en-US" w:eastAsia="zh-CN"/>
        </w:rPr>
        <w:t>井下拟采用无轨运输方式，坑内采下矿石及废石采用铲运机装矿，采用2台20t矿用汽车运输，并另外有1台矿用汽车备用。</w:t>
      </w:r>
    </w:p>
    <w:p w14:paraId="23FB1245">
      <w:pPr>
        <w:rPr>
          <w:rFonts w:hint="eastAsia"/>
          <w:color w:val="auto"/>
          <w:lang w:val="en-US" w:eastAsia="zh-CN"/>
        </w:rPr>
      </w:pPr>
      <w:r>
        <w:rPr>
          <w:rFonts w:hint="eastAsia"/>
          <w:color w:val="auto"/>
          <w:lang w:val="en-US" w:eastAsia="zh-CN"/>
        </w:rPr>
        <w:t>线路坡度：斜坡道为10%；线路最小转弯半径：15m。</w:t>
      </w:r>
    </w:p>
    <w:p w14:paraId="251472A4">
      <w:pPr>
        <w:pStyle w:val="5"/>
        <w:bidi w:val="0"/>
        <w:rPr>
          <w:rFonts w:hint="eastAsia"/>
          <w:color w:val="auto"/>
          <w:lang w:val="en-US" w:eastAsia="zh-CN"/>
        </w:rPr>
      </w:pPr>
      <w:r>
        <w:rPr>
          <w:rFonts w:hint="eastAsia"/>
          <w:color w:val="auto"/>
          <w:lang w:val="en-US" w:eastAsia="zh-CN"/>
        </w:rPr>
        <w:t>2.4.5.5井巷工程</w:t>
      </w:r>
    </w:p>
    <w:p w14:paraId="7801184F">
      <w:pPr>
        <w:rPr>
          <w:rFonts w:hint="default"/>
          <w:color w:val="auto"/>
          <w:lang w:val="en-US" w:eastAsia="zh-CN"/>
        </w:rPr>
      </w:pPr>
      <w:r>
        <w:rPr>
          <w:rFonts w:hint="default"/>
          <w:color w:val="auto"/>
          <w:lang w:val="en-US" w:eastAsia="zh-CN"/>
        </w:rPr>
        <w:t>矿山井巷工程主要包括主运输斜坡道、1305m</w:t>
      </w:r>
      <w:r>
        <w:rPr>
          <w:rFonts w:hint="eastAsia"/>
          <w:color w:val="auto"/>
          <w:lang w:val="en-US" w:eastAsia="zh-CN"/>
        </w:rPr>
        <w:t>回风</w:t>
      </w:r>
      <w:r>
        <w:rPr>
          <w:rFonts w:hint="default"/>
          <w:color w:val="auto"/>
          <w:lang w:val="en-US" w:eastAsia="zh-CN"/>
        </w:rPr>
        <w:t>中段、回风联络道、1290m中段、变电硐室、通风机硐室及其它硐室等。</w:t>
      </w:r>
    </w:p>
    <w:p w14:paraId="68E8A9A9">
      <w:pPr>
        <w:rPr>
          <w:rFonts w:hint="default"/>
          <w:color w:val="auto"/>
          <w:lang w:val="en-US" w:eastAsia="zh-CN"/>
        </w:rPr>
      </w:pPr>
      <w:r>
        <w:rPr>
          <w:rFonts w:hint="eastAsia"/>
          <w:color w:val="auto"/>
          <w:lang w:val="en-US" w:eastAsia="zh-CN"/>
        </w:rPr>
        <w:t>(1)</w:t>
      </w:r>
      <w:r>
        <w:rPr>
          <w:rFonts w:hint="default"/>
          <w:color w:val="auto"/>
          <w:lang w:val="en-US" w:eastAsia="zh-CN"/>
        </w:rPr>
        <w:t>主运输斜坡道</w:t>
      </w:r>
    </w:p>
    <w:p w14:paraId="30DFA5D1">
      <w:pPr>
        <w:rPr>
          <w:rFonts w:hint="default"/>
          <w:color w:val="auto"/>
          <w:lang w:val="en-US" w:eastAsia="zh-CN"/>
        </w:rPr>
      </w:pPr>
      <w:r>
        <w:rPr>
          <w:rFonts w:hint="default"/>
          <w:color w:val="auto"/>
          <w:lang w:val="en-US" w:eastAsia="zh-CN"/>
        </w:rPr>
        <w:t>主运输斜坡道为无轨斜坡道，</w:t>
      </w:r>
      <w:r>
        <w:rPr>
          <w:rFonts w:hint="eastAsia"/>
          <w:color w:val="auto"/>
          <w:lang w:val="en-US" w:eastAsia="zh-CN"/>
        </w:rPr>
        <w:t>三心拱</w:t>
      </w:r>
      <w:r>
        <w:rPr>
          <w:rFonts w:hint="default"/>
          <w:color w:val="auto"/>
          <w:lang w:val="en-US" w:eastAsia="zh-CN"/>
        </w:rPr>
        <w:t>断面，规格</w:t>
      </w:r>
      <w:r>
        <w:rPr>
          <w:rFonts w:hint="eastAsia"/>
          <w:color w:val="auto"/>
          <w:lang w:val="en-US" w:eastAsia="zh-CN"/>
        </w:rPr>
        <w:t>拟</w:t>
      </w:r>
      <w:r>
        <w:rPr>
          <w:rFonts w:hint="default"/>
          <w:color w:val="auto"/>
          <w:lang w:val="en-US" w:eastAsia="zh-CN"/>
        </w:rPr>
        <w:t>为宽×高=5m×4.5m</w:t>
      </w:r>
      <w:r>
        <w:rPr>
          <w:rFonts w:hint="eastAsia"/>
          <w:color w:val="auto"/>
          <w:lang w:val="en-US" w:eastAsia="zh-CN"/>
        </w:rPr>
        <w:t>，</w:t>
      </w:r>
      <w:r>
        <w:rPr>
          <w:rFonts w:hint="default"/>
          <w:color w:val="auto"/>
          <w:lang w:val="en-US" w:eastAsia="zh-CN"/>
        </w:rPr>
        <w:t>净断面20.03m</w:t>
      </w:r>
      <w:r>
        <w:rPr>
          <w:rFonts w:hint="eastAsia"/>
          <w:color w:val="auto"/>
          <w:vertAlign w:val="superscript"/>
          <w:lang w:val="en-US" w:eastAsia="zh-CN"/>
        </w:rPr>
        <w:t>2</w:t>
      </w:r>
      <w:r>
        <w:rPr>
          <w:rFonts w:hint="default"/>
          <w:color w:val="auto"/>
          <w:lang w:val="en-US" w:eastAsia="zh-CN"/>
        </w:rPr>
        <w:t>。坡度为10%</w:t>
      </w:r>
      <w:r>
        <w:rPr>
          <w:rFonts w:hint="eastAsia"/>
          <w:color w:val="auto"/>
          <w:lang w:val="en-US" w:eastAsia="zh-CN"/>
        </w:rPr>
        <w:t>，</w:t>
      </w:r>
      <w:r>
        <w:rPr>
          <w:rFonts w:hint="default"/>
          <w:color w:val="auto"/>
          <w:lang w:val="en-US" w:eastAsia="zh-CN"/>
        </w:rPr>
        <w:t>垂高75m</w:t>
      </w:r>
      <w:r>
        <w:rPr>
          <w:rFonts w:hint="eastAsia"/>
          <w:color w:val="auto"/>
          <w:lang w:val="en-US" w:eastAsia="zh-CN"/>
        </w:rPr>
        <w:t>，</w:t>
      </w:r>
      <w:r>
        <w:rPr>
          <w:rFonts w:hint="default"/>
          <w:color w:val="auto"/>
          <w:lang w:val="en-US" w:eastAsia="zh-CN"/>
        </w:rPr>
        <w:t>总长910m(含转弯平坡段)。</w:t>
      </w:r>
    </w:p>
    <w:p w14:paraId="53BABA55">
      <w:pPr>
        <w:rPr>
          <w:rFonts w:hint="default"/>
          <w:color w:val="auto"/>
          <w:lang w:val="en-US" w:eastAsia="zh-CN"/>
        </w:rPr>
      </w:pPr>
      <w:r>
        <w:rPr>
          <w:rFonts w:hint="default"/>
          <w:color w:val="auto"/>
          <w:lang w:val="en-US" w:eastAsia="zh-CN"/>
        </w:rPr>
        <w:t>硐口段</w:t>
      </w:r>
      <w:r>
        <w:rPr>
          <w:rFonts w:hint="eastAsia"/>
          <w:color w:val="auto"/>
          <w:lang w:val="en-US" w:eastAsia="zh-CN"/>
        </w:rPr>
        <w:t>拟</w:t>
      </w:r>
      <w:r>
        <w:rPr>
          <w:rFonts w:hint="default"/>
          <w:color w:val="auto"/>
          <w:lang w:val="en-US" w:eastAsia="zh-CN"/>
        </w:rPr>
        <w:t>采用钢筋混凝土支护，支护厚度300mm</w:t>
      </w:r>
      <w:r>
        <w:rPr>
          <w:rFonts w:hint="eastAsia"/>
          <w:color w:val="auto"/>
          <w:lang w:val="en-US" w:eastAsia="zh-CN"/>
        </w:rPr>
        <w:t>，</w:t>
      </w:r>
      <w:r>
        <w:rPr>
          <w:rFonts w:hint="default"/>
          <w:color w:val="auto"/>
          <w:lang w:val="en-US" w:eastAsia="zh-CN"/>
        </w:rPr>
        <w:t>混凝土强度C25。</w:t>
      </w:r>
    </w:p>
    <w:p w14:paraId="2C91F704">
      <w:pPr>
        <w:rPr>
          <w:rFonts w:hint="default"/>
          <w:color w:val="auto"/>
          <w:lang w:val="en-US" w:eastAsia="zh-CN"/>
        </w:rPr>
      </w:pPr>
      <w:r>
        <w:rPr>
          <w:rFonts w:hint="default"/>
          <w:color w:val="auto"/>
          <w:lang w:val="en-US" w:eastAsia="zh-CN"/>
        </w:rPr>
        <w:t>其余段</w:t>
      </w:r>
      <w:r>
        <w:rPr>
          <w:rFonts w:hint="eastAsia"/>
          <w:color w:val="auto"/>
          <w:lang w:val="en-US" w:eastAsia="zh-CN"/>
        </w:rPr>
        <w:t>拟</w:t>
      </w:r>
      <w:r>
        <w:rPr>
          <w:rFonts w:hint="default"/>
          <w:color w:val="auto"/>
          <w:lang w:val="en-US" w:eastAsia="zh-CN"/>
        </w:rPr>
        <w:t>采用三种支护形式</w:t>
      </w:r>
      <w:r>
        <w:rPr>
          <w:rFonts w:hint="eastAsia"/>
          <w:color w:val="auto"/>
          <w:lang w:val="en-US" w:eastAsia="zh-CN"/>
        </w:rPr>
        <w:t>：</w:t>
      </w:r>
      <w:r>
        <w:rPr>
          <w:rFonts w:hint="default"/>
          <w:color w:val="auto"/>
          <w:lang w:val="en-US" w:eastAsia="zh-CN"/>
        </w:rPr>
        <w:t>围岩相对破碎地段采用喷砼支护，支护厚度50mm</w:t>
      </w:r>
      <w:r>
        <w:rPr>
          <w:rFonts w:hint="eastAsia"/>
          <w:color w:val="auto"/>
          <w:lang w:val="en-US" w:eastAsia="zh-CN"/>
        </w:rPr>
        <w:t>，</w:t>
      </w:r>
      <w:r>
        <w:rPr>
          <w:rFonts w:hint="default"/>
          <w:color w:val="auto"/>
          <w:lang w:val="en-US" w:eastAsia="zh-CN"/>
        </w:rPr>
        <w:t>混凝土强度C25</w:t>
      </w:r>
      <w:r>
        <w:rPr>
          <w:rFonts w:hint="eastAsia"/>
          <w:color w:val="auto"/>
          <w:lang w:val="en-US" w:eastAsia="zh-CN"/>
        </w:rPr>
        <w:t>。</w:t>
      </w:r>
      <w:r>
        <w:rPr>
          <w:rFonts w:hint="default"/>
          <w:color w:val="auto"/>
          <w:lang w:val="en-US" w:eastAsia="zh-CN"/>
        </w:rPr>
        <w:t>围岩不稳固地段采用喷锚网支护，支护厚度100mm</w:t>
      </w:r>
      <w:r>
        <w:rPr>
          <w:rFonts w:hint="eastAsia"/>
          <w:color w:val="auto"/>
          <w:lang w:val="en-US" w:eastAsia="zh-CN"/>
        </w:rPr>
        <w:t>，</w:t>
      </w:r>
      <w:r>
        <w:rPr>
          <w:rFonts w:hint="default"/>
          <w:color w:val="auto"/>
          <w:lang w:val="en-US" w:eastAsia="zh-CN"/>
        </w:rPr>
        <w:t>混凝土强度C25</w:t>
      </w:r>
      <w:r>
        <w:rPr>
          <w:rFonts w:hint="eastAsia"/>
          <w:color w:val="auto"/>
          <w:lang w:val="en-US" w:eastAsia="zh-CN"/>
        </w:rPr>
        <w:t>；</w:t>
      </w:r>
      <w:r>
        <w:rPr>
          <w:rFonts w:hint="default"/>
          <w:color w:val="auto"/>
          <w:lang w:val="en-US" w:eastAsia="zh-CN"/>
        </w:rPr>
        <w:t>锚杆采用水泥砂浆锚杆，锚杆规格ø20</w:t>
      </w:r>
      <w:r>
        <w:rPr>
          <w:rFonts w:hint="eastAsia"/>
          <w:color w:val="auto"/>
          <w:lang w:val="en-US" w:eastAsia="zh-CN"/>
        </w:rPr>
        <w:t>，</w:t>
      </w:r>
      <w:r>
        <w:rPr>
          <w:rFonts w:hint="default"/>
          <w:color w:val="auto"/>
          <w:lang w:val="en-US" w:eastAsia="zh-CN"/>
        </w:rPr>
        <w:t>长2.0m</w:t>
      </w:r>
      <w:r>
        <w:rPr>
          <w:rFonts w:hint="eastAsia"/>
          <w:color w:val="auto"/>
          <w:lang w:val="en-US" w:eastAsia="zh-CN"/>
        </w:rPr>
        <w:t>，</w:t>
      </w:r>
      <w:r>
        <w:rPr>
          <w:rFonts w:hint="default"/>
          <w:color w:val="auto"/>
          <w:lang w:val="en-US" w:eastAsia="zh-CN"/>
        </w:rPr>
        <w:t>锚杆间距1.0m</w:t>
      </w:r>
      <w:r>
        <w:rPr>
          <w:rFonts w:hint="eastAsia"/>
          <w:color w:val="auto"/>
          <w:lang w:val="en-US" w:eastAsia="zh-CN"/>
        </w:rPr>
        <w:t>，</w:t>
      </w:r>
      <w:r>
        <w:rPr>
          <w:rFonts w:hint="default"/>
          <w:color w:val="auto"/>
          <w:lang w:val="en-US" w:eastAsia="zh-CN"/>
        </w:rPr>
        <w:t>排距1.0m</w:t>
      </w:r>
      <w:r>
        <w:rPr>
          <w:rFonts w:hint="eastAsia"/>
          <w:color w:val="auto"/>
          <w:lang w:val="en-US" w:eastAsia="zh-CN"/>
        </w:rPr>
        <w:t>，</w:t>
      </w:r>
      <w:r>
        <w:rPr>
          <w:rFonts w:hint="default"/>
          <w:color w:val="auto"/>
          <w:lang w:val="en-US" w:eastAsia="zh-CN"/>
        </w:rPr>
        <w:t>每排5～7根。局部围岩破碎</w:t>
      </w:r>
      <w:r>
        <w:rPr>
          <w:rFonts w:hint="eastAsia"/>
          <w:color w:val="auto"/>
          <w:lang w:val="en-US" w:eastAsia="zh-CN"/>
        </w:rPr>
        <w:t>且</w:t>
      </w:r>
      <w:r>
        <w:rPr>
          <w:rFonts w:hint="default"/>
          <w:color w:val="auto"/>
          <w:lang w:val="en-US" w:eastAsia="zh-CN"/>
        </w:rPr>
        <w:t>采用锚喷网支护不能达到要求的地段，采用全混凝土支护，支护厚度250mm</w:t>
      </w:r>
      <w:r>
        <w:rPr>
          <w:rFonts w:hint="eastAsia"/>
          <w:color w:val="auto"/>
          <w:lang w:val="en-US" w:eastAsia="zh-CN"/>
        </w:rPr>
        <w:t>，</w:t>
      </w:r>
      <w:r>
        <w:rPr>
          <w:rFonts w:hint="default"/>
          <w:color w:val="auto"/>
          <w:lang w:val="en-US" w:eastAsia="zh-CN"/>
        </w:rPr>
        <w:t>混凝土强度不小于C25。</w:t>
      </w:r>
    </w:p>
    <w:p w14:paraId="0D66D4D4">
      <w:pPr>
        <w:rPr>
          <w:rFonts w:hint="default"/>
          <w:color w:val="auto"/>
          <w:lang w:val="en-US" w:eastAsia="zh-CN"/>
        </w:rPr>
      </w:pPr>
      <w:r>
        <w:rPr>
          <w:rFonts w:hint="default"/>
          <w:color w:val="auto"/>
          <w:lang w:val="en-US" w:eastAsia="zh-CN"/>
        </w:rPr>
        <w:t>围岩稳固地段，</w:t>
      </w:r>
      <w:r>
        <w:rPr>
          <w:rFonts w:hint="eastAsia"/>
          <w:color w:val="auto"/>
          <w:lang w:val="en-US" w:eastAsia="zh-CN"/>
        </w:rPr>
        <w:t>拟可</w:t>
      </w:r>
      <w:r>
        <w:rPr>
          <w:rFonts w:hint="default"/>
          <w:color w:val="auto"/>
          <w:lang w:val="en-US" w:eastAsia="zh-CN"/>
        </w:rPr>
        <w:t>不支护。</w:t>
      </w:r>
    </w:p>
    <w:p w14:paraId="263E4D44">
      <w:pPr>
        <w:rPr>
          <w:rFonts w:hint="eastAsia"/>
          <w:color w:val="auto"/>
          <w:lang w:val="en-US" w:eastAsia="zh-CN"/>
        </w:rPr>
      </w:pPr>
      <w:r>
        <w:rPr>
          <w:rFonts w:hint="default"/>
          <w:color w:val="auto"/>
          <w:lang w:val="en-US" w:eastAsia="zh-CN"/>
        </w:rPr>
        <w:t>(</w:t>
      </w:r>
      <w:r>
        <w:rPr>
          <w:rFonts w:hint="eastAsia"/>
          <w:color w:val="auto"/>
          <w:lang w:val="en-US" w:eastAsia="zh-CN"/>
        </w:rPr>
        <w:t>2</w:t>
      </w:r>
      <w:r>
        <w:rPr>
          <w:rFonts w:hint="default"/>
          <w:color w:val="auto"/>
          <w:lang w:val="en-US" w:eastAsia="zh-CN"/>
        </w:rPr>
        <w:t>)</w:t>
      </w:r>
      <w:r>
        <w:rPr>
          <w:rFonts w:hint="eastAsia"/>
          <w:color w:val="auto"/>
          <w:lang w:val="en-US" w:eastAsia="zh-CN"/>
        </w:rPr>
        <w:t>中段运输巷道</w:t>
      </w:r>
    </w:p>
    <w:p w14:paraId="4486B76C">
      <w:pPr>
        <w:rPr>
          <w:rFonts w:hint="default"/>
          <w:color w:val="auto"/>
          <w:lang w:val="en-US" w:eastAsia="zh-CN"/>
        </w:rPr>
      </w:pPr>
      <w:r>
        <w:rPr>
          <w:rFonts w:hint="default"/>
          <w:color w:val="auto"/>
          <w:lang w:val="en-US" w:eastAsia="zh-CN"/>
        </w:rPr>
        <w:t>中段运输巷道采用无轨运输，</w:t>
      </w:r>
      <w:r>
        <w:rPr>
          <w:rFonts w:hint="eastAsia"/>
          <w:color w:val="auto"/>
          <w:lang w:val="en-US" w:eastAsia="zh-CN"/>
        </w:rPr>
        <w:t>三心</w:t>
      </w:r>
      <w:r>
        <w:rPr>
          <w:rFonts w:hint="default"/>
          <w:color w:val="auto"/>
          <w:lang w:val="en-US" w:eastAsia="zh-CN"/>
        </w:rPr>
        <w:t>拱断面，规格</w:t>
      </w:r>
      <w:r>
        <w:rPr>
          <w:rFonts w:hint="eastAsia"/>
          <w:color w:val="auto"/>
          <w:lang w:val="en-US" w:eastAsia="zh-CN"/>
        </w:rPr>
        <w:t>拟</w:t>
      </w:r>
      <w:r>
        <w:rPr>
          <w:rFonts w:hint="default"/>
          <w:color w:val="auto"/>
          <w:lang w:val="en-US" w:eastAsia="zh-CN"/>
        </w:rPr>
        <w:t>为宽×高=5m×4.5m</w:t>
      </w:r>
      <w:r>
        <w:rPr>
          <w:rFonts w:hint="eastAsia"/>
          <w:color w:val="auto"/>
          <w:lang w:val="en-US" w:eastAsia="zh-CN"/>
        </w:rPr>
        <w:t>，</w:t>
      </w:r>
      <w:r>
        <w:rPr>
          <w:rFonts w:hint="default"/>
          <w:color w:val="auto"/>
          <w:lang w:val="en-US" w:eastAsia="zh-CN"/>
        </w:rPr>
        <w:t>净断面20.03m</w:t>
      </w:r>
      <w:r>
        <w:rPr>
          <w:rFonts w:hint="eastAsia"/>
          <w:color w:val="auto"/>
          <w:vertAlign w:val="superscript"/>
          <w:lang w:val="en-US" w:eastAsia="zh-CN"/>
        </w:rPr>
        <w:t>2</w:t>
      </w:r>
      <w:r>
        <w:rPr>
          <w:rFonts w:hint="default"/>
          <w:color w:val="auto"/>
          <w:lang w:val="en-US" w:eastAsia="zh-CN"/>
        </w:rPr>
        <w:t>。</w:t>
      </w:r>
      <w:r>
        <w:rPr>
          <w:rFonts w:hint="eastAsia"/>
          <w:color w:val="auto"/>
          <w:lang w:val="en-US" w:eastAsia="zh-CN"/>
        </w:rPr>
        <w:t>局部</w:t>
      </w:r>
      <w:r>
        <w:rPr>
          <w:rFonts w:hint="default"/>
          <w:color w:val="auto"/>
          <w:lang w:val="en-US" w:eastAsia="zh-CN"/>
        </w:rPr>
        <w:t>围岩</w:t>
      </w:r>
      <w:r>
        <w:rPr>
          <w:rFonts w:hint="eastAsia"/>
          <w:color w:val="auto"/>
          <w:lang w:val="en-US" w:eastAsia="zh-CN"/>
        </w:rPr>
        <w:t>破碎地段拟</w:t>
      </w:r>
      <w:r>
        <w:rPr>
          <w:rFonts w:hint="default"/>
          <w:color w:val="auto"/>
          <w:lang w:val="en-US" w:eastAsia="zh-CN"/>
        </w:rPr>
        <w:t>采用喷锚网支护或喷砼支护，喷锚网支护厚度100mm</w:t>
      </w:r>
      <w:r>
        <w:rPr>
          <w:rFonts w:hint="eastAsia"/>
          <w:color w:val="auto"/>
          <w:lang w:val="en-US" w:eastAsia="zh-CN"/>
        </w:rPr>
        <w:t>，</w:t>
      </w:r>
      <w:r>
        <w:rPr>
          <w:rFonts w:hint="default"/>
          <w:color w:val="auto"/>
          <w:lang w:val="en-US" w:eastAsia="zh-CN"/>
        </w:rPr>
        <w:t>喷砼支护厚度50mm</w:t>
      </w:r>
      <w:r>
        <w:rPr>
          <w:rFonts w:hint="eastAsia"/>
          <w:color w:val="auto"/>
          <w:lang w:val="en-US" w:eastAsia="zh-CN"/>
        </w:rPr>
        <w:t>，</w:t>
      </w:r>
      <w:r>
        <w:rPr>
          <w:rFonts w:hint="default"/>
          <w:color w:val="auto"/>
          <w:lang w:val="en-US" w:eastAsia="zh-CN"/>
        </w:rPr>
        <w:t>混凝土强度C25。</w:t>
      </w:r>
    </w:p>
    <w:p w14:paraId="47E1F30C">
      <w:pPr>
        <w:rPr>
          <w:rFonts w:hint="eastAsia"/>
          <w:color w:val="auto"/>
          <w:lang w:val="en-US" w:eastAsia="zh-CN"/>
        </w:rPr>
      </w:pPr>
      <w:r>
        <w:rPr>
          <w:rFonts w:hint="default"/>
          <w:color w:val="auto"/>
          <w:lang w:val="en-US" w:eastAsia="zh-CN"/>
        </w:rPr>
        <w:t>(</w:t>
      </w:r>
      <w:r>
        <w:rPr>
          <w:rFonts w:hint="eastAsia"/>
          <w:color w:val="auto"/>
          <w:lang w:val="en-US" w:eastAsia="zh-CN"/>
        </w:rPr>
        <w:t>3</w:t>
      </w:r>
      <w:r>
        <w:rPr>
          <w:rFonts w:hint="default"/>
          <w:color w:val="auto"/>
          <w:lang w:val="en-US" w:eastAsia="zh-CN"/>
        </w:rPr>
        <w:t>)</w:t>
      </w:r>
      <w:r>
        <w:rPr>
          <w:rFonts w:hint="eastAsia"/>
          <w:color w:val="auto"/>
          <w:lang w:val="en-US" w:eastAsia="zh-CN"/>
        </w:rPr>
        <w:t>回风巷道</w:t>
      </w:r>
    </w:p>
    <w:p w14:paraId="0E1DD13C">
      <w:pPr>
        <w:rPr>
          <w:rFonts w:hint="default"/>
          <w:color w:val="auto"/>
          <w:lang w:val="en-US" w:eastAsia="zh-CN"/>
        </w:rPr>
      </w:pPr>
      <w:r>
        <w:rPr>
          <w:rFonts w:hint="default"/>
          <w:color w:val="auto"/>
          <w:lang w:val="en-US" w:eastAsia="zh-CN"/>
        </w:rPr>
        <w:t>回风巷道</w:t>
      </w:r>
      <w:r>
        <w:rPr>
          <w:rFonts w:hint="eastAsia"/>
          <w:color w:val="auto"/>
          <w:lang w:val="en-US" w:eastAsia="zh-CN"/>
        </w:rPr>
        <w:t>拟</w:t>
      </w:r>
      <w:r>
        <w:rPr>
          <w:rFonts w:hint="default"/>
          <w:color w:val="auto"/>
          <w:lang w:val="en-US" w:eastAsia="zh-CN"/>
        </w:rPr>
        <w:t>为直墙三心拱断面，规格为宽×高=3m×3m</w:t>
      </w:r>
      <w:r>
        <w:rPr>
          <w:rFonts w:hint="eastAsia"/>
          <w:color w:val="auto"/>
          <w:lang w:val="en-US" w:eastAsia="zh-CN"/>
        </w:rPr>
        <w:t>，</w:t>
      </w:r>
      <w:r>
        <w:rPr>
          <w:rFonts w:hint="default"/>
          <w:color w:val="auto"/>
          <w:lang w:val="en-US" w:eastAsia="zh-CN"/>
        </w:rPr>
        <w:t>净断面8.17m</w:t>
      </w:r>
      <w:r>
        <w:rPr>
          <w:rFonts w:hint="eastAsia"/>
          <w:color w:val="auto"/>
          <w:vertAlign w:val="superscript"/>
          <w:lang w:val="en-US" w:eastAsia="zh-CN"/>
        </w:rPr>
        <w:t>2</w:t>
      </w:r>
      <w:r>
        <w:rPr>
          <w:rFonts w:hint="default"/>
          <w:color w:val="auto"/>
          <w:lang w:val="en-US" w:eastAsia="zh-CN"/>
        </w:rPr>
        <w:t>。根据围岩情况，巷道</w:t>
      </w:r>
      <w:r>
        <w:rPr>
          <w:rFonts w:hint="eastAsia"/>
          <w:color w:val="auto"/>
          <w:lang w:val="en-US" w:eastAsia="zh-CN"/>
        </w:rPr>
        <w:t>拟</w:t>
      </w:r>
      <w:r>
        <w:rPr>
          <w:rFonts w:hint="default"/>
          <w:color w:val="auto"/>
          <w:lang w:val="en-US" w:eastAsia="zh-CN"/>
        </w:rPr>
        <w:t>采用喷砼支护或不支护，喷砼支护厚度50mm</w:t>
      </w:r>
      <w:r>
        <w:rPr>
          <w:rFonts w:hint="eastAsia"/>
          <w:color w:val="auto"/>
          <w:lang w:val="en-US" w:eastAsia="zh-CN"/>
        </w:rPr>
        <w:t>，</w:t>
      </w:r>
      <w:r>
        <w:rPr>
          <w:rFonts w:hint="default"/>
          <w:color w:val="auto"/>
          <w:lang w:val="en-US" w:eastAsia="zh-CN"/>
        </w:rPr>
        <w:t>混凝土强度C25</w:t>
      </w:r>
      <w:r>
        <w:rPr>
          <w:rFonts w:hint="eastAsia"/>
          <w:color w:val="auto"/>
          <w:lang w:val="en-US" w:eastAsia="zh-CN"/>
        </w:rPr>
        <w:t>，</w:t>
      </w:r>
      <w:r>
        <w:rPr>
          <w:rFonts w:hint="default"/>
          <w:color w:val="auto"/>
          <w:lang w:val="en-US" w:eastAsia="zh-CN"/>
        </w:rPr>
        <w:t>围岩稳固地段可不支护。</w:t>
      </w:r>
    </w:p>
    <w:p w14:paraId="163B8A93">
      <w:pPr>
        <w:rPr>
          <w:rFonts w:hint="eastAsia"/>
          <w:color w:val="auto"/>
          <w:lang w:val="en-US" w:eastAsia="zh-CN"/>
        </w:rPr>
      </w:pPr>
      <w:r>
        <w:rPr>
          <w:rFonts w:hint="default"/>
          <w:color w:val="auto"/>
          <w:lang w:val="en-US" w:eastAsia="zh-CN"/>
        </w:rPr>
        <w:t>(</w:t>
      </w:r>
      <w:r>
        <w:rPr>
          <w:rFonts w:hint="eastAsia"/>
          <w:color w:val="auto"/>
          <w:lang w:val="en-US" w:eastAsia="zh-CN"/>
        </w:rPr>
        <w:t>4</w:t>
      </w:r>
      <w:r>
        <w:rPr>
          <w:rFonts w:hint="default"/>
          <w:color w:val="auto"/>
          <w:lang w:val="en-US" w:eastAsia="zh-CN"/>
        </w:rPr>
        <w:t>)</w:t>
      </w:r>
      <w:r>
        <w:rPr>
          <w:rFonts w:hint="eastAsia"/>
          <w:color w:val="auto"/>
          <w:lang w:val="en-US" w:eastAsia="zh-CN"/>
        </w:rPr>
        <w:t>回风井</w:t>
      </w:r>
    </w:p>
    <w:p w14:paraId="53235847">
      <w:pPr>
        <w:rPr>
          <w:rFonts w:hint="default"/>
          <w:color w:val="auto"/>
          <w:lang w:val="en-US" w:eastAsia="zh-CN"/>
        </w:rPr>
      </w:pPr>
      <w:r>
        <w:rPr>
          <w:rFonts w:hint="default"/>
          <w:color w:val="auto"/>
          <w:lang w:val="en-US" w:eastAsia="zh-CN"/>
        </w:rPr>
        <w:t>各</w:t>
      </w:r>
      <w:r>
        <w:rPr>
          <w:rFonts w:hint="eastAsia"/>
          <w:color w:val="auto"/>
          <w:lang w:val="en-US" w:eastAsia="zh-CN"/>
        </w:rPr>
        <w:t>中段</w:t>
      </w:r>
      <w:r>
        <w:rPr>
          <w:rFonts w:hint="default"/>
          <w:color w:val="auto"/>
          <w:lang w:val="en-US" w:eastAsia="zh-CN"/>
        </w:rPr>
        <w:t>端部</w:t>
      </w:r>
      <w:r>
        <w:rPr>
          <w:rFonts w:hint="eastAsia"/>
          <w:color w:val="auto"/>
          <w:lang w:val="en-US" w:eastAsia="zh-CN"/>
        </w:rPr>
        <w:t>拟</w:t>
      </w:r>
      <w:r>
        <w:rPr>
          <w:rFonts w:hint="default"/>
          <w:color w:val="auto"/>
          <w:lang w:val="en-US" w:eastAsia="zh-CN"/>
        </w:rPr>
        <w:t>设置端部回风井，回风井下口为运输巷道或者回风联络道，上口为回风巷道。回风井断面规格</w:t>
      </w:r>
      <w:r>
        <w:rPr>
          <w:rFonts w:hint="eastAsia"/>
          <w:color w:val="auto"/>
          <w:lang w:val="en-US" w:eastAsia="zh-CN"/>
        </w:rPr>
        <w:t>拟</w:t>
      </w:r>
      <w:r>
        <w:rPr>
          <w:rFonts w:hint="default"/>
          <w:color w:val="auto"/>
          <w:lang w:val="en-US" w:eastAsia="zh-CN"/>
        </w:rPr>
        <w:t>为3m×3m的矩形断面，根据围岩情况</w:t>
      </w:r>
      <w:r>
        <w:rPr>
          <w:rFonts w:hint="eastAsia"/>
          <w:color w:val="auto"/>
          <w:lang w:val="en-US" w:eastAsia="zh-CN"/>
        </w:rPr>
        <w:t>，拟</w:t>
      </w:r>
      <w:r>
        <w:rPr>
          <w:rFonts w:hint="default"/>
          <w:color w:val="auto"/>
          <w:lang w:val="en-US" w:eastAsia="zh-CN"/>
        </w:rPr>
        <w:t>采用不支护或者喷射混凝土支护，喷砼支护厚度50mm</w:t>
      </w:r>
      <w:r>
        <w:rPr>
          <w:rFonts w:hint="eastAsia"/>
          <w:color w:val="auto"/>
          <w:lang w:val="en-US" w:eastAsia="zh-CN"/>
        </w:rPr>
        <w:t>，</w:t>
      </w:r>
      <w:r>
        <w:rPr>
          <w:rFonts w:hint="default"/>
          <w:color w:val="auto"/>
          <w:lang w:val="en-US" w:eastAsia="zh-CN"/>
        </w:rPr>
        <w:t>混凝土强度C25。</w:t>
      </w:r>
    </w:p>
    <w:p w14:paraId="3FD94517">
      <w:pPr>
        <w:rPr>
          <w:rFonts w:hint="eastAsia"/>
          <w:color w:val="auto"/>
          <w:lang w:val="en-US" w:eastAsia="zh-CN"/>
        </w:rPr>
      </w:pPr>
      <w:r>
        <w:rPr>
          <w:rFonts w:hint="default"/>
          <w:color w:val="auto"/>
          <w:lang w:val="en-US" w:eastAsia="zh-CN"/>
        </w:rPr>
        <w:t>(</w:t>
      </w:r>
      <w:r>
        <w:rPr>
          <w:rFonts w:hint="eastAsia"/>
          <w:color w:val="auto"/>
          <w:lang w:val="en-US" w:eastAsia="zh-CN"/>
        </w:rPr>
        <w:t>5</w:t>
      </w:r>
      <w:r>
        <w:rPr>
          <w:rFonts w:hint="default"/>
          <w:color w:val="auto"/>
          <w:lang w:val="en-US" w:eastAsia="zh-CN"/>
        </w:rPr>
        <w:t>)</w:t>
      </w:r>
      <w:r>
        <w:rPr>
          <w:rFonts w:hint="eastAsia"/>
          <w:color w:val="auto"/>
          <w:lang w:val="en-US" w:eastAsia="zh-CN"/>
        </w:rPr>
        <w:t>硐室工程</w:t>
      </w:r>
    </w:p>
    <w:p w14:paraId="7C28D573">
      <w:pPr>
        <w:rPr>
          <w:rFonts w:hint="default"/>
          <w:color w:val="auto"/>
          <w:lang w:val="en-US" w:eastAsia="zh-CN"/>
        </w:rPr>
      </w:pPr>
      <w:r>
        <w:rPr>
          <w:rFonts w:hint="default"/>
          <w:color w:val="auto"/>
          <w:lang w:val="en-US" w:eastAsia="zh-CN"/>
        </w:rPr>
        <w:t>硐室工程主要包括</w:t>
      </w:r>
      <w:r>
        <w:rPr>
          <w:rFonts w:hint="eastAsia"/>
          <w:color w:val="auto"/>
          <w:lang w:val="en-US" w:eastAsia="zh-CN"/>
        </w:rPr>
        <w:t>井下</w:t>
      </w:r>
      <w:r>
        <w:rPr>
          <w:rFonts w:hint="default"/>
          <w:color w:val="auto"/>
          <w:lang w:val="en-US" w:eastAsia="zh-CN"/>
        </w:rPr>
        <w:t>变电所等。硐室</w:t>
      </w:r>
      <w:r>
        <w:rPr>
          <w:rFonts w:hint="eastAsia"/>
          <w:color w:val="auto"/>
          <w:lang w:val="en-US" w:eastAsia="zh-CN"/>
        </w:rPr>
        <w:t>拟</w:t>
      </w:r>
      <w:r>
        <w:rPr>
          <w:rFonts w:hint="default"/>
          <w:color w:val="auto"/>
          <w:lang w:val="en-US" w:eastAsia="zh-CN"/>
        </w:rPr>
        <w:t>采用C25喷射混凝土100mm支护，</w:t>
      </w:r>
      <w:r>
        <w:rPr>
          <w:rFonts w:hint="eastAsia"/>
          <w:color w:val="auto"/>
          <w:lang w:val="en-US" w:eastAsia="zh-CN"/>
        </w:rPr>
        <w:t>遇</w:t>
      </w:r>
      <w:r>
        <w:rPr>
          <w:rFonts w:hint="default"/>
          <w:color w:val="auto"/>
          <w:lang w:val="en-US" w:eastAsia="zh-CN"/>
        </w:rPr>
        <w:t>围岩破碎另选硐室位置或采用C25钢筋混凝土支护，支护厚度300mm。</w:t>
      </w:r>
    </w:p>
    <w:p w14:paraId="57687D22">
      <w:pPr>
        <w:rPr>
          <w:rFonts w:hint="default"/>
          <w:color w:val="auto"/>
          <w:lang w:val="en-US" w:eastAsia="zh-CN"/>
        </w:rPr>
      </w:pPr>
      <w:r>
        <w:rPr>
          <w:rFonts w:hint="default"/>
          <w:color w:val="auto"/>
          <w:lang w:val="en-US" w:eastAsia="zh-CN"/>
        </w:rPr>
        <w:t>顶板</w:t>
      </w:r>
      <w:r>
        <w:rPr>
          <w:rFonts w:hint="eastAsia"/>
          <w:color w:val="auto"/>
          <w:lang w:val="en-US" w:eastAsia="zh-CN"/>
        </w:rPr>
        <w:t>拟</w:t>
      </w:r>
      <w:r>
        <w:rPr>
          <w:rFonts w:hint="default"/>
          <w:color w:val="auto"/>
          <w:lang w:val="en-US" w:eastAsia="zh-CN"/>
        </w:rPr>
        <w:t>采用半圆拱形，硐室地面</w:t>
      </w:r>
      <w:r>
        <w:rPr>
          <w:rFonts w:hint="eastAsia"/>
          <w:color w:val="auto"/>
          <w:lang w:val="en-US" w:eastAsia="zh-CN"/>
        </w:rPr>
        <w:t>拟</w:t>
      </w:r>
      <w:r>
        <w:rPr>
          <w:rFonts w:hint="default"/>
          <w:color w:val="auto"/>
          <w:lang w:val="en-US" w:eastAsia="zh-CN"/>
        </w:rPr>
        <w:t>高于巷道底板不小于0.5m。</w:t>
      </w:r>
    </w:p>
    <w:p w14:paraId="6A9568E3">
      <w:pPr>
        <w:pStyle w:val="4"/>
        <w:bidi w:val="0"/>
        <w:rPr>
          <w:color w:val="auto"/>
        </w:rPr>
      </w:pPr>
      <w:r>
        <w:rPr>
          <w:rFonts w:hint="eastAsia"/>
          <w:color w:val="auto"/>
        </w:rPr>
        <w:t>2.4.</w:t>
      </w:r>
      <w:r>
        <w:rPr>
          <w:rFonts w:hint="eastAsia"/>
          <w:color w:val="auto"/>
          <w:lang w:val="en-US" w:eastAsia="zh-CN"/>
        </w:rPr>
        <w:t>6</w:t>
      </w:r>
      <w:r>
        <w:rPr>
          <w:rFonts w:hint="eastAsia"/>
          <w:color w:val="auto"/>
        </w:rPr>
        <w:t>采矿工艺</w:t>
      </w:r>
    </w:p>
    <w:p w14:paraId="44EC2129">
      <w:pPr>
        <w:pStyle w:val="5"/>
        <w:keepNext/>
        <w:keepLines/>
        <w:pageBreakBefore w:val="0"/>
        <w:widowControl w:val="0"/>
        <w:kinsoku/>
        <w:wordWrap/>
        <w:overflowPunct/>
        <w:topLinePunct w:val="0"/>
        <w:autoSpaceDE/>
        <w:autoSpaceDN/>
        <w:bidi w:val="0"/>
        <w:adjustRightInd/>
        <w:snapToGrid/>
        <w:ind w:firstLine="560" w:firstLineChars="200"/>
        <w:textAlignment w:val="auto"/>
        <w:rPr>
          <w:color w:val="auto"/>
        </w:rPr>
      </w:pPr>
      <w:bookmarkStart w:id="77" w:name="_Toc225062038"/>
      <w:bookmarkStart w:id="78" w:name="_Toc225062554"/>
      <w:r>
        <w:rPr>
          <w:rFonts w:hint="eastAsia"/>
          <w:color w:val="auto"/>
        </w:rPr>
        <w:t>2.4.</w:t>
      </w:r>
      <w:r>
        <w:rPr>
          <w:rFonts w:hint="eastAsia"/>
          <w:color w:val="auto"/>
          <w:lang w:val="en-US" w:eastAsia="zh-CN"/>
        </w:rPr>
        <w:t>6</w:t>
      </w:r>
      <w:r>
        <w:rPr>
          <w:rFonts w:hint="eastAsia"/>
          <w:color w:val="auto"/>
        </w:rPr>
        <w:t>.1采矿方法</w:t>
      </w:r>
    </w:p>
    <w:p w14:paraId="4C2CD45F">
      <w:pPr>
        <w:bidi w:val="0"/>
        <w:rPr>
          <w:rFonts w:hint="eastAsia"/>
          <w:color w:val="auto"/>
        </w:rPr>
      </w:pPr>
      <w:r>
        <w:rPr>
          <w:rFonts w:hint="eastAsia"/>
          <w:color w:val="auto"/>
          <w:lang w:val="en-US" w:eastAsia="zh-CN"/>
        </w:rPr>
        <w:t>该矿</w:t>
      </w:r>
      <w:r>
        <w:rPr>
          <w:rFonts w:hint="eastAsia"/>
          <w:color w:val="auto"/>
        </w:rPr>
        <w:t>开采对象方解石为低价值矿产品，生产过程中产中废石较少，无尾矿产生。因此，若采用充填法进行开采，无可利用的充填材料；若外购砂石进行充填，一方面周边地区来源及其有限，另一方面本矿山即为石料开采，将失去经济、技术价值。</w:t>
      </w:r>
      <w:r>
        <w:rPr>
          <w:rFonts w:hint="eastAsia"/>
          <w:color w:val="auto"/>
          <w:lang w:val="en-US" w:eastAsia="zh-CN"/>
        </w:rPr>
        <w:t>因此未</w:t>
      </w:r>
      <w:r>
        <w:rPr>
          <w:rFonts w:hint="eastAsia"/>
          <w:color w:val="auto"/>
        </w:rPr>
        <w:t>采用充填法。</w:t>
      </w:r>
    </w:p>
    <w:p w14:paraId="22C33AC5">
      <w:pPr>
        <w:bidi w:val="0"/>
        <w:rPr>
          <w:rFonts w:hint="eastAsia"/>
          <w:color w:val="auto"/>
        </w:rPr>
      </w:pPr>
      <w:r>
        <w:rPr>
          <w:rFonts w:hint="eastAsia"/>
          <w:color w:val="auto"/>
        </w:rPr>
        <w:t>根据矿体赋存条件，结合矿体倾角、厚度及顶底板围岩稳定性等开采技术条件，矿山</w:t>
      </w:r>
      <w:r>
        <w:rPr>
          <w:rFonts w:hint="eastAsia"/>
          <w:color w:val="auto"/>
          <w:lang w:val="en-US" w:eastAsia="zh-CN"/>
        </w:rPr>
        <w:t>拟</w:t>
      </w:r>
      <w:r>
        <w:rPr>
          <w:rFonts w:hint="eastAsia"/>
          <w:color w:val="auto"/>
        </w:rPr>
        <w:t>采用中深孔房柱法进行回采。</w:t>
      </w:r>
    </w:p>
    <w:p w14:paraId="48CBB5F6">
      <w:pPr>
        <w:pStyle w:val="5"/>
        <w:bidi w:val="0"/>
        <w:rPr>
          <w:rFonts w:hint="default"/>
          <w:color w:val="auto"/>
          <w:lang w:val="en-US" w:eastAsia="zh-CN"/>
        </w:rPr>
      </w:pPr>
      <w:r>
        <w:rPr>
          <w:rFonts w:hint="eastAsia"/>
          <w:color w:val="auto"/>
          <w:lang w:val="en-US" w:eastAsia="zh-CN"/>
        </w:rPr>
        <w:t>2.4.6.2采场结构参数</w:t>
      </w:r>
    </w:p>
    <w:p w14:paraId="67719DAE">
      <w:pPr>
        <w:rPr>
          <w:rFonts w:hint="default"/>
          <w:color w:val="auto"/>
          <w:lang w:val="en-US" w:eastAsia="zh-CN"/>
        </w:rPr>
      </w:pPr>
      <w:r>
        <w:rPr>
          <w:rFonts w:hint="default"/>
          <w:color w:val="auto"/>
          <w:lang w:val="en-US" w:eastAsia="zh-CN"/>
        </w:rPr>
        <w:t>矿房</w:t>
      </w:r>
      <w:r>
        <w:rPr>
          <w:rFonts w:hint="eastAsia"/>
          <w:color w:val="auto"/>
          <w:lang w:val="en-US" w:eastAsia="zh-CN"/>
        </w:rPr>
        <w:t>拟</w:t>
      </w:r>
      <w:r>
        <w:rPr>
          <w:rFonts w:hint="default"/>
          <w:color w:val="auto"/>
          <w:lang w:val="en-US" w:eastAsia="zh-CN"/>
        </w:rPr>
        <w:t>垂直于矿体走向布置，运输巷道布置在矿体中央，矿房布置在中段运输巷道两侧，回风巷布置在与运输巷同一水平的矿房外。矿块高度20m</w:t>
      </w:r>
      <w:r>
        <w:rPr>
          <w:rFonts w:hint="eastAsia"/>
          <w:color w:val="auto"/>
          <w:lang w:val="en-US" w:eastAsia="zh-CN"/>
        </w:rPr>
        <w:t>，</w:t>
      </w:r>
      <w:r>
        <w:rPr>
          <w:rFonts w:hint="default"/>
          <w:color w:val="auto"/>
          <w:lang w:val="en-US" w:eastAsia="zh-CN"/>
        </w:rPr>
        <w:t>矿块长度50</w:t>
      </w:r>
      <w:r>
        <w:rPr>
          <w:rFonts w:hint="eastAsia" w:ascii="宋体" w:hAnsi="宋体" w:eastAsia="宋体" w:cs="宋体"/>
          <w:color w:val="auto"/>
          <w:lang w:val="en-US" w:eastAsia="zh-CN"/>
        </w:rPr>
        <w:t>～</w:t>
      </w:r>
      <w:r>
        <w:rPr>
          <w:rFonts w:hint="default"/>
          <w:color w:val="auto"/>
          <w:lang w:val="en-US" w:eastAsia="zh-CN"/>
        </w:rPr>
        <w:t>70m</w:t>
      </w:r>
      <w:r>
        <w:rPr>
          <w:rFonts w:hint="eastAsia"/>
          <w:color w:val="auto"/>
          <w:lang w:val="en-US" w:eastAsia="zh-CN"/>
        </w:rPr>
        <w:t>，</w:t>
      </w:r>
      <w:r>
        <w:rPr>
          <w:rFonts w:hint="default"/>
          <w:color w:val="auto"/>
          <w:lang w:val="en-US" w:eastAsia="zh-CN"/>
        </w:rPr>
        <w:t>矿房宽度60m</w:t>
      </w:r>
      <w:r>
        <w:rPr>
          <w:rFonts w:hint="eastAsia"/>
          <w:color w:val="auto"/>
          <w:lang w:val="en-US" w:eastAsia="zh-CN"/>
        </w:rPr>
        <w:t>，</w:t>
      </w:r>
      <w:r>
        <w:rPr>
          <w:rFonts w:hint="default"/>
          <w:color w:val="auto"/>
          <w:lang w:val="en-US" w:eastAsia="zh-CN"/>
        </w:rPr>
        <w:t>矿块顶柱</w:t>
      </w:r>
      <w:r>
        <w:rPr>
          <w:rFonts w:hint="eastAsia"/>
          <w:color w:val="auto"/>
          <w:lang w:val="en-US" w:eastAsia="zh-CN"/>
        </w:rPr>
        <w:t>宽度</w:t>
      </w:r>
      <w:r>
        <w:rPr>
          <w:rFonts w:hint="default"/>
          <w:color w:val="auto"/>
          <w:lang w:val="en-US" w:eastAsia="zh-CN"/>
        </w:rPr>
        <w:t>5m</w:t>
      </w:r>
      <w:r>
        <w:rPr>
          <w:rFonts w:hint="eastAsia"/>
          <w:color w:val="auto"/>
          <w:lang w:val="en-US" w:eastAsia="zh-CN"/>
        </w:rPr>
        <w:t>，</w:t>
      </w:r>
      <w:r>
        <w:rPr>
          <w:rFonts w:hint="default"/>
          <w:color w:val="auto"/>
          <w:lang w:val="en-US" w:eastAsia="zh-CN"/>
        </w:rPr>
        <w:t>间柱宽度8m</w:t>
      </w:r>
      <w:r>
        <w:rPr>
          <w:rFonts w:hint="eastAsia"/>
          <w:color w:val="auto"/>
          <w:lang w:val="en-US" w:eastAsia="zh-CN"/>
        </w:rPr>
        <w:t>，</w:t>
      </w:r>
      <w:r>
        <w:rPr>
          <w:rFonts w:hint="default"/>
          <w:color w:val="auto"/>
          <w:lang w:val="en-US" w:eastAsia="zh-CN"/>
        </w:rPr>
        <w:t>每隔12m布置一个间柱，出矿进路间距20m。</w:t>
      </w:r>
    </w:p>
    <w:p w14:paraId="35983AD2">
      <w:pPr>
        <w:pStyle w:val="5"/>
        <w:bidi w:val="0"/>
        <w:rPr>
          <w:rFonts w:hint="eastAsia"/>
          <w:color w:val="auto"/>
          <w:lang w:val="en-US" w:eastAsia="zh-CN"/>
        </w:rPr>
      </w:pPr>
      <w:r>
        <w:rPr>
          <w:rFonts w:hint="eastAsia"/>
          <w:color w:val="auto"/>
          <w:lang w:val="en-US" w:eastAsia="zh-CN"/>
        </w:rPr>
        <w:t>2.4.6.3回采工艺</w:t>
      </w:r>
    </w:p>
    <w:p w14:paraId="3CB21CDA">
      <w:pPr>
        <w:rPr>
          <w:rFonts w:hint="default"/>
          <w:color w:val="auto"/>
          <w:lang w:val="en-US" w:eastAsia="zh-CN"/>
        </w:rPr>
      </w:pPr>
      <w:r>
        <w:rPr>
          <w:rFonts w:hint="eastAsia"/>
          <w:color w:val="auto"/>
          <w:lang w:val="en-US" w:eastAsia="zh-CN"/>
        </w:rPr>
        <w:t>(1)</w:t>
      </w:r>
      <w:r>
        <w:rPr>
          <w:rFonts w:hint="default"/>
          <w:color w:val="auto"/>
          <w:lang w:val="en-US" w:eastAsia="zh-CN"/>
        </w:rPr>
        <w:t>采准切割工作</w:t>
      </w:r>
    </w:p>
    <w:p w14:paraId="53C674FB">
      <w:pPr>
        <w:rPr>
          <w:rFonts w:hint="default"/>
          <w:color w:val="auto"/>
          <w:lang w:val="en-US" w:eastAsia="zh-CN"/>
        </w:rPr>
      </w:pPr>
      <w:r>
        <w:rPr>
          <w:rFonts w:hint="default"/>
          <w:color w:val="auto"/>
          <w:lang w:val="en-US" w:eastAsia="zh-CN"/>
        </w:rPr>
        <w:t>采准工程主要包括</w:t>
      </w:r>
      <w:r>
        <w:rPr>
          <w:rFonts w:hint="eastAsia"/>
          <w:color w:val="auto"/>
          <w:lang w:val="en-US" w:eastAsia="zh-CN"/>
        </w:rPr>
        <w:t>：</w:t>
      </w:r>
      <w:r>
        <w:rPr>
          <w:rFonts w:hint="default"/>
          <w:color w:val="auto"/>
          <w:lang w:val="en-US" w:eastAsia="zh-CN"/>
        </w:rPr>
        <w:t>凿岩出矿巷道等。根据矿块划分，垂直矿体走向</w:t>
      </w:r>
      <w:r>
        <w:rPr>
          <w:rFonts w:hint="eastAsia"/>
          <w:color w:val="auto"/>
          <w:lang w:val="en-US" w:eastAsia="zh-CN"/>
        </w:rPr>
        <w:t>拟</w:t>
      </w:r>
      <w:r>
        <w:rPr>
          <w:rFonts w:hint="default"/>
          <w:color w:val="auto"/>
          <w:lang w:val="en-US" w:eastAsia="zh-CN"/>
        </w:rPr>
        <w:t>布置凿岩出矿穿脉巷道，每个矿块</w:t>
      </w:r>
      <w:r>
        <w:rPr>
          <w:rFonts w:hint="eastAsia"/>
          <w:color w:val="auto"/>
          <w:lang w:val="en-US" w:eastAsia="zh-CN"/>
        </w:rPr>
        <w:t>拟</w:t>
      </w:r>
      <w:r>
        <w:rPr>
          <w:rFonts w:hint="default"/>
          <w:color w:val="auto"/>
          <w:lang w:val="en-US" w:eastAsia="zh-CN"/>
        </w:rPr>
        <w:t>布置三条，规格为4m×4m</w:t>
      </w:r>
      <w:r>
        <w:rPr>
          <w:rFonts w:hint="eastAsia"/>
          <w:color w:val="auto"/>
          <w:lang w:val="en-US" w:eastAsia="zh-CN"/>
        </w:rPr>
        <w:t>，</w:t>
      </w:r>
      <w:r>
        <w:rPr>
          <w:rFonts w:hint="default"/>
          <w:color w:val="auto"/>
          <w:lang w:val="en-US" w:eastAsia="zh-CN"/>
        </w:rPr>
        <w:t>凿岩出矿穿脉巷道间距20m。</w:t>
      </w:r>
      <w:r>
        <w:rPr>
          <w:rFonts w:hint="eastAsia"/>
          <w:color w:val="auto"/>
          <w:lang w:val="en-US" w:eastAsia="zh-CN"/>
        </w:rPr>
        <w:t>拟</w:t>
      </w:r>
      <w:r>
        <w:rPr>
          <w:rFonts w:hint="default"/>
          <w:color w:val="auto"/>
          <w:lang w:val="en-US" w:eastAsia="zh-CN"/>
        </w:rPr>
        <w:t>在矿房内布置联络道，连接各个出矿穿脉，联络道规格</w:t>
      </w:r>
      <w:r>
        <w:rPr>
          <w:rFonts w:hint="eastAsia"/>
          <w:color w:val="auto"/>
          <w:lang w:val="en-US" w:eastAsia="zh-CN"/>
        </w:rPr>
        <w:t>为</w:t>
      </w:r>
      <w:r>
        <w:rPr>
          <w:rFonts w:hint="default"/>
          <w:color w:val="auto"/>
          <w:lang w:val="en-US" w:eastAsia="zh-CN"/>
        </w:rPr>
        <w:t>4m×4m</w:t>
      </w:r>
      <w:r>
        <w:rPr>
          <w:rFonts w:hint="eastAsia"/>
          <w:color w:val="auto"/>
          <w:lang w:val="en-US" w:eastAsia="zh-CN"/>
        </w:rPr>
        <w:t>，拟</w:t>
      </w:r>
      <w:r>
        <w:rPr>
          <w:rFonts w:hint="default"/>
          <w:color w:val="auto"/>
          <w:lang w:val="en-US" w:eastAsia="zh-CN"/>
        </w:rPr>
        <w:t>作为采场安全通道。</w:t>
      </w:r>
    </w:p>
    <w:p w14:paraId="3768C408">
      <w:pPr>
        <w:rPr>
          <w:rFonts w:hint="default"/>
          <w:color w:val="auto"/>
          <w:lang w:val="en-US" w:eastAsia="zh-CN"/>
        </w:rPr>
      </w:pPr>
      <w:r>
        <w:rPr>
          <w:rFonts w:hint="default"/>
          <w:color w:val="auto"/>
          <w:lang w:val="en-US" w:eastAsia="zh-CN"/>
        </w:rPr>
        <w:t>切割工程主要</w:t>
      </w:r>
      <w:r>
        <w:rPr>
          <w:rFonts w:hint="eastAsia"/>
          <w:color w:val="auto"/>
          <w:lang w:val="en-US" w:eastAsia="zh-CN"/>
        </w:rPr>
        <w:t>包括</w:t>
      </w:r>
      <w:r>
        <w:rPr>
          <w:rFonts w:hint="default"/>
          <w:color w:val="auto"/>
          <w:lang w:val="en-US" w:eastAsia="zh-CN"/>
        </w:rPr>
        <w:t>：切割槽。在凿岩出矿穿脉内矿房端部掘进切割天井，爆破形成切割槽。</w:t>
      </w:r>
    </w:p>
    <w:p w14:paraId="5052851B">
      <w:pPr>
        <w:rPr>
          <w:rFonts w:hint="default"/>
          <w:color w:val="auto"/>
          <w:lang w:val="en-US" w:eastAsia="zh-CN"/>
        </w:rPr>
      </w:pPr>
      <w:r>
        <w:rPr>
          <w:rFonts w:hint="default"/>
          <w:color w:val="auto"/>
          <w:lang w:val="en-US" w:eastAsia="zh-CN"/>
        </w:rPr>
        <w:t>采准、切割采用YT-28气腿式凿岩机、YSP-45上向高频凿岩机、YGZ90中深孔凿岩机以及CYTJ45A双臂凿岩台车凿岩。</w:t>
      </w:r>
    </w:p>
    <w:p w14:paraId="2CC94EA7">
      <w:pPr>
        <w:rPr>
          <w:rFonts w:hint="default"/>
          <w:color w:val="auto"/>
          <w:lang w:val="en-US" w:eastAsia="zh-CN"/>
        </w:rPr>
      </w:pPr>
      <w:r>
        <w:rPr>
          <w:rFonts w:hint="default"/>
          <w:color w:val="auto"/>
          <w:lang w:val="en-US" w:eastAsia="zh-CN"/>
        </w:rPr>
        <w:t>(</w:t>
      </w:r>
      <w:r>
        <w:rPr>
          <w:rFonts w:hint="eastAsia"/>
          <w:color w:val="auto"/>
          <w:lang w:val="en-US" w:eastAsia="zh-CN"/>
        </w:rPr>
        <w:t>2</w:t>
      </w:r>
      <w:r>
        <w:rPr>
          <w:rFonts w:hint="default"/>
          <w:color w:val="auto"/>
          <w:lang w:val="en-US" w:eastAsia="zh-CN"/>
        </w:rPr>
        <w:t>)回采工作</w:t>
      </w:r>
    </w:p>
    <w:p w14:paraId="30797F43">
      <w:pPr>
        <w:rPr>
          <w:rFonts w:hint="default"/>
          <w:color w:val="auto"/>
          <w:lang w:val="en-US" w:eastAsia="zh-CN"/>
        </w:rPr>
      </w:pPr>
      <w:r>
        <w:rPr>
          <w:rFonts w:hint="default"/>
          <w:color w:val="auto"/>
          <w:lang w:val="en-US" w:eastAsia="zh-CN"/>
        </w:rPr>
        <w:t>矿房形成切割槽后，在凿岩出矿穿脉中凿岩，</w:t>
      </w:r>
      <w:r>
        <w:rPr>
          <w:rFonts w:hint="eastAsia"/>
          <w:color w:val="auto"/>
          <w:lang w:val="en-US" w:eastAsia="zh-CN"/>
        </w:rPr>
        <w:t>采用</w:t>
      </w:r>
      <w:r>
        <w:rPr>
          <w:rFonts w:hint="default"/>
          <w:color w:val="auto"/>
          <w:lang w:val="en-US" w:eastAsia="zh-CN"/>
        </w:rPr>
        <w:t>中深孔爆破落矿。</w:t>
      </w:r>
    </w:p>
    <w:p w14:paraId="1FAE8E00">
      <w:pPr>
        <w:rPr>
          <w:rFonts w:hint="default"/>
          <w:color w:val="auto"/>
          <w:lang w:val="en-US" w:eastAsia="zh-CN"/>
        </w:rPr>
      </w:pPr>
      <w:r>
        <w:rPr>
          <w:rFonts w:hint="default"/>
          <w:color w:val="auto"/>
          <w:lang w:val="en-US" w:eastAsia="zh-CN"/>
        </w:rPr>
        <w:t>采用YGZ-90上向式凿岩机与CYTC70深孔台车凿岩，BQF-100型装药器装药，采用电子数码雷管、粉状乳化炸药爆破。出矿块度不大于350mm。</w:t>
      </w:r>
    </w:p>
    <w:p w14:paraId="31010257">
      <w:pPr>
        <w:rPr>
          <w:rFonts w:hint="default"/>
          <w:color w:val="auto"/>
          <w:lang w:val="en-US" w:eastAsia="zh-CN"/>
        </w:rPr>
      </w:pPr>
      <w:r>
        <w:rPr>
          <w:rFonts w:hint="default"/>
          <w:color w:val="auto"/>
          <w:lang w:val="en-US" w:eastAsia="zh-CN"/>
        </w:rPr>
        <w:t>采用孔间微差爆破技术，</w:t>
      </w:r>
      <w:r>
        <w:rPr>
          <w:rFonts w:hint="eastAsia"/>
          <w:color w:val="auto"/>
          <w:lang w:val="en-US" w:eastAsia="zh-CN"/>
        </w:rPr>
        <w:t>以</w:t>
      </w:r>
      <w:r>
        <w:rPr>
          <w:rFonts w:hint="default"/>
          <w:color w:val="auto"/>
          <w:lang w:val="en-US" w:eastAsia="zh-CN"/>
        </w:rPr>
        <w:t>降低爆破振动对井下及地表设施的影响。</w:t>
      </w:r>
    </w:p>
    <w:p w14:paraId="15A85D6A">
      <w:pPr>
        <w:rPr>
          <w:rFonts w:hint="default"/>
          <w:color w:val="auto"/>
          <w:lang w:val="en-US" w:eastAsia="zh-CN"/>
        </w:rPr>
      </w:pPr>
      <w:r>
        <w:rPr>
          <w:rFonts w:hint="default"/>
          <w:color w:val="auto"/>
          <w:lang w:val="en-US" w:eastAsia="zh-CN"/>
        </w:rPr>
        <w:t>采场爆破后</w:t>
      </w:r>
      <w:r>
        <w:rPr>
          <w:rFonts w:hint="eastAsia"/>
          <w:color w:val="auto"/>
          <w:lang w:val="en-US" w:eastAsia="zh-CN"/>
        </w:rPr>
        <w:t>拟</w:t>
      </w:r>
      <w:r>
        <w:rPr>
          <w:rFonts w:hint="default"/>
          <w:color w:val="auto"/>
          <w:lang w:val="en-US" w:eastAsia="zh-CN"/>
        </w:rPr>
        <w:t>进行通风、洒水，确认安全后进行铲运机出矿。</w:t>
      </w:r>
      <w:r>
        <w:rPr>
          <w:rFonts w:hint="eastAsia"/>
          <w:color w:val="auto"/>
          <w:lang w:val="en-US" w:eastAsia="zh-CN"/>
        </w:rPr>
        <w:t>矿山</w:t>
      </w:r>
      <w:r>
        <w:rPr>
          <w:rFonts w:hint="default"/>
          <w:color w:val="auto"/>
          <w:lang w:val="en-US" w:eastAsia="zh-CN"/>
        </w:rPr>
        <w:t>采矿方法间柱为永久矿柱，</w:t>
      </w:r>
      <w:r>
        <w:rPr>
          <w:rFonts w:hint="eastAsia"/>
          <w:color w:val="auto"/>
          <w:lang w:val="en-US" w:eastAsia="zh-CN"/>
        </w:rPr>
        <w:t>拟</w:t>
      </w:r>
      <w:r>
        <w:rPr>
          <w:rFonts w:hint="default"/>
          <w:color w:val="auto"/>
          <w:lang w:val="en-US" w:eastAsia="zh-CN"/>
        </w:rPr>
        <w:t>不再进行矿柱回采工作。</w:t>
      </w:r>
    </w:p>
    <w:p w14:paraId="462FC94C">
      <w:pPr>
        <w:rPr>
          <w:rFonts w:hint="default"/>
          <w:color w:val="auto"/>
          <w:lang w:val="en-US" w:eastAsia="zh-CN"/>
        </w:rPr>
      </w:pPr>
      <w:r>
        <w:rPr>
          <w:rFonts w:hint="default"/>
          <w:color w:val="auto"/>
          <w:lang w:val="en-US" w:eastAsia="zh-CN"/>
        </w:rPr>
        <w:t>(</w:t>
      </w:r>
      <w:r>
        <w:rPr>
          <w:rFonts w:hint="eastAsia"/>
          <w:color w:val="auto"/>
          <w:lang w:val="en-US" w:eastAsia="zh-CN"/>
        </w:rPr>
        <w:t>3</w:t>
      </w:r>
      <w:r>
        <w:rPr>
          <w:rFonts w:hint="default"/>
          <w:color w:val="auto"/>
          <w:lang w:val="en-US" w:eastAsia="zh-CN"/>
        </w:rPr>
        <w:t>)矿石搬运</w:t>
      </w:r>
    </w:p>
    <w:p w14:paraId="4C1C897F">
      <w:pPr>
        <w:rPr>
          <w:rFonts w:hint="default"/>
          <w:color w:val="auto"/>
          <w:lang w:val="en-US" w:eastAsia="zh-CN"/>
        </w:rPr>
      </w:pPr>
      <w:r>
        <w:rPr>
          <w:rFonts w:hint="default"/>
          <w:color w:val="auto"/>
          <w:lang w:val="en-US" w:eastAsia="zh-CN"/>
        </w:rPr>
        <w:t>矿房底部为平底结构，采用铲运机出矿的方式</w:t>
      </w:r>
      <w:r>
        <w:rPr>
          <w:rFonts w:hint="eastAsia"/>
          <w:color w:val="auto"/>
          <w:lang w:val="en-US" w:eastAsia="zh-CN"/>
        </w:rPr>
        <w:t>。</w:t>
      </w:r>
      <w:r>
        <w:rPr>
          <w:rFonts w:hint="default"/>
          <w:color w:val="auto"/>
          <w:lang w:val="en-US" w:eastAsia="zh-CN"/>
        </w:rPr>
        <w:t>矿石搬运利用WDJ-2电动铲运机铲装至20t矿用汽车运出地表。铲运机台班效率</w:t>
      </w:r>
      <w:r>
        <w:rPr>
          <w:rFonts w:hint="eastAsia"/>
          <w:color w:val="auto"/>
          <w:lang w:val="en-US" w:eastAsia="zh-CN"/>
        </w:rPr>
        <w:t>为</w:t>
      </w:r>
      <w:r>
        <w:rPr>
          <w:rFonts w:hint="default"/>
          <w:color w:val="auto"/>
          <w:lang w:val="en-US" w:eastAsia="zh-CN"/>
        </w:rPr>
        <w:t>280t/台·班。</w:t>
      </w:r>
    </w:p>
    <w:p w14:paraId="7D113090">
      <w:pPr>
        <w:rPr>
          <w:rFonts w:hint="default"/>
          <w:color w:val="auto"/>
          <w:lang w:val="en-US" w:eastAsia="zh-CN"/>
        </w:rPr>
      </w:pPr>
      <w:r>
        <w:rPr>
          <w:rFonts w:hint="default"/>
          <w:color w:val="auto"/>
          <w:lang w:val="en-US" w:eastAsia="zh-CN"/>
        </w:rPr>
        <w:t>(</w:t>
      </w:r>
      <w:r>
        <w:rPr>
          <w:rFonts w:hint="eastAsia"/>
          <w:color w:val="auto"/>
          <w:lang w:val="en-US" w:eastAsia="zh-CN"/>
        </w:rPr>
        <w:t>4</w:t>
      </w:r>
      <w:r>
        <w:rPr>
          <w:rFonts w:hint="default"/>
          <w:color w:val="auto"/>
          <w:lang w:val="en-US" w:eastAsia="zh-CN"/>
        </w:rPr>
        <w:t>)地压管理</w:t>
      </w:r>
    </w:p>
    <w:p w14:paraId="7A1CCB50">
      <w:pPr>
        <w:rPr>
          <w:rFonts w:hint="default"/>
          <w:color w:val="auto"/>
          <w:lang w:val="en-US" w:eastAsia="zh-CN"/>
        </w:rPr>
      </w:pPr>
      <w:r>
        <w:rPr>
          <w:rFonts w:hint="eastAsia"/>
          <w:color w:val="auto"/>
          <w:lang w:val="en-US" w:eastAsia="zh-CN"/>
        </w:rPr>
        <w:t>拟采用</w:t>
      </w:r>
      <w:r>
        <w:rPr>
          <w:rFonts w:hint="default"/>
          <w:color w:val="auto"/>
          <w:lang w:val="en-US" w:eastAsia="zh-CN"/>
        </w:rPr>
        <w:t>中深孔房柱法留设永久间柱，起到支撑围岩的作用。回采后采空区</w:t>
      </w:r>
      <w:r>
        <w:rPr>
          <w:rFonts w:hint="eastAsia"/>
          <w:color w:val="auto"/>
          <w:lang w:val="en-US" w:eastAsia="zh-CN"/>
        </w:rPr>
        <w:t>拟</w:t>
      </w:r>
      <w:r>
        <w:rPr>
          <w:rFonts w:hint="default"/>
          <w:color w:val="auto"/>
          <w:lang w:val="en-US" w:eastAsia="zh-CN"/>
        </w:rPr>
        <w:t>采用密闭墙进行封闭处理。</w:t>
      </w:r>
    </w:p>
    <w:p w14:paraId="3814AF40">
      <w:pPr>
        <w:rPr>
          <w:rFonts w:hint="default"/>
          <w:color w:val="auto"/>
          <w:lang w:val="en-US" w:eastAsia="zh-CN"/>
        </w:rPr>
      </w:pPr>
      <w:r>
        <w:rPr>
          <w:rFonts w:hint="default"/>
          <w:color w:val="auto"/>
          <w:lang w:val="en-US" w:eastAsia="zh-CN"/>
        </w:rPr>
        <w:t>(</w:t>
      </w:r>
      <w:r>
        <w:rPr>
          <w:rFonts w:hint="eastAsia"/>
          <w:color w:val="auto"/>
          <w:lang w:val="en-US" w:eastAsia="zh-CN"/>
        </w:rPr>
        <w:t>5</w:t>
      </w:r>
      <w:r>
        <w:rPr>
          <w:rFonts w:hint="default"/>
          <w:color w:val="auto"/>
          <w:lang w:val="en-US" w:eastAsia="zh-CN"/>
        </w:rPr>
        <w:t>)矿块通风及除尘</w:t>
      </w:r>
    </w:p>
    <w:p w14:paraId="7A33E755">
      <w:pPr>
        <w:rPr>
          <w:rFonts w:hint="default"/>
          <w:color w:val="auto"/>
          <w:lang w:val="en-US" w:eastAsia="zh-CN"/>
        </w:rPr>
      </w:pPr>
      <w:r>
        <w:rPr>
          <w:rFonts w:hint="default"/>
          <w:color w:val="auto"/>
          <w:lang w:val="en-US" w:eastAsia="zh-CN"/>
        </w:rPr>
        <w:t>采场工作面采用抽出式局扇通风，污风由联络巷进入到回风平巷，</w:t>
      </w:r>
      <w:r>
        <w:rPr>
          <w:rFonts w:hint="eastAsia"/>
          <w:color w:val="auto"/>
          <w:lang w:val="en-US" w:eastAsia="zh-CN"/>
        </w:rPr>
        <w:t>再</w:t>
      </w:r>
      <w:r>
        <w:rPr>
          <w:rFonts w:hint="default"/>
          <w:color w:val="auto"/>
          <w:lang w:val="en-US" w:eastAsia="zh-CN"/>
        </w:rPr>
        <w:t>由回风平巷进入回风井，最后排出地表。选用JK58-1N4.5型局扇进行采场通风。</w:t>
      </w:r>
    </w:p>
    <w:p w14:paraId="556D15B8">
      <w:pPr>
        <w:rPr>
          <w:rFonts w:hint="default"/>
          <w:color w:val="auto"/>
          <w:lang w:val="en-US" w:eastAsia="zh-CN"/>
        </w:rPr>
      </w:pPr>
      <w:r>
        <w:rPr>
          <w:rFonts w:hint="default"/>
          <w:color w:val="auto"/>
          <w:lang w:val="en-US" w:eastAsia="zh-CN"/>
        </w:rPr>
        <w:t>回采工作面和掘进工作面采用湿式凿岩，出渣和出矿工作面</w:t>
      </w:r>
      <w:r>
        <w:rPr>
          <w:rFonts w:hint="eastAsia"/>
          <w:color w:val="auto"/>
          <w:lang w:val="en-US" w:eastAsia="zh-CN"/>
        </w:rPr>
        <w:t>拟采用</w:t>
      </w:r>
      <w:r>
        <w:rPr>
          <w:rFonts w:hint="default"/>
          <w:color w:val="auto"/>
          <w:lang w:val="en-US" w:eastAsia="zh-CN"/>
        </w:rPr>
        <w:t>喷雾洒水，装卸矿地点采取净化措施。</w:t>
      </w:r>
    </w:p>
    <w:p w14:paraId="07C3A6D0">
      <w:pPr>
        <w:pStyle w:val="5"/>
        <w:bidi w:val="0"/>
        <w:rPr>
          <w:rFonts w:hint="default"/>
          <w:color w:val="auto"/>
          <w:lang w:val="en-US" w:eastAsia="zh-CN"/>
        </w:rPr>
      </w:pPr>
      <w:r>
        <w:rPr>
          <w:rFonts w:hint="eastAsia"/>
          <w:color w:val="auto"/>
          <w:lang w:val="en-US" w:eastAsia="zh-CN"/>
        </w:rPr>
        <w:t>2.4.6.4设备选型</w:t>
      </w:r>
    </w:p>
    <w:p w14:paraId="4882071C">
      <w:pPr>
        <w:rPr>
          <w:rFonts w:hint="eastAsia"/>
          <w:color w:val="auto"/>
          <w:lang w:val="en-US" w:eastAsia="zh-CN"/>
        </w:rPr>
      </w:pPr>
      <w:r>
        <w:rPr>
          <w:rFonts w:hint="eastAsia"/>
          <w:color w:val="auto"/>
          <w:lang w:val="en-US" w:eastAsia="zh-CN"/>
        </w:rPr>
        <w:t>矿山采掘运输设备见下表。</w:t>
      </w:r>
    </w:p>
    <w:p w14:paraId="7CB2F770">
      <w:pPr>
        <w:ind w:left="0" w:leftChars="0" w:firstLine="0" w:firstLineChars="0"/>
        <w:jc w:val="center"/>
        <w:rPr>
          <w:rFonts w:hint="eastAsia"/>
          <w:b/>
          <w:bCs/>
          <w:color w:val="auto"/>
          <w:lang w:val="en-US" w:eastAsia="zh-CN"/>
        </w:rPr>
      </w:pPr>
      <w:r>
        <w:rPr>
          <w:rFonts w:hint="eastAsia"/>
          <w:b/>
          <w:bCs/>
          <w:color w:val="auto"/>
          <w:lang w:val="en-US" w:eastAsia="zh-CN"/>
        </w:rPr>
        <w:t>表2.4.6 矿山采掘运输设备明细表</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1"/>
        <w:gridCol w:w="2387"/>
        <w:gridCol w:w="738"/>
        <w:gridCol w:w="1362"/>
        <w:gridCol w:w="1300"/>
        <w:gridCol w:w="1275"/>
        <w:gridCol w:w="1801"/>
      </w:tblGrid>
      <w:tr w14:paraId="5A5EA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1" w:type="dxa"/>
            <w:vMerge w:val="restart"/>
            <w:vAlign w:val="center"/>
          </w:tcPr>
          <w:p w14:paraId="485D7F3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firstLine="0" w:firstLineChars="0"/>
              <w:jc w:val="center"/>
              <w:textAlignment w:val="auto"/>
              <w:rPr>
                <w:rFonts w:hint="eastAsia" w:asciiTheme="minorEastAsia" w:hAnsiTheme="minorEastAsia" w:eastAsiaTheme="minorEastAsia" w:cstheme="minorEastAsia"/>
                <w:b/>
                <w:bCs/>
                <w:color w:val="auto"/>
                <w:sz w:val="21"/>
                <w:szCs w:val="21"/>
                <w:vertAlign w:val="baseline"/>
                <w:lang w:val="en-US" w:eastAsia="zh-CN"/>
              </w:rPr>
            </w:pPr>
            <w:r>
              <w:rPr>
                <w:rFonts w:hint="eastAsia" w:asciiTheme="minorEastAsia" w:hAnsiTheme="minorEastAsia" w:eastAsiaTheme="minorEastAsia" w:cstheme="minorEastAsia"/>
                <w:b/>
                <w:bCs/>
                <w:color w:val="auto"/>
                <w:sz w:val="21"/>
                <w:szCs w:val="21"/>
                <w:vertAlign w:val="baseline"/>
                <w:lang w:val="en-US" w:eastAsia="zh-CN"/>
              </w:rPr>
              <w:t>序号</w:t>
            </w:r>
          </w:p>
        </w:tc>
        <w:tc>
          <w:tcPr>
            <w:tcW w:w="2387" w:type="dxa"/>
            <w:vMerge w:val="restart"/>
            <w:vAlign w:val="center"/>
          </w:tcPr>
          <w:p w14:paraId="1561CFA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firstLine="0" w:firstLineChars="0"/>
              <w:jc w:val="center"/>
              <w:textAlignment w:val="auto"/>
              <w:rPr>
                <w:rFonts w:hint="eastAsia" w:asciiTheme="minorEastAsia" w:hAnsiTheme="minorEastAsia" w:eastAsiaTheme="minorEastAsia" w:cstheme="minorEastAsia"/>
                <w:b/>
                <w:bCs/>
                <w:color w:val="auto"/>
                <w:sz w:val="21"/>
                <w:szCs w:val="21"/>
                <w:vertAlign w:val="baseline"/>
                <w:lang w:val="en-US" w:eastAsia="zh-CN"/>
              </w:rPr>
            </w:pPr>
            <w:r>
              <w:rPr>
                <w:rFonts w:hint="eastAsia" w:asciiTheme="minorEastAsia" w:hAnsiTheme="minorEastAsia" w:eastAsiaTheme="minorEastAsia" w:cstheme="minorEastAsia"/>
                <w:b/>
                <w:bCs/>
                <w:color w:val="auto"/>
                <w:sz w:val="21"/>
                <w:szCs w:val="21"/>
                <w:vertAlign w:val="baseline"/>
                <w:lang w:val="en-US" w:eastAsia="zh-CN"/>
              </w:rPr>
              <w:t>设备名称</w:t>
            </w:r>
          </w:p>
        </w:tc>
        <w:tc>
          <w:tcPr>
            <w:tcW w:w="738" w:type="dxa"/>
            <w:vMerge w:val="restart"/>
            <w:vAlign w:val="center"/>
          </w:tcPr>
          <w:p w14:paraId="66CC2F7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firstLine="0" w:firstLineChars="0"/>
              <w:jc w:val="center"/>
              <w:textAlignment w:val="auto"/>
              <w:rPr>
                <w:rFonts w:hint="eastAsia" w:asciiTheme="minorEastAsia" w:hAnsiTheme="minorEastAsia" w:eastAsiaTheme="minorEastAsia" w:cstheme="minorEastAsia"/>
                <w:b/>
                <w:bCs/>
                <w:color w:val="auto"/>
                <w:sz w:val="21"/>
                <w:szCs w:val="21"/>
                <w:vertAlign w:val="baseline"/>
                <w:lang w:val="en-US" w:eastAsia="zh-CN"/>
              </w:rPr>
            </w:pPr>
            <w:r>
              <w:rPr>
                <w:rFonts w:hint="eastAsia" w:asciiTheme="minorEastAsia" w:hAnsiTheme="minorEastAsia" w:eastAsiaTheme="minorEastAsia" w:cstheme="minorEastAsia"/>
                <w:b/>
                <w:bCs/>
                <w:color w:val="auto"/>
                <w:sz w:val="21"/>
                <w:szCs w:val="21"/>
                <w:vertAlign w:val="baseline"/>
                <w:lang w:val="en-US" w:eastAsia="zh-CN"/>
              </w:rPr>
              <w:t>单位</w:t>
            </w:r>
          </w:p>
        </w:tc>
        <w:tc>
          <w:tcPr>
            <w:tcW w:w="3937" w:type="dxa"/>
            <w:gridSpan w:val="3"/>
            <w:vAlign w:val="center"/>
          </w:tcPr>
          <w:p w14:paraId="7FC1D3A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firstLine="0" w:firstLineChars="0"/>
              <w:jc w:val="center"/>
              <w:textAlignment w:val="auto"/>
              <w:rPr>
                <w:rFonts w:hint="eastAsia" w:asciiTheme="minorEastAsia" w:hAnsiTheme="minorEastAsia" w:eastAsiaTheme="minorEastAsia" w:cstheme="minorEastAsia"/>
                <w:b/>
                <w:bCs/>
                <w:color w:val="auto"/>
                <w:sz w:val="21"/>
                <w:szCs w:val="21"/>
                <w:vertAlign w:val="baseline"/>
                <w:lang w:val="en-US" w:eastAsia="zh-CN"/>
              </w:rPr>
            </w:pPr>
            <w:r>
              <w:rPr>
                <w:rFonts w:hint="eastAsia" w:asciiTheme="minorEastAsia" w:hAnsiTheme="minorEastAsia" w:eastAsiaTheme="minorEastAsia" w:cstheme="minorEastAsia"/>
                <w:b/>
                <w:bCs/>
                <w:color w:val="auto"/>
                <w:sz w:val="21"/>
                <w:szCs w:val="21"/>
                <w:vertAlign w:val="baseline"/>
                <w:lang w:val="en-US" w:eastAsia="zh-CN"/>
              </w:rPr>
              <w:t>数量</w:t>
            </w:r>
          </w:p>
        </w:tc>
        <w:tc>
          <w:tcPr>
            <w:tcW w:w="1801" w:type="dxa"/>
            <w:vMerge w:val="restart"/>
            <w:vAlign w:val="center"/>
          </w:tcPr>
          <w:p w14:paraId="2EEC25D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firstLine="0" w:firstLineChars="0"/>
              <w:jc w:val="center"/>
              <w:textAlignment w:val="auto"/>
              <w:rPr>
                <w:rFonts w:hint="eastAsia" w:asciiTheme="minorEastAsia" w:hAnsiTheme="minorEastAsia" w:eastAsiaTheme="minorEastAsia" w:cstheme="minorEastAsia"/>
                <w:b/>
                <w:bCs/>
                <w:color w:val="auto"/>
                <w:sz w:val="21"/>
                <w:szCs w:val="21"/>
                <w:vertAlign w:val="baseline"/>
                <w:lang w:val="en-US" w:eastAsia="zh-CN"/>
              </w:rPr>
            </w:pPr>
            <w:r>
              <w:rPr>
                <w:rFonts w:hint="eastAsia" w:asciiTheme="minorEastAsia" w:hAnsiTheme="minorEastAsia" w:eastAsiaTheme="minorEastAsia" w:cstheme="minorEastAsia"/>
                <w:b/>
                <w:bCs/>
                <w:color w:val="auto"/>
                <w:sz w:val="21"/>
                <w:szCs w:val="21"/>
                <w:vertAlign w:val="baseline"/>
                <w:lang w:val="en-US" w:eastAsia="zh-CN"/>
              </w:rPr>
              <w:t>备注</w:t>
            </w:r>
          </w:p>
        </w:tc>
      </w:tr>
      <w:tr w14:paraId="00055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1" w:type="dxa"/>
            <w:vMerge w:val="continue"/>
          </w:tcPr>
          <w:p w14:paraId="58E2A9A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firstLine="0" w:firstLineChars="0"/>
              <w:jc w:val="center"/>
              <w:textAlignment w:val="auto"/>
              <w:rPr>
                <w:rFonts w:hint="eastAsia" w:asciiTheme="minorEastAsia" w:hAnsiTheme="minorEastAsia" w:eastAsiaTheme="minorEastAsia" w:cstheme="minorEastAsia"/>
                <w:color w:val="auto"/>
                <w:sz w:val="21"/>
                <w:szCs w:val="21"/>
                <w:vertAlign w:val="baseline"/>
                <w:lang w:val="en-US" w:eastAsia="zh-CN"/>
              </w:rPr>
            </w:pPr>
          </w:p>
        </w:tc>
        <w:tc>
          <w:tcPr>
            <w:tcW w:w="2387" w:type="dxa"/>
            <w:vMerge w:val="continue"/>
          </w:tcPr>
          <w:p w14:paraId="632A32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eastAsia" w:asciiTheme="minorEastAsia" w:hAnsiTheme="minorEastAsia" w:eastAsiaTheme="minorEastAsia" w:cstheme="minorEastAsia"/>
                <w:color w:val="auto"/>
                <w:sz w:val="21"/>
                <w:szCs w:val="21"/>
                <w:vertAlign w:val="baseline"/>
                <w:lang w:val="en-US" w:eastAsia="zh-CN"/>
              </w:rPr>
            </w:pPr>
          </w:p>
        </w:tc>
        <w:tc>
          <w:tcPr>
            <w:tcW w:w="738" w:type="dxa"/>
            <w:vMerge w:val="continue"/>
          </w:tcPr>
          <w:p w14:paraId="119C4BF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eastAsia" w:asciiTheme="minorEastAsia" w:hAnsiTheme="minorEastAsia" w:eastAsiaTheme="minorEastAsia" w:cstheme="minorEastAsia"/>
                <w:color w:val="auto"/>
                <w:sz w:val="21"/>
                <w:szCs w:val="21"/>
                <w:vertAlign w:val="baseline"/>
                <w:lang w:val="en-US" w:eastAsia="zh-CN"/>
              </w:rPr>
            </w:pPr>
          </w:p>
        </w:tc>
        <w:tc>
          <w:tcPr>
            <w:tcW w:w="1362" w:type="dxa"/>
            <w:vAlign w:val="center"/>
          </w:tcPr>
          <w:p w14:paraId="2AEDA3A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firstLine="0" w:firstLineChars="0"/>
              <w:jc w:val="center"/>
              <w:textAlignment w:val="auto"/>
              <w:rPr>
                <w:rFonts w:hint="eastAsia" w:asciiTheme="minorEastAsia" w:hAnsiTheme="minorEastAsia" w:eastAsiaTheme="minorEastAsia" w:cstheme="minorEastAsia"/>
                <w:b/>
                <w:bCs/>
                <w:color w:val="auto"/>
                <w:sz w:val="21"/>
                <w:szCs w:val="21"/>
                <w:vertAlign w:val="baseline"/>
                <w:lang w:val="en-US" w:eastAsia="zh-CN"/>
              </w:rPr>
            </w:pPr>
            <w:r>
              <w:rPr>
                <w:rFonts w:hint="eastAsia" w:asciiTheme="minorEastAsia" w:hAnsiTheme="minorEastAsia" w:eastAsiaTheme="minorEastAsia" w:cstheme="minorEastAsia"/>
                <w:b/>
                <w:bCs/>
                <w:color w:val="auto"/>
                <w:sz w:val="21"/>
                <w:szCs w:val="21"/>
                <w:vertAlign w:val="baseline"/>
                <w:lang w:val="en-US" w:eastAsia="zh-CN"/>
              </w:rPr>
              <w:t>使用</w:t>
            </w:r>
          </w:p>
        </w:tc>
        <w:tc>
          <w:tcPr>
            <w:tcW w:w="1300" w:type="dxa"/>
            <w:vAlign w:val="center"/>
          </w:tcPr>
          <w:p w14:paraId="47E7858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firstLine="0" w:firstLineChars="0"/>
              <w:jc w:val="center"/>
              <w:textAlignment w:val="auto"/>
              <w:rPr>
                <w:rFonts w:hint="eastAsia" w:asciiTheme="minorEastAsia" w:hAnsiTheme="minorEastAsia" w:eastAsiaTheme="minorEastAsia" w:cstheme="minorEastAsia"/>
                <w:b/>
                <w:bCs/>
                <w:color w:val="auto"/>
                <w:sz w:val="21"/>
                <w:szCs w:val="21"/>
                <w:vertAlign w:val="baseline"/>
                <w:lang w:val="en-US" w:eastAsia="zh-CN"/>
              </w:rPr>
            </w:pPr>
            <w:r>
              <w:rPr>
                <w:rFonts w:hint="eastAsia" w:asciiTheme="minorEastAsia" w:hAnsiTheme="minorEastAsia" w:eastAsiaTheme="minorEastAsia" w:cstheme="minorEastAsia"/>
                <w:b/>
                <w:bCs/>
                <w:color w:val="auto"/>
                <w:sz w:val="21"/>
                <w:szCs w:val="21"/>
                <w:vertAlign w:val="baseline"/>
                <w:lang w:val="en-US" w:eastAsia="zh-CN"/>
              </w:rPr>
              <w:t>备用</w:t>
            </w:r>
          </w:p>
        </w:tc>
        <w:tc>
          <w:tcPr>
            <w:tcW w:w="1275" w:type="dxa"/>
            <w:vAlign w:val="center"/>
          </w:tcPr>
          <w:p w14:paraId="10B9DA9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firstLine="0" w:firstLineChars="0"/>
              <w:jc w:val="center"/>
              <w:textAlignment w:val="auto"/>
              <w:rPr>
                <w:rFonts w:hint="eastAsia" w:asciiTheme="minorEastAsia" w:hAnsiTheme="minorEastAsia" w:eastAsiaTheme="minorEastAsia" w:cstheme="minorEastAsia"/>
                <w:b/>
                <w:bCs/>
                <w:color w:val="auto"/>
                <w:sz w:val="21"/>
                <w:szCs w:val="21"/>
                <w:vertAlign w:val="baseline"/>
                <w:lang w:val="en-US" w:eastAsia="zh-CN"/>
              </w:rPr>
            </w:pPr>
            <w:r>
              <w:rPr>
                <w:rFonts w:hint="eastAsia" w:asciiTheme="minorEastAsia" w:hAnsiTheme="minorEastAsia" w:eastAsiaTheme="minorEastAsia" w:cstheme="minorEastAsia"/>
                <w:b/>
                <w:bCs/>
                <w:color w:val="auto"/>
                <w:sz w:val="21"/>
                <w:szCs w:val="21"/>
                <w:vertAlign w:val="baseline"/>
                <w:lang w:val="en-US" w:eastAsia="zh-CN"/>
              </w:rPr>
              <w:t>合计</w:t>
            </w:r>
          </w:p>
        </w:tc>
        <w:tc>
          <w:tcPr>
            <w:tcW w:w="1801" w:type="dxa"/>
            <w:vMerge w:val="continue"/>
          </w:tcPr>
          <w:p w14:paraId="284C97E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eastAsia" w:asciiTheme="minorEastAsia" w:hAnsiTheme="minorEastAsia" w:eastAsiaTheme="minorEastAsia" w:cstheme="minorEastAsia"/>
                <w:color w:val="auto"/>
                <w:sz w:val="21"/>
                <w:szCs w:val="21"/>
                <w:vertAlign w:val="baseline"/>
                <w:lang w:val="en-US" w:eastAsia="zh-CN"/>
              </w:rPr>
            </w:pPr>
          </w:p>
        </w:tc>
      </w:tr>
      <w:tr w14:paraId="4317B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651" w:type="dxa"/>
            <w:vAlign w:val="center"/>
          </w:tcPr>
          <w:p w14:paraId="6F7DD57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firstLine="0" w:firstLineChars="0"/>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1</w:t>
            </w:r>
          </w:p>
        </w:tc>
        <w:tc>
          <w:tcPr>
            <w:tcW w:w="2387" w:type="dxa"/>
            <w:vAlign w:val="center"/>
          </w:tcPr>
          <w:p w14:paraId="2984A0D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firstLine="0" w:firstLineChars="0"/>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YT-28气腿式凿岩机</w:t>
            </w:r>
          </w:p>
        </w:tc>
        <w:tc>
          <w:tcPr>
            <w:tcW w:w="738" w:type="dxa"/>
            <w:vAlign w:val="center"/>
          </w:tcPr>
          <w:p w14:paraId="7D76C7F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台</w:t>
            </w:r>
          </w:p>
        </w:tc>
        <w:tc>
          <w:tcPr>
            <w:tcW w:w="1362" w:type="dxa"/>
            <w:vAlign w:val="center"/>
          </w:tcPr>
          <w:p w14:paraId="75A488B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1</w:t>
            </w:r>
          </w:p>
        </w:tc>
        <w:tc>
          <w:tcPr>
            <w:tcW w:w="1300" w:type="dxa"/>
            <w:vAlign w:val="center"/>
          </w:tcPr>
          <w:p w14:paraId="20B3FCA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1</w:t>
            </w:r>
          </w:p>
        </w:tc>
        <w:tc>
          <w:tcPr>
            <w:tcW w:w="1275" w:type="dxa"/>
            <w:vAlign w:val="center"/>
          </w:tcPr>
          <w:p w14:paraId="4701A5C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2</w:t>
            </w:r>
          </w:p>
        </w:tc>
        <w:tc>
          <w:tcPr>
            <w:tcW w:w="1801" w:type="dxa"/>
            <w:vAlign w:val="center"/>
          </w:tcPr>
          <w:p w14:paraId="1F10058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default"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w:t>
            </w:r>
          </w:p>
        </w:tc>
      </w:tr>
      <w:tr w14:paraId="0552B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1" w:type="dxa"/>
            <w:vAlign w:val="center"/>
          </w:tcPr>
          <w:p w14:paraId="19D1675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firstLine="0" w:firstLineChars="0"/>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2</w:t>
            </w:r>
          </w:p>
        </w:tc>
        <w:tc>
          <w:tcPr>
            <w:tcW w:w="2387" w:type="dxa"/>
            <w:vAlign w:val="center"/>
          </w:tcPr>
          <w:p w14:paraId="529A2C6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firstLine="0" w:firstLineChars="0"/>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FT160B型气腿</w:t>
            </w:r>
          </w:p>
        </w:tc>
        <w:tc>
          <w:tcPr>
            <w:tcW w:w="738" w:type="dxa"/>
            <w:vAlign w:val="center"/>
          </w:tcPr>
          <w:p w14:paraId="14E40B6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台</w:t>
            </w:r>
          </w:p>
        </w:tc>
        <w:tc>
          <w:tcPr>
            <w:tcW w:w="1362" w:type="dxa"/>
            <w:shd w:val="clear" w:color="auto" w:fill="auto"/>
            <w:vAlign w:val="center"/>
          </w:tcPr>
          <w:p w14:paraId="40F6CEB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eastAsia" w:asciiTheme="minorEastAsia" w:hAnsiTheme="minorEastAsia" w:eastAsiaTheme="minorEastAsia" w:cstheme="minorEastAsia"/>
                <w:color w:val="auto"/>
                <w:kern w:val="2"/>
                <w:sz w:val="21"/>
                <w:szCs w:val="21"/>
                <w:vertAlign w:val="baseline"/>
                <w:lang w:val="en-US" w:eastAsia="zh-CN" w:bidi="ar-SA"/>
              </w:rPr>
            </w:pPr>
            <w:r>
              <w:rPr>
                <w:rFonts w:hint="eastAsia" w:asciiTheme="minorEastAsia" w:hAnsiTheme="minorEastAsia" w:eastAsiaTheme="minorEastAsia" w:cstheme="minorEastAsia"/>
                <w:color w:val="auto"/>
                <w:sz w:val="21"/>
                <w:szCs w:val="21"/>
                <w:vertAlign w:val="baseline"/>
                <w:lang w:val="en-US" w:eastAsia="zh-CN"/>
              </w:rPr>
              <w:t>1</w:t>
            </w:r>
          </w:p>
        </w:tc>
        <w:tc>
          <w:tcPr>
            <w:tcW w:w="1300" w:type="dxa"/>
            <w:shd w:val="clear" w:color="auto" w:fill="auto"/>
            <w:vAlign w:val="center"/>
          </w:tcPr>
          <w:p w14:paraId="0624C91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eastAsia" w:asciiTheme="minorEastAsia" w:hAnsiTheme="minorEastAsia" w:eastAsiaTheme="minorEastAsia" w:cstheme="minorEastAsia"/>
                <w:color w:val="auto"/>
                <w:kern w:val="2"/>
                <w:sz w:val="21"/>
                <w:szCs w:val="21"/>
                <w:vertAlign w:val="baseline"/>
                <w:lang w:val="en-US" w:eastAsia="zh-CN" w:bidi="ar-SA"/>
              </w:rPr>
            </w:pPr>
            <w:r>
              <w:rPr>
                <w:rFonts w:hint="eastAsia" w:asciiTheme="minorEastAsia" w:hAnsiTheme="minorEastAsia" w:eastAsiaTheme="minorEastAsia" w:cstheme="minorEastAsia"/>
                <w:color w:val="auto"/>
                <w:sz w:val="21"/>
                <w:szCs w:val="21"/>
                <w:vertAlign w:val="baseline"/>
                <w:lang w:val="en-US" w:eastAsia="zh-CN"/>
              </w:rPr>
              <w:t>1</w:t>
            </w:r>
          </w:p>
        </w:tc>
        <w:tc>
          <w:tcPr>
            <w:tcW w:w="1275" w:type="dxa"/>
            <w:shd w:val="clear" w:color="auto" w:fill="auto"/>
            <w:vAlign w:val="center"/>
          </w:tcPr>
          <w:p w14:paraId="380D277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eastAsia" w:asciiTheme="minorEastAsia" w:hAnsiTheme="minorEastAsia" w:eastAsiaTheme="minorEastAsia" w:cstheme="minorEastAsia"/>
                <w:color w:val="auto"/>
                <w:kern w:val="2"/>
                <w:sz w:val="21"/>
                <w:szCs w:val="21"/>
                <w:vertAlign w:val="baseline"/>
                <w:lang w:val="en-US" w:eastAsia="zh-CN" w:bidi="ar-SA"/>
              </w:rPr>
            </w:pPr>
            <w:r>
              <w:rPr>
                <w:rFonts w:hint="eastAsia" w:asciiTheme="minorEastAsia" w:hAnsiTheme="minorEastAsia" w:eastAsiaTheme="minorEastAsia" w:cstheme="minorEastAsia"/>
                <w:color w:val="auto"/>
                <w:sz w:val="21"/>
                <w:szCs w:val="21"/>
                <w:vertAlign w:val="baseline"/>
                <w:lang w:val="en-US" w:eastAsia="zh-CN"/>
              </w:rPr>
              <w:t>2</w:t>
            </w:r>
          </w:p>
        </w:tc>
        <w:tc>
          <w:tcPr>
            <w:tcW w:w="1801" w:type="dxa"/>
            <w:vAlign w:val="center"/>
          </w:tcPr>
          <w:p w14:paraId="5413BFC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default"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w:t>
            </w:r>
          </w:p>
        </w:tc>
      </w:tr>
      <w:tr w14:paraId="441DC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1" w:type="dxa"/>
            <w:vAlign w:val="center"/>
          </w:tcPr>
          <w:p w14:paraId="003064C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firstLine="0" w:firstLineChars="0"/>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3</w:t>
            </w:r>
          </w:p>
        </w:tc>
        <w:tc>
          <w:tcPr>
            <w:tcW w:w="2387" w:type="dxa"/>
            <w:vAlign w:val="center"/>
          </w:tcPr>
          <w:p w14:paraId="3DDF5BD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firstLine="0" w:firstLineChars="0"/>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YSP-45上向式凿岩机</w:t>
            </w:r>
          </w:p>
        </w:tc>
        <w:tc>
          <w:tcPr>
            <w:tcW w:w="738" w:type="dxa"/>
            <w:vAlign w:val="center"/>
          </w:tcPr>
          <w:p w14:paraId="688A607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台</w:t>
            </w:r>
          </w:p>
        </w:tc>
        <w:tc>
          <w:tcPr>
            <w:tcW w:w="1362" w:type="dxa"/>
            <w:shd w:val="clear" w:color="auto" w:fill="auto"/>
            <w:vAlign w:val="center"/>
          </w:tcPr>
          <w:p w14:paraId="7E417FB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eastAsia" w:asciiTheme="minorEastAsia" w:hAnsiTheme="minorEastAsia" w:eastAsiaTheme="minorEastAsia" w:cstheme="minorEastAsia"/>
                <w:color w:val="auto"/>
                <w:kern w:val="2"/>
                <w:sz w:val="21"/>
                <w:szCs w:val="21"/>
                <w:vertAlign w:val="baseline"/>
                <w:lang w:val="en-US" w:eastAsia="zh-CN" w:bidi="ar-SA"/>
              </w:rPr>
            </w:pPr>
            <w:r>
              <w:rPr>
                <w:rFonts w:hint="eastAsia" w:asciiTheme="minorEastAsia" w:hAnsiTheme="minorEastAsia" w:eastAsiaTheme="minorEastAsia" w:cstheme="minorEastAsia"/>
                <w:color w:val="auto"/>
                <w:sz w:val="21"/>
                <w:szCs w:val="21"/>
                <w:vertAlign w:val="baseline"/>
                <w:lang w:val="en-US" w:eastAsia="zh-CN"/>
              </w:rPr>
              <w:t>1</w:t>
            </w:r>
          </w:p>
        </w:tc>
        <w:tc>
          <w:tcPr>
            <w:tcW w:w="1300" w:type="dxa"/>
            <w:shd w:val="clear" w:color="auto" w:fill="auto"/>
            <w:vAlign w:val="center"/>
          </w:tcPr>
          <w:p w14:paraId="6696C5D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eastAsia" w:asciiTheme="minorEastAsia" w:hAnsiTheme="minorEastAsia" w:eastAsiaTheme="minorEastAsia" w:cstheme="minorEastAsia"/>
                <w:color w:val="auto"/>
                <w:kern w:val="2"/>
                <w:sz w:val="21"/>
                <w:szCs w:val="21"/>
                <w:vertAlign w:val="baseline"/>
                <w:lang w:val="en-US" w:eastAsia="zh-CN" w:bidi="ar-SA"/>
              </w:rPr>
            </w:pPr>
            <w:r>
              <w:rPr>
                <w:rFonts w:hint="eastAsia" w:asciiTheme="minorEastAsia" w:hAnsiTheme="minorEastAsia" w:eastAsiaTheme="minorEastAsia" w:cstheme="minorEastAsia"/>
                <w:color w:val="auto"/>
                <w:sz w:val="21"/>
                <w:szCs w:val="21"/>
                <w:vertAlign w:val="baseline"/>
                <w:lang w:val="en-US" w:eastAsia="zh-CN"/>
              </w:rPr>
              <w:t>1</w:t>
            </w:r>
          </w:p>
        </w:tc>
        <w:tc>
          <w:tcPr>
            <w:tcW w:w="1275" w:type="dxa"/>
            <w:shd w:val="clear" w:color="auto" w:fill="auto"/>
            <w:vAlign w:val="center"/>
          </w:tcPr>
          <w:p w14:paraId="10433B8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eastAsia" w:asciiTheme="minorEastAsia" w:hAnsiTheme="minorEastAsia" w:eastAsiaTheme="minorEastAsia" w:cstheme="minorEastAsia"/>
                <w:color w:val="auto"/>
                <w:kern w:val="2"/>
                <w:sz w:val="21"/>
                <w:szCs w:val="21"/>
                <w:vertAlign w:val="baseline"/>
                <w:lang w:val="en-US" w:eastAsia="zh-CN" w:bidi="ar-SA"/>
              </w:rPr>
            </w:pPr>
            <w:r>
              <w:rPr>
                <w:rFonts w:hint="eastAsia" w:asciiTheme="minorEastAsia" w:hAnsiTheme="minorEastAsia" w:eastAsiaTheme="minorEastAsia" w:cstheme="minorEastAsia"/>
                <w:color w:val="auto"/>
                <w:sz w:val="21"/>
                <w:szCs w:val="21"/>
                <w:vertAlign w:val="baseline"/>
                <w:lang w:val="en-US" w:eastAsia="zh-CN"/>
              </w:rPr>
              <w:t>2</w:t>
            </w:r>
          </w:p>
        </w:tc>
        <w:tc>
          <w:tcPr>
            <w:tcW w:w="1801" w:type="dxa"/>
            <w:vAlign w:val="center"/>
          </w:tcPr>
          <w:p w14:paraId="2551403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default"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w:t>
            </w:r>
          </w:p>
        </w:tc>
      </w:tr>
      <w:tr w14:paraId="1F68C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1" w:type="dxa"/>
            <w:vAlign w:val="center"/>
          </w:tcPr>
          <w:p w14:paraId="3B76B15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firstLine="0" w:firstLineChars="0"/>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4</w:t>
            </w:r>
          </w:p>
        </w:tc>
        <w:tc>
          <w:tcPr>
            <w:tcW w:w="2387" w:type="dxa"/>
            <w:vAlign w:val="center"/>
          </w:tcPr>
          <w:p w14:paraId="662247B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firstLine="0" w:firstLineChars="0"/>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FT190型气腿</w:t>
            </w:r>
          </w:p>
        </w:tc>
        <w:tc>
          <w:tcPr>
            <w:tcW w:w="738" w:type="dxa"/>
            <w:vAlign w:val="center"/>
          </w:tcPr>
          <w:p w14:paraId="10DCFD7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台</w:t>
            </w:r>
          </w:p>
        </w:tc>
        <w:tc>
          <w:tcPr>
            <w:tcW w:w="1362" w:type="dxa"/>
            <w:shd w:val="clear" w:color="auto" w:fill="auto"/>
            <w:vAlign w:val="center"/>
          </w:tcPr>
          <w:p w14:paraId="22BF4AE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eastAsia" w:asciiTheme="minorEastAsia" w:hAnsiTheme="minorEastAsia" w:eastAsiaTheme="minorEastAsia" w:cstheme="minorEastAsia"/>
                <w:color w:val="auto"/>
                <w:kern w:val="2"/>
                <w:sz w:val="21"/>
                <w:szCs w:val="21"/>
                <w:vertAlign w:val="baseline"/>
                <w:lang w:val="en-US" w:eastAsia="zh-CN" w:bidi="ar-SA"/>
              </w:rPr>
            </w:pPr>
            <w:r>
              <w:rPr>
                <w:rFonts w:hint="eastAsia" w:asciiTheme="minorEastAsia" w:hAnsiTheme="minorEastAsia" w:eastAsiaTheme="minorEastAsia" w:cstheme="minorEastAsia"/>
                <w:color w:val="auto"/>
                <w:sz w:val="21"/>
                <w:szCs w:val="21"/>
                <w:vertAlign w:val="baseline"/>
                <w:lang w:val="en-US" w:eastAsia="zh-CN"/>
              </w:rPr>
              <w:t>1</w:t>
            </w:r>
          </w:p>
        </w:tc>
        <w:tc>
          <w:tcPr>
            <w:tcW w:w="1300" w:type="dxa"/>
            <w:shd w:val="clear" w:color="auto" w:fill="auto"/>
            <w:vAlign w:val="center"/>
          </w:tcPr>
          <w:p w14:paraId="32A84EA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eastAsia" w:asciiTheme="minorEastAsia" w:hAnsiTheme="minorEastAsia" w:eastAsiaTheme="minorEastAsia" w:cstheme="minorEastAsia"/>
                <w:color w:val="auto"/>
                <w:kern w:val="2"/>
                <w:sz w:val="21"/>
                <w:szCs w:val="21"/>
                <w:vertAlign w:val="baseline"/>
                <w:lang w:val="en-US" w:eastAsia="zh-CN" w:bidi="ar-SA"/>
              </w:rPr>
            </w:pPr>
            <w:r>
              <w:rPr>
                <w:rFonts w:hint="eastAsia" w:asciiTheme="minorEastAsia" w:hAnsiTheme="minorEastAsia" w:eastAsiaTheme="minorEastAsia" w:cstheme="minorEastAsia"/>
                <w:color w:val="auto"/>
                <w:sz w:val="21"/>
                <w:szCs w:val="21"/>
                <w:vertAlign w:val="baseline"/>
                <w:lang w:val="en-US" w:eastAsia="zh-CN"/>
              </w:rPr>
              <w:t>1</w:t>
            </w:r>
          </w:p>
        </w:tc>
        <w:tc>
          <w:tcPr>
            <w:tcW w:w="1275" w:type="dxa"/>
            <w:shd w:val="clear" w:color="auto" w:fill="auto"/>
            <w:vAlign w:val="center"/>
          </w:tcPr>
          <w:p w14:paraId="7F4DF9F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eastAsia" w:asciiTheme="minorEastAsia" w:hAnsiTheme="minorEastAsia" w:eastAsiaTheme="minorEastAsia" w:cstheme="minorEastAsia"/>
                <w:color w:val="auto"/>
                <w:kern w:val="2"/>
                <w:sz w:val="21"/>
                <w:szCs w:val="21"/>
                <w:vertAlign w:val="baseline"/>
                <w:lang w:val="en-US" w:eastAsia="zh-CN" w:bidi="ar-SA"/>
              </w:rPr>
            </w:pPr>
            <w:r>
              <w:rPr>
                <w:rFonts w:hint="eastAsia" w:asciiTheme="minorEastAsia" w:hAnsiTheme="minorEastAsia" w:eastAsiaTheme="minorEastAsia" w:cstheme="minorEastAsia"/>
                <w:color w:val="auto"/>
                <w:sz w:val="21"/>
                <w:szCs w:val="21"/>
                <w:vertAlign w:val="baseline"/>
                <w:lang w:val="en-US" w:eastAsia="zh-CN"/>
              </w:rPr>
              <w:t>2</w:t>
            </w:r>
          </w:p>
        </w:tc>
        <w:tc>
          <w:tcPr>
            <w:tcW w:w="1801" w:type="dxa"/>
            <w:vAlign w:val="center"/>
          </w:tcPr>
          <w:p w14:paraId="18C094B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default"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w:t>
            </w:r>
          </w:p>
        </w:tc>
      </w:tr>
      <w:tr w14:paraId="30970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1" w:type="dxa"/>
            <w:vAlign w:val="center"/>
          </w:tcPr>
          <w:p w14:paraId="2222747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firstLine="0" w:firstLineChars="0"/>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5</w:t>
            </w:r>
          </w:p>
        </w:tc>
        <w:tc>
          <w:tcPr>
            <w:tcW w:w="2387" w:type="dxa"/>
            <w:vAlign w:val="center"/>
          </w:tcPr>
          <w:p w14:paraId="12DF677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firstLine="0" w:firstLineChars="0"/>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YGZ-90上向式凿岩机</w:t>
            </w:r>
          </w:p>
        </w:tc>
        <w:tc>
          <w:tcPr>
            <w:tcW w:w="738" w:type="dxa"/>
            <w:vAlign w:val="center"/>
          </w:tcPr>
          <w:p w14:paraId="21AAE1A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台</w:t>
            </w:r>
          </w:p>
        </w:tc>
        <w:tc>
          <w:tcPr>
            <w:tcW w:w="1362" w:type="dxa"/>
            <w:shd w:val="clear" w:color="auto" w:fill="auto"/>
            <w:vAlign w:val="center"/>
          </w:tcPr>
          <w:p w14:paraId="554220B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eastAsia" w:asciiTheme="minorEastAsia" w:hAnsiTheme="minorEastAsia" w:eastAsiaTheme="minorEastAsia" w:cstheme="minorEastAsia"/>
                <w:color w:val="auto"/>
                <w:kern w:val="2"/>
                <w:sz w:val="21"/>
                <w:szCs w:val="21"/>
                <w:vertAlign w:val="baseline"/>
                <w:lang w:val="en-US" w:eastAsia="zh-CN" w:bidi="ar-SA"/>
              </w:rPr>
            </w:pPr>
            <w:r>
              <w:rPr>
                <w:rFonts w:hint="eastAsia" w:asciiTheme="minorEastAsia" w:hAnsiTheme="minorEastAsia" w:eastAsiaTheme="minorEastAsia" w:cstheme="minorEastAsia"/>
                <w:color w:val="auto"/>
                <w:sz w:val="21"/>
                <w:szCs w:val="21"/>
                <w:vertAlign w:val="baseline"/>
                <w:lang w:val="en-US" w:eastAsia="zh-CN"/>
              </w:rPr>
              <w:t>1</w:t>
            </w:r>
          </w:p>
        </w:tc>
        <w:tc>
          <w:tcPr>
            <w:tcW w:w="1300" w:type="dxa"/>
            <w:shd w:val="clear" w:color="auto" w:fill="auto"/>
            <w:vAlign w:val="center"/>
          </w:tcPr>
          <w:p w14:paraId="27BB806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eastAsia" w:asciiTheme="minorEastAsia" w:hAnsiTheme="minorEastAsia" w:eastAsiaTheme="minorEastAsia" w:cstheme="minorEastAsia"/>
                <w:color w:val="auto"/>
                <w:kern w:val="2"/>
                <w:sz w:val="21"/>
                <w:szCs w:val="21"/>
                <w:vertAlign w:val="baseline"/>
                <w:lang w:val="en-US" w:eastAsia="zh-CN" w:bidi="ar-SA"/>
              </w:rPr>
            </w:pPr>
            <w:r>
              <w:rPr>
                <w:rFonts w:hint="eastAsia" w:asciiTheme="minorEastAsia" w:hAnsiTheme="minorEastAsia" w:eastAsiaTheme="minorEastAsia" w:cstheme="minorEastAsia"/>
                <w:color w:val="auto"/>
                <w:sz w:val="21"/>
                <w:szCs w:val="21"/>
                <w:vertAlign w:val="baseline"/>
                <w:lang w:val="en-US" w:eastAsia="zh-CN"/>
              </w:rPr>
              <w:t>1</w:t>
            </w:r>
          </w:p>
        </w:tc>
        <w:tc>
          <w:tcPr>
            <w:tcW w:w="1275" w:type="dxa"/>
            <w:shd w:val="clear" w:color="auto" w:fill="auto"/>
            <w:vAlign w:val="center"/>
          </w:tcPr>
          <w:p w14:paraId="59CF722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eastAsia" w:asciiTheme="minorEastAsia" w:hAnsiTheme="minorEastAsia" w:eastAsiaTheme="minorEastAsia" w:cstheme="minorEastAsia"/>
                <w:color w:val="auto"/>
                <w:kern w:val="2"/>
                <w:sz w:val="21"/>
                <w:szCs w:val="21"/>
                <w:vertAlign w:val="baseline"/>
                <w:lang w:val="en-US" w:eastAsia="zh-CN" w:bidi="ar-SA"/>
              </w:rPr>
            </w:pPr>
            <w:r>
              <w:rPr>
                <w:rFonts w:hint="eastAsia" w:asciiTheme="minorEastAsia" w:hAnsiTheme="minorEastAsia" w:eastAsiaTheme="minorEastAsia" w:cstheme="minorEastAsia"/>
                <w:color w:val="auto"/>
                <w:sz w:val="21"/>
                <w:szCs w:val="21"/>
                <w:vertAlign w:val="baseline"/>
                <w:lang w:val="en-US" w:eastAsia="zh-CN"/>
              </w:rPr>
              <w:t>2</w:t>
            </w:r>
          </w:p>
        </w:tc>
        <w:tc>
          <w:tcPr>
            <w:tcW w:w="1801" w:type="dxa"/>
            <w:vAlign w:val="center"/>
          </w:tcPr>
          <w:p w14:paraId="3B047F0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default"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w:t>
            </w:r>
          </w:p>
        </w:tc>
      </w:tr>
      <w:tr w14:paraId="5129B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1" w:type="dxa"/>
            <w:vAlign w:val="center"/>
          </w:tcPr>
          <w:p w14:paraId="450BDBC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firstLine="0" w:firstLineChars="0"/>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6</w:t>
            </w:r>
          </w:p>
        </w:tc>
        <w:tc>
          <w:tcPr>
            <w:tcW w:w="2387" w:type="dxa"/>
            <w:vAlign w:val="center"/>
          </w:tcPr>
          <w:p w14:paraId="402C32A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firstLine="0" w:firstLineChars="0"/>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TJ25圆盘钻架</w:t>
            </w:r>
          </w:p>
        </w:tc>
        <w:tc>
          <w:tcPr>
            <w:tcW w:w="738" w:type="dxa"/>
            <w:vAlign w:val="center"/>
          </w:tcPr>
          <w:p w14:paraId="05FAFBC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台</w:t>
            </w:r>
          </w:p>
        </w:tc>
        <w:tc>
          <w:tcPr>
            <w:tcW w:w="1362" w:type="dxa"/>
            <w:shd w:val="clear" w:color="auto" w:fill="auto"/>
            <w:vAlign w:val="center"/>
          </w:tcPr>
          <w:p w14:paraId="10949EB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eastAsia" w:asciiTheme="minorEastAsia" w:hAnsiTheme="minorEastAsia" w:eastAsiaTheme="minorEastAsia" w:cstheme="minorEastAsia"/>
                <w:color w:val="auto"/>
                <w:kern w:val="2"/>
                <w:sz w:val="21"/>
                <w:szCs w:val="21"/>
                <w:vertAlign w:val="baseline"/>
                <w:lang w:val="en-US" w:eastAsia="zh-CN" w:bidi="ar-SA"/>
              </w:rPr>
            </w:pPr>
            <w:r>
              <w:rPr>
                <w:rFonts w:hint="eastAsia" w:asciiTheme="minorEastAsia" w:hAnsiTheme="minorEastAsia" w:eastAsiaTheme="minorEastAsia" w:cstheme="minorEastAsia"/>
                <w:color w:val="auto"/>
                <w:sz w:val="21"/>
                <w:szCs w:val="21"/>
                <w:vertAlign w:val="baseline"/>
                <w:lang w:val="en-US" w:eastAsia="zh-CN"/>
              </w:rPr>
              <w:t>1</w:t>
            </w:r>
          </w:p>
        </w:tc>
        <w:tc>
          <w:tcPr>
            <w:tcW w:w="1300" w:type="dxa"/>
            <w:shd w:val="clear" w:color="auto" w:fill="auto"/>
            <w:vAlign w:val="center"/>
          </w:tcPr>
          <w:p w14:paraId="0F11C8A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eastAsia" w:asciiTheme="minorEastAsia" w:hAnsiTheme="minorEastAsia" w:eastAsiaTheme="minorEastAsia" w:cstheme="minorEastAsia"/>
                <w:color w:val="auto"/>
                <w:kern w:val="2"/>
                <w:sz w:val="21"/>
                <w:szCs w:val="21"/>
                <w:vertAlign w:val="baseline"/>
                <w:lang w:val="en-US" w:eastAsia="zh-CN" w:bidi="ar-SA"/>
              </w:rPr>
            </w:pPr>
            <w:r>
              <w:rPr>
                <w:rFonts w:hint="eastAsia" w:asciiTheme="minorEastAsia" w:hAnsiTheme="minorEastAsia" w:eastAsiaTheme="minorEastAsia" w:cstheme="minorEastAsia"/>
                <w:color w:val="auto"/>
                <w:sz w:val="21"/>
                <w:szCs w:val="21"/>
                <w:vertAlign w:val="baseline"/>
                <w:lang w:val="en-US" w:eastAsia="zh-CN"/>
              </w:rPr>
              <w:t>1</w:t>
            </w:r>
          </w:p>
        </w:tc>
        <w:tc>
          <w:tcPr>
            <w:tcW w:w="1275" w:type="dxa"/>
            <w:shd w:val="clear" w:color="auto" w:fill="auto"/>
            <w:vAlign w:val="center"/>
          </w:tcPr>
          <w:p w14:paraId="3F8FCFD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eastAsia" w:asciiTheme="minorEastAsia" w:hAnsiTheme="minorEastAsia" w:eastAsiaTheme="minorEastAsia" w:cstheme="minorEastAsia"/>
                <w:color w:val="auto"/>
                <w:kern w:val="2"/>
                <w:sz w:val="21"/>
                <w:szCs w:val="21"/>
                <w:vertAlign w:val="baseline"/>
                <w:lang w:val="en-US" w:eastAsia="zh-CN" w:bidi="ar-SA"/>
              </w:rPr>
            </w:pPr>
            <w:r>
              <w:rPr>
                <w:rFonts w:hint="eastAsia" w:asciiTheme="minorEastAsia" w:hAnsiTheme="minorEastAsia" w:eastAsiaTheme="minorEastAsia" w:cstheme="minorEastAsia"/>
                <w:color w:val="auto"/>
                <w:sz w:val="21"/>
                <w:szCs w:val="21"/>
                <w:vertAlign w:val="baseline"/>
                <w:lang w:val="en-US" w:eastAsia="zh-CN"/>
              </w:rPr>
              <w:t>2</w:t>
            </w:r>
          </w:p>
        </w:tc>
        <w:tc>
          <w:tcPr>
            <w:tcW w:w="1801" w:type="dxa"/>
            <w:vAlign w:val="center"/>
          </w:tcPr>
          <w:p w14:paraId="5A69DEF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default"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w:t>
            </w:r>
          </w:p>
        </w:tc>
      </w:tr>
      <w:tr w14:paraId="35D66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1" w:type="dxa"/>
            <w:vAlign w:val="center"/>
          </w:tcPr>
          <w:p w14:paraId="6BE814E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firstLine="0" w:firstLineChars="0"/>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7</w:t>
            </w:r>
          </w:p>
        </w:tc>
        <w:tc>
          <w:tcPr>
            <w:tcW w:w="2387" w:type="dxa"/>
            <w:vAlign w:val="center"/>
          </w:tcPr>
          <w:p w14:paraId="1A76179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firstLine="0" w:firstLineChars="0"/>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CYTJ45A臂凿岩台车</w:t>
            </w:r>
          </w:p>
        </w:tc>
        <w:tc>
          <w:tcPr>
            <w:tcW w:w="738" w:type="dxa"/>
            <w:vAlign w:val="center"/>
          </w:tcPr>
          <w:p w14:paraId="282136F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台</w:t>
            </w:r>
          </w:p>
        </w:tc>
        <w:tc>
          <w:tcPr>
            <w:tcW w:w="1362" w:type="dxa"/>
            <w:vAlign w:val="center"/>
          </w:tcPr>
          <w:p w14:paraId="7B23020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1</w:t>
            </w:r>
          </w:p>
        </w:tc>
        <w:tc>
          <w:tcPr>
            <w:tcW w:w="1300" w:type="dxa"/>
            <w:vAlign w:val="center"/>
          </w:tcPr>
          <w:p w14:paraId="40869B3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0</w:t>
            </w:r>
          </w:p>
        </w:tc>
        <w:tc>
          <w:tcPr>
            <w:tcW w:w="1275" w:type="dxa"/>
            <w:vAlign w:val="center"/>
          </w:tcPr>
          <w:p w14:paraId="122E877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1</w:t>
            </w:r>
          </w:p>
        </w:tc>
        <w:tc>
          <w:tcPr>
            <w:tcW w:w="1801" w:type="dxa"/>
            <w:vAlign w:val="center"/>
          </w:tcPr>
          <w:p w14:paraId="0BC490F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firstLine="0" w:firstLineChars="0"/>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75kW</w:t>
            </w:r>
          </w:p>
        </w:tc>
      </w:tr>
      <w:tr w14:paraId="09F77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1" w:type="dxa"/>
            <w:vAlign w:val="center"/>
          </w:tcPr>
          <w:p w14:paraId="4A5900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firstLine="0" w:firstLineChars="0"/>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8</w:t>
            </w:r>
          </w:p>
        </w:tc>
        <w:tc>
          <w:tcPr>
            <w:tcW w:w="2387" w:type="dxa"/>
            <w:vAlign w:val="center"/>
          </w:tcPr>
          <w:p w14:paraId="5DAB001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firstLine="0" w:firstLineChars="0"/>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CYTC70深孔台车</w:t>
            </w:r>
          </w:p>
        </w:tc>
        <w:tc>
          <w:tcPr>
            <w:tcW w:w="738" w:type="dxa"/>
            <w:vAlign w:val="center"/>
          </w:tcPr>
          <w:p w14:paraId="7FFE77B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台</w:t>
            </w:r>
          </w:p>
        </w:tc>
        <w:tc>
          <w:tcPr>
            <w:tcW w:w="1362" w:type="dxa"/>
            <w:shd w:val="clear" w:color="auto" w:fill="auto"/>
            <w:vAlign w:val="center"/>
          </w:tcPr>
          <w:p w14:paraId="688EE05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eastAsia" w:asciiTheme="minorEastAsia" w:hAnsiTheme="minorEastAsia" w:eastAsiaTheme="minorEastAsia" w:cstheme="minorEastAsia"/>
                <w:color w:val="auto"/>
                <w:kern w:val="2"/>
                <w:sz w:val="21"/>
                <w:szCs w:val="21"/>
                <w:vertAlign w:val="baseline"/>
                <w:lang w:val="en-US" w:eastAsia="zh-CN" w:bidi="ar-SA"/>
              </w:rPr>
            </w:pPr>
            <w:r>
              <w:rPr>
                <w:rFonts w:hint="eastAsia" w:asciiTheme="minorEastAsia" w:hAnsiTheme="minorEastAsia" w:eastAsiaTheme="minorEastAsia" w:cstheme="minorEastAsia"/>
                <w:color w:val="auto"/>
                <w:sz w:val="21"/>
                <w:szCs w:val="21"/>
                <w:vertAlign w:val="baseline"/>
                <w:lang w:val="en-US" w:eastAsia="zh-CN"/>
              </w:rPr>
              <w:t>1</w:t>
            </w:r>
          </w:p>
        </w:tc>
        <w:tc>
          <w:tcPr>
            <w:tcW w:w="1300" w:type="dxa"/>
            <w:shd w:val="clear" w:color="auto" w:fill="auto"/>
            <w:vAlign w:val="center"/>
          </w:tcPr>
          <w:p w14:paraId="0EAAC94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eastAsia" w:asciiTheme="minorEastAsia" w:hAnsiTheme="minorEastAsia" w:eastAsiaTheme="minorEastAsia" w:cstheme="minorEastAsia"/>
                <w:color w:val="auto"/>
                <w:kern w:val="2"/>
                <w:sz w:val="21"/>
                <w:szCs w:val="21"/>
                <w:vertAlign w:val="baseline"/>
                <w:lang w:val="en-US" w:eastAsia="zh-CN" w:bidi="ar-SA"/>
              </w:rPr>
            </w:pPr>
            <w:r>
              <w:rPr>
                <w:rFonts w:hint="eastAsia" w:asciiTheme="minorEastAsia" w:hAnsiTheme="minorEastAsia" w:eastAsiaTheme="minorEastAsia" w:cstheme="minorEastAsia"/>
                <w:color w:val="auto"/>
                <w:sz w:val="21"/>
                <w:szCs w:val="21"/>
                <w:vertAlign w:val="baseline"/>
                <w:lang w:val="en-US" w:eastAsia="zh-CN"/>
              </w:rPr>
              <w:t>0</w:t>
            </w:r>
          </w:p>
        </w:tc>
        <w:tc>
          <w:tcPr>
            <w:tcW w:w="1275" w:type="dxa"/>
            <w:shd w:val="clear" w:color="auto" w:fill="auto"/>
            <w:vAlign w:val="center"/>
          </w:tcPr>
          <w:p w14:paraId="05C7D07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eastAsia" w:asciiTheme="minorEastAsia" w:hAnsiTheme="minorEastAsia" w:eastAsiaTheme="minorEastAsia" w:cstheme="minorEastAsia"/>
                <w:color w:val="auto"/>
                <w:kern w:val="2"/>
                <w:sz w:val="21"/>
                <w:szCs w:val="21"/>
                <w:vertAlign w:val="baseline"/>
                <w:lang w:val="en-US" w:eastAsia="zh-CN" w:bidi="ar-SA"/>
              </w:rPr>
            </w:pPr>
            <w:r>
              <w:rPr>
                <w:rFonts w:hint="eastAsia" w:asciiTheme="minorEastAsia" w:hAnsiTheme="minorEastAsia" w:eastAsiaTheme="minorEastAsia" w:cstheme="minorEastAsia"/>
                <w:color w:val="auto"/>
                <w:sz w:val="21"/>
                <w:szCs w:val="21"/>
                <w:vertAlign w:val="baseline"/>
                <w:lang w:val="en-US" w:eastAsia="zh-CN"/>
              </w:rPr>
              <w:t>1</w:t>
            </w:r>
          </w:p>
        </w:tc>
        <w:tc>
          <w:tcPr>
            <w:tcW w:w="1801" w:type="dxa"/>
            <w:vAlign w:val="center"/>
          </w:tcPr>
          <w:p w14:paraId="55DA957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firstLine="0" w:firstLineChars="0"/>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87.5kW</w:t>
            </w:r>
          </w:p>
        </w:tc>
      </w:tr>
      <w:tr w14:paraId="6AF42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1" w:type="dxa"/>
            <w:vAlign w:val="center"/>
          </w:tcPr>
          <w:p w14:paraId="44B8D58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firstLine="0" w:firstLineChars="0"/>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9</w:t>
            </w:r>
          </w:p>
        </w:tc>
        <w:tc>
          <w:tcPr>
            <w:tcW w:w="2387" w:type="dxa"/>
            <w:vAlign w:val="center"/>
          </w:tcPr>
          <w:p w14:paraId="19BBB5F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firstLine="0" w:firstLineChars="0"/>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20t矿用无轨运输车</w:t>
            </w:r>
          </w:p>
        </w:tc>
        <w:tc>
          <w:tcPr>
            <w:tcW w:w="738" w:type="dxa"/>
            <w:vAlign w:val="center"/>
          </w:tcPr>
          <w:p w14:paraId="6A2A738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辆</w:t>
            </w:r>
          </w:p>
        </w:tc>
        <w:tc>
          <w:tcPr>
            <w:tcW w:w="1362" w:type="dxa"/>
            <w:vAlign w:val="center"/>
          </w:tcPr>
          <w:p w14:paraId="674108F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2</w:t>
            </w:r>
          </w:p>
        </w:tc>
        <w:tc>
          <w:tcPr>
            <w:tcW w:w="1300" w:type="dxa"/>
            <w:vAlign w:val="center"/>
          </w:tcPr>
          <w:p w14:paraId="35F616D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1</w:t>
            </w:r>
          </w:p>
        </w:tc>
        <w:tc>
          <w:tcPr>
            <w:tcW w:w="1275" w:type="dxa"/>
            <w:vAlign w:val="center"/>
          </w:tcPr>
          <w:p w14:paraId="4189FD2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3</w:t>
            </w:r>
          </w:p>
        </w:tc>
        <w:tc>
          <w:tcPr>
            <w:tcW w:w="1801" w:type="dxa"/>
            <w:vAlign w:val="center"/>
          </w:tcPr>
          <w:p w14:paraId="4A2538D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firstLine="0" w:firstLineChars="0"/>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81kW，柴油</w:t>
            </w:r>
          </w:p>
        </w:tc>
      </w:tr>
      <w:tr w14:paraId="57244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1" w:type="dxa"/>
            <w:vAlign w:val="center"/>
          </w:tcPr>
          <w:p w14:paraId="7346CE3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firstLine="0" w:firstLineChars="0"/>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10</w:t>
            </w:r>
          </w:p>
        </w:tc>
        <w:tc>
          <w:tcPr>
            <w:tcW w:w="2387" w:type="dxa"/>
            <w:vAlign w:val="center"/>
          </w:tcPr>
          <w:p w14:paraId="07C4B79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firstLine="0" w:firstLineChars="0"/>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JG250混凝土搅拌机</w:t>
            </w:r>
          </w:p>
        </w:tc>
        <w:tc>
          <w:tcPr>
            <w:tcW w:w="738" w:type="dxa"/>
            <w:vAlign w:val="center"/>
          </w:tcPr>
          <w:p w14:paraId="19284ED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台</w:t>
            </w:r>
          </w:p>
        </w:tc>
        <w:tc>
          <w:tcPr>
            <w:tcW w:w="1362" w:type="dxa"/>
            <w:shd w:val="clear" w:color="auto" w:fill="auto"/>
            <w:vAlign w:val="center"/>
          </w:tcPr>
          <w:p w14:paraId="5ECB611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eastAsia" w:asciiTheme="minorEastAsia" w:hAnsiTheme="minorEastAsia" w:eastAsiaTheme="minorEastAsia" w:cstheme="minorEastAsia"/>
                <w:color w:val="auto"/>
                <w:kern w:val="2"/>
                <w:sz w:val="21"/>
                <w:szCs w:val="21"/>
                <w:vertAlign w:val="baseline"/>
                <w:lang w:val="en-US" w:eastAsia="zh-CN" w:bidi="ar-SA"/>
              </w:rPr>
            </w:pPr>
            <w:r>
              <w:rPr>
                <w:rFonts w:hint="eastAsia" w:asciiTheme="minorEastAsia" w:hAnsiTheme="minorEastAsia" w:eastAsiaTheme="minorEastAsia" w:cstheme="minorEastAsia"/>
                <w:color w:val="auto"/>
                <w:sz w:val="21"/>
                <w:szCs w:val="21"/>
                <w:vertAlign w:val="baseline"/>
                <w:lang w:val="en-US" w:eastAsia="zh-CN"/>
              </w:rPr>
              <w:t>1</w:t>
            </w:r>
          </w:p>
        </w:tc>
        <w:tc>
          <w:tcPr>
            <w:tcW w:w="1300" w:type="dxa"/>
            <w:shd w:val="clear" w:color="auto" w:fill="auto"/>
            <w:vAlign w:val="center"/>
          </w:tcPr>
          <w:p w14:paraId="3D80C3C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eastAsia" w:asciiTheme="minorEastAsia" w:hAnsiTheme="minorEastAsia" w:eastAsiaTheme="minorEastAsia" w:cstheme="minorEastAsia"/>
                <w:color w:val="auto"/>
                <w:kern w:val="2"/>
                <w:sz w:val="21"/>
                <w:szCs w:val="21"/>
                <w:vertAlign w:val="baseline"/>
                <w:lang w:val="en-US" w:eastAsia="zh-CN" w:bidi="ar-SA"/>
              </w:rPr>
            </w:pPr>
            <w:r>
              <w:rPr>
                <w:rFonts w:hint="eastAsia" w:asciiTheme="minorEastAsia" w:hAnsiTheme="minorEastAsia" w:eastAsiaTheme="minorEastAsia" w:cstheme="minorEastAsia"/>
                <w:color w:val="auto"/>
                <w:sz w:val="21"/>
                <w:szCs w:val="21"/>
                <w:vertAlign w:val="baseline"/>
                <w:lang w:val="en-US" w:eastAsia="zh-CN"/>
              </w:rPr>
              <w:t>0</w:t>
            </w:r>
          </w:p>
        </w:tc>
        <w:tc>
          <w:tcPr>
            <w:tcW w:w="1275" w:type="dxa"/>
            <w:shd w:val="clear" w:color="auto" w:fill="auto"/>
            <w:vAlign w:val="center"/>
          </w:tcPr>
          <w:p w14:paraId="16E3CB0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eastAsia" w:asciiTheme="minorEastAsia" w:hAnsiTheme="minorEastAsia" w:eastAsiaTheme="minorEastAsia" w:cstheme="minorEastAsia"/>
                <w:color w:val="auto"/>
                <w:kern w:val="2"/>
                <w:sz w:val="21"/>
                <w:szCs w:val="21"/>
                <w:vertAlign w:val="baseline"/>
                <w:lang w:val="en-US" w:eastAsia="zh-CN" w:bidi="ar-SA"/>
              </w:rPr>
            </w:pPr>
            <w:r>
              <w:rPr>
                <w:rFonts w:hint="eastAsia" w:asciiTheme="minorEastAsia" w:hAnsiTheme="minorEastAsia" w:eastAsiaTheme="minorEastAsia" w:cstheme="minorEastAsia"/>
                <w:color w:val="auto"/>
                <w:sz w:val="21"/>
                <w:szCs w:val="21"/>
                <w:vertAlign w:val="baseline"/>
                <w:lang w:val="en-US" w:eastAsia="zh-CN"/>
              </w:rPr>
              <w:t>1</w:t>
            </w:r>
          </w:p>
        </w:tc>
        <w:tc>
          <w:tcPr>
            <w:tcW w:w="1801" w:type="dxa"/>
            <w:vAlign w:val="center"/>
          </w:tcPr>
          <w:p w14:paraId="54B77A7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firstLine="0" w:firstLineChars="0"/>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7.5kW，W=800kg</w:t>
            </w:r>
          </w:p>
        </w:tc>
      </w:tr>
      <w:tr w14:paraId="4F5B0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1" w:type="dxa"/>
            <w:vAlign w:val="center"/>
          </w:tcPr>
          <w:p w14:paraId="1E0076F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firstLine="0" w:firstLineChars="0"/>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11</w:t>
            </w:r>
          </w:p>
        </w:tc>
        <w:tc>
          <w:tcPr>
            <w:tcW w:w="2387" w:type="dxa"/>
            <w:vAlign w:val="center"/>
          </w:tcPr>
          <w:p w14:paraId="0E994CC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firstLine="0" w:firstLineChars="0"/>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HPH6型混凝土喷射机</w:t>
            </w:r>
          </w:p>
        </w:tc>
        <w:tc>
          <w:tcPr>
            <w:tcW w:w="738" w:type="dxa"/>
            <w:vAlign w:val="center"/>
          </w:tcPr>
          <w:p w14:paraId="4E66ADF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台</w:t>
            </w:r>
          </w:p>
        </w:tc>
        <w:tc>
          <w:tcPr>
            <w:tcW w:w="1362" w:type="dxa"/>
            <w:shd w:val="clear" w:color="auto" w:fill="auto"/>
            <w:vAlign w:val="center"/>
          </w:tcPr>
          <w:p w14:paraId="13C655A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eastAsia" w:asciiTheme="minorEastAsia" w:hAnsiTheme="minorEastAsia" w:eastAsiaTheme="minorEastAsia" w:cstheme="minorEastAsia"/>
                <w:color w:val="auto"/>
                <w:kern w:val="2"/>
                <w:sz w:val="21"/>
                <w:szCs w:val="21"/>
                <w:vertAlign w:val="baseline"/>
                <w:lang w:val="en-US" w:eastAsia="zh-CN" w:bidi="ar-SA"/>
              </w:rPr>
            </w:pPr>
            <w:r>
              <w:rPr>
                <w:rFonts w:hint="eastAsia" w:asciiTheme="minorEastAsia" w:hAnsiTheme="minorEastAsia" w:eastAsiaTheme="minorEastAsia" w:cstheme="minorEastAsia"/>
                <w:color w:val="auto"/>
                <w:sz w:val="21"/>
                <w:szCs w:val="21"/>
                <w:vertAlign w:val="baseline"/>
                <w:lang w:val="en-US" w:eastAsia="zh-CN"/>
              </w:rPr>
              <w:t>1</w:t>
            </w:r>
          </w:p>
        </w:tc>
        <w:tc>
          <w:tcPr>
            <w:tcW w:w="1300" w:type="dxa"/>
            <w:shd w:val="clear" w:color="auto" w:fill="auto"/>
            <w:vAlign w:val="center"/>
          </w:tcPr>
          <w:p w14:paraId="7BECF5A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eastAsia" w:asciiTheme="minorEastAsia" w:hAnsiTheme="minorEastAsia" w:eastAsiaTheme="minorEastAsia" w:cstheme="minorEastAsia"/>
                <w:color w:val="auto"/>
                <w:kern w:val="2"/>
                <w:sz w:val="21"/>
                <w:szCs w:val="21"/>
                <w:vertAlign w:val="baseline"/>
                <w:lang w:val="en-US" w:eastAsia="zh-CN" w:bidi="ar-SA"/>
              </w:rPr>
            </w:pPr>
            <w:r>
              <w:rPr>
                <w:rFonts w:hint="eastAsia" w:asciiTheme="minorEastAsia" w:hAnsiTheme="minorEastAsia" w:eastAsiaTheme="minorEastAsia" w:cstheme="minorEastAsia"/>
                <w:color w:val="auto"/>
                <w:sz w:val="21"/>
                <w:szCs w:val="21"/>
                <w:vertAlign w:val="baseline"/>
                <w:lang w:val="en-US" w:eastAsia="zh-CN"/>
              </w:rPr>
              <w:t>0</w:t>
            </w:r>
          </w:p>
        </w:tc>
        <w:tc>
          <w:tcPr>
            <w:tcW w:w="1275" w:type="dxa"/>
            <w:shd w:val="clear" w:color="auto" w:fill="auto"/>
            <w:vAlign w:val="center"/>
          </w:tcPr>
          <w:p w14:paraId="2382C90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eastAsia" w:asciiTheme="minorEastAsia" w:hAnsiTheme="minorEastAsia" w:eastAsiaTheme="minorEastAsia" w:cstheme="minorEastAsia"/>
                <w:color w:val="auto"/>
                <w:kern w:val="2"/>
                <w:sz w:val="21"/>
                <w:szCs w:val="21"/>
                <w:vertAlign w:val="baseline"/>
                <w:lang w:val="en-US" w:eastAsia="zh-CN" w:bidi="ar-SA"/>
              </w:rPr>
            </w:pPr>
            <w:r>
              <w:rPr>
                <w:rFonts w:hint="eastAsia" w:asciiTheme="minorEastAsia" w:hAnsiTheme="minorEastAsia" w:eastAsiaTheme="minorEastAsia" w:cstheme="minorEastAsia"/>
                <w:color w:val="auto"/>
                <w:sz w:val="21"/>
                <w:szCs w:val="21"/>
                <w:vertAlign w:val="baseline"/>
                <w:lang w:val="en-US" w:eastAsia="zh-CN"/>
              </w:rPr>
              <w:t>1</w:t>
            </w:r>
          </w:p>
        </w:tc>
        <w:tc>
          <w:tcPr>
            <w:tcW w:w="1801" w:type="dxa"/>
            <w:vAlign w:val="center"/>
          </w:tcPr>
          <w:p w14:paraId="05453B5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firstLine="0" w:firstLineChars="0"/>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7.5kW，10m³/min</w:t>
            </w:r>
          </w:p>
        </w:tc>
      </w:tr>
      <w:tr w14:paraId="5CF19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1" w:type="dxa"/>
            <w:vAlign w:val="center"/>
          </w:tcPr>
          <w:p w14:paraId="771490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firstLine="0" w:firstLineChars="0"/>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12</w:t>
            </w:r>
          </w:p>
        </w:tc>
        <w:tc>
          <w:tcPr>
            <w:tcW w:w="2387" w:type="dxa"/>
            <w:vAlign w:val="center"/>
          </w:tcPr>
          <w:p w14:paraId="30F6F4A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firstLine="0" w:firstLineChars="0"/>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JK55-2NO4.5型局扇</w:t>
            </w:r>
          </w:p>
        </w:tc>
        <w:tc>
          <w:tcPr>
            <w:tcW w:w="738" w:type="dxa"/>
            <w:vAlign w:val="center"/>
          </w:tcPr>
          <w:p w14:paraId="7B40984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台</w:t>
            </w:r>
          </w:p>
        </w:tc>
        <w:tc>
          <w:tcPr>
            <w:tcW w:w="1362" w:type="dxa"/>
            <w:vAlign w:val="center"/>
          </w:tcPr>
          <w:p w14:paraId="02EE952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2</w:t>
            </w:r>
          </w:p>
        </w:tc>
        <w:tc>
          <w:tcPr>
            <w:tcW w:w="1300" w:type="dxa"/>
            <w:vAlign w:val="center"/>
          </w:tcPr>
          <w:p w14:paraId="39C1A5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1</w:t>
            </w:r>
          </w:p>
        </w:tc>
        <w:tc>
          <w:tcPr>
            <w:tcW w:w="1275" w:type="dxa"/>
            <w:vAlign w:val="center"/>
          </w:tcPr>
          <w:p w14:paraId="4546B31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3</w:t>
            </w:r>
          </w:p>
        </w:tc>
        <w:tc>
          <w:tcPr>
            <w:tcW w:w="1801" w:type="dxa"/>
            <w:vAlign w:val="center"/>
          </w:tcPr>
          <w:p w14:paraId="4955F77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firstLine="0" w:firstLineChars="0"/>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11kW</w:t>
            </w:r>
          </w:p>
        </w:tc>
      </w:tr>
      <w:tr w14:paraId="250C8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1" w:type="dxa"/>
            <w:vAlign w:val="center"/>
          </w:tcPr>
          <w:p w14:paraId="60044C4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firstLine="0" w:firstLineChars="0"/>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13</w:t>
            </w:r>
          </w:p>
        </w:tc>
        <w:tc>
          <w:tcPr>
            <w:tcW w:w="2387" w:type="dxa"/>
            <w:vAlign w:val="center"/>
          </w:tcPr>
          <w:p w14:paraId="097FB46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firstLine="0" w:firstLineChars="0"/>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JK58-2NO4.5型局扇</w:t>
            </w:r>
          </w:p>
        </w:tc>
        <w:tc>
          <w:tcPr>
            <w:tcW w:w="738" w:type="dxa"/>
            <w:vAlign w:val="center"/>
          </w:tcPr>
          <w:p w14:paraId="717D5D2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台</w:t>
            </w:r>
          </w:p>
        </w:tc>
        <w:tc>
          <w:tcPr>
            <w:tcW w:w="1362" w:type="dxa"/>
            <w:shd w:val="clear" w:color="auto" w:fill="auto"/>
            <w:vAlign w:val="center"/>
          </w:tcPr>
          <w:p w14:paraId="0537569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eastAsia" w:asciiTheme="minorEastAsia" w:hAnsiTheme="minorEastAsia" w:eastAsiaTheme="minorEastAsia" w:cstheme="minorEastAsia"/>
                <w:color w:val="auto"/>
                <w:kern w:val="2"/>
                <w:sz w:val="21"/>
                <w:szCs w:val="21"/>
                <w:vertAlign w:val="baseline"/>
                <w:lang w:val="en-US" w:eastAsia="zh-CN" w:bidi="ar-SA"/>
              </w:rPr>
            </w:pPr>
            <w:r>
              <w:rPr>
                <w:rFonts w:hint="eastAsia" w:asciiTheme="minorEastAsia" w:hAnsiTheme="minorEastAsia" w:eastAsiaTheme="minorEastAsia" w:cstheme="minorEastAsia"/>
                <w:color w:val="auto"/>
                <w:sz w:val="21"/>
                <w:szCs w:val="21"/>
                <w:vertAlign w:val="baseline"/>
                <w:lang w:val="en-US" w:eastAsia="zh-CN"/>
              </w:rPr>
              <w:t>2</w:t>
            </w:r>
          </w:p>
        </w:tc>
        <w:tc>
          <w:tcPr>
            <w:tcW w:w="1300" w:type="dxa"/>
            <w:shd w:val="clear" w:color="auto" w:fill="auto"/>
            <w:vAlign w:val="center"/>
          </w:tcPr>
          <w:p w14:paraId="64B76A1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eastAsia" w:asciiTheme="minorEastAsia" w:hAnsiTheme="minorEastAsia" w:eastAsiaTheme="minorEastAsia" w:cstheme="minorEastAsia"/>
                <w:color w:val="auto"/>
                <w:kern w:val="2"/>
                <w:sz w:val="21"/>
                <w:szCs w:val="21"/>
                <w:vertAlign w:val="baseline"/>
                <w:lang w:val="en-US" w:eastAsia="zh-CN" w:bidi="ar-SA"/>
              </w:rPr>
            </w:pPr>
            <w:r>
              <w:rPr>
                <w:rFonts w:hint="eastAsia" w:asciiTheme="minorEastAsia" w:hAnsiTheme="minorEastAsia" w:eastAsiaTheme="minorEastAsia" w:cstheme="minorEastAsia"/>
                <w:color w:val="auto"/>
                <w:sz w:val="21"/>
                <w:szCs w:val="21"/>
                <w:vertAlign w:val="baseline"/>
                <w:lang w:val="en-US" w:eastAsia="zh-CN"/>
              </w:rPr>
              <w:t>1</w:t>
            </w:r>
          </w:p>
        </w:tc>
        <w:tc>
          <w:tcPr>
            <w:tcW w:w="1275" w:type="dxa"/>
            <w:shd w:val="clear" w:color="auto" w:fill="auto"/>
            <w:vAlign w:val="center"/>
          </w:tcPr>
          <w:p w14:paraId="7EB9A3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eastAsia" w:asciiTheme="minorEastAsia" w:hAnsiTheme="minorEastAsia" w:eastAsiaTheme="minorEastAsia" w:cstheme="minorEastAsia"/>
                <w:color w:val="auto"/>
                <w:kern w:val="2"/>
                <w:sz w:val="21"/>
                <w:szCs w:val="21"/>
                <w:vertAlign w:val="baseline"/>
                <w:lang w:val="en-US" w:eastAsia="zh-CN" w:bidi="ar-SA"/>
              </w:rPr>
            </w:pPr>
            <w:r>
              <w:rPr>
                <w:rFonts w:hint="eastAsia" w:asciiTheme="minorEastAsia" w:hAnsiTheme="minorEastAsia" w:eastAsiaTheme="minorEastAsia" w:cstheme="minorEastAsia"/>
                <w:color w:val="auto"/>
                <w:sz w:val="21"/>
                <w:szCs w:val="21"/>
                <w:vertAlign w:val="baseline"/>
                <w:lang w:val="en-US" w:eastAsia="zh-CN"/>
              </w:rPr>
              <w:t>3</w:t>
            </w:r>
          </w:p>
        </w:tc>
        <w:tc>
          <w:tcPr>
            <w:tcW w:w="1801" w:type="dxa"/>
            <w:vAlign w:val="center"/>
          </w:tcPr>
          <w:p w14:paraId="712D2D2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firstLine="0" w:firstLineChars="0"/>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11kW</w:t>
            </w:r>
          </w:p>
        </w:tc>
      </w:tr>
      <w:tr w14:paraId="35F33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1" w:type="dxa"/>
            <w:vAlign w:val="center"/>
          </w:tcPr>
          <w:p w14:paraId="73443F2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firstLine="0" w:firstLineChars="0"/>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14</w:t>
            </w:r>
          </w:p>
        </w:tc>
        <w:tc>
          <w:tcPr>
            <w:tcW w:w="2387" w:type="dxa"/>
            <w:vAlign w:val="center"/>
          </w:tcPr>
          <w:p w14:paraId="7D2A193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firstLine="0" w:firstLineChars="0"/>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BQF-100型装药机</w:t>
            </w:r>
          </w:p>
        </w:tc>
        <w:tc>
          <w:tcPr>
            <w:tcW w:w="738" w:type="dxa"/>
            <w:vAlign w:val="center"/>
          </w:tcPr>
          <w:p w14:paraId="66B103C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台</w:t>
            </w:r>
          </w:p>
        </w:tc>
        <w:tc>
          <w:tcPr>
            <w:tcW w:w="1362" w:type="dxa"/>
            <w:shd w:val="clear" w:color="auto" w:fill="auto"/>
            <w:vAlign w:val="center"/>
          </w:tcPr>
          <w:p w14:paraId="6E99E8F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eastAsia" w:asciiTheme="minorEastAsia" w:hAnsiTheme="minorEastAsia" w:eastAsiaTheme="minorEastAsia" w:cstheme="minorEastAsia"/>
                <w:color w:val="auto"/>
                <w:kern w:val="2"/>
                <w:sz w:val="21"/>
                <w:szCs w:val="21"/>
                <w:vertAlign w:val="baseline"/>
                <w:lang w:val="en-US" w:eastAsia="zh-CN" w:bidi="ar-SA"/>
              </w:rPr>
            </w:pPr>
            <w:r>
              <w:rPr>
                <w:rFonts w:hint="eastAsia" w:asciiTheme="minorEastAsia" w:hAnsiTheme="minorEastAsia" w:eastAsiaTheme="minorEastAsia" w:cstheme="minorEastAsia"/>
                <w:color w:val="auto"/>
                <w:sz w:val="21"/>
                <w:szCs w:val="21"/>
                <w:vertAlign w:val="baseline"/>
                <w:lang w:val="en-US" w:eastAsia="zh-CN"/>
              </w:rPr>
              <w:t>2</w:t>
            </w:r>
          </w:p>
        </w:tc>
        <w:tc>
          <w:tcPr>
            <w:tcW w:w="1300" w:type="dxa"/>
            <w:shd w:val="clear" w:color="auto" w:fill="auto"/>
            <w:vAlign w:val="center"/>
          </w:tcPr>
          <w:p w14:paraId="1AEC06F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eastAsia" w:asciiTheme="minorEastAsia" w:hAnsiTheme="minorEastAsia" w:eastAsiaTheme="minorEastAsia" w:cstheme="minorEastAsia"/>
                <w:color w:val="auto"/>
                <w:kern w:val="2"/>
                <w:sz w:val="21"/>
                <w:szCs w:val="21"/>
                <w:vertAlign w:val="baseline"/>
                <w:lang w:val="en-US" w:eastAsia="zh-CN" w:bidi="ar-SA"/>
              </w:rPr>
            </w:pPr>
            <w:r>
              <w:rPr>
                <w:rFonts w:hint="eastAsia" w:asciiTheme="minorEastAsia" w:hAnsiTheme="minorEastAsia" w:eastAsiaTheme="minorEastAsia" w:cstheme="minorEastAsia"/>
                <w:color w:val="auto"/>
                <w:sz w:val="21"/>
                <w:szCs w:val="21"/>
                <w:vertAlign w:val="baseline"/>
                <w:lang w:val="en-US" w:eastAsia="zh-CN"/>
              </w:rPr>
              <w:t>1</w:t>
            </w:r>
          </w:p>
        </w:tc>
        <w:tc>
          <w:tcPr>
            <w:tcW w:w="1275" w:type="dxa"/>
            <w:shd w:val="clear" w:color="auto" w:fill="auto"/>
            <w:vAlign w:val="center"/>
          </w:tcPr>
          <w:p w14:paraId="1163945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eastAsia" w:asciiTheme="minorEastAsia" w:hAnsiTheme="minorEastAsia" w:eastAsiaTheme="minorEastAsia" w:cstheme="minorEastAsia"/>
                <w:color w:val="auto"/>
                <w:kern w:val="2"/>
                <w:sz w:val="21"/>
                <w:szCs w:val="21"/>
                <w:vertAlign w:val="baseline"/>
                <w:lang w:val="en-US" w:eastAsia="zh-CN" w:bidi="ar-SA"/>
              </w:rPr>
            </w:pPr>
            <w:r>
              <w:rPr>
                <w:rFonts w:hint="eastAsia" w:asciiTheme="minorEastAsia" w:hAnsiTheme="minorEastAsia" w:eastAsiaTheme="minorEastAsia" w:cstheme="minorEastAsia"/>
                <w:color w:val="auto"/>
                <w:sz w:val="21"/>
                <w:szCs w:val="21"/>
                <w:vertAlign w:val="baseline"/>
                <w:lang w:val="en-US" w:eastAsia="zh-CN"/>
              </w:rPr>
              <w:t>3</w:t>
            </w:r>
          </w:p>
        </w:tc>
        <w:tc>
          <w:tcPr>
            <w:tcW w:w="1801" w:type="dxa"/>
            <w:vAlign w:val="center"/>
          </w:tcPr>
          <w:p w14:paraId="65F75DC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default"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w:t>
            </w:r>
          </w:p>
        </w:tc>
      </w:tr>
      <w:tr w14:paraId="5184B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1" w:type="dxa"/>
            <w:vAlign w:val="center"/>
          </w:tcPr>
          <w:p w14:paraId="33B6869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firstLine="0" w:firstLineChars="0"/>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15</w:t>
            </w:r>
          </w:p>
        </w:tc>
        <w:tc>
          <w:tcPr>
            <w:tcW w:w="2387" w:type="dxa"/>
            <w:vAlign w:val="center"/>
          </w:tcPr>
          <w:p w14:paraId="51E8376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firstLine="0" w:firstLineChars="0"/>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WDJ-2电动铲运机</w:t>
            </w:r>
          </w:p>
        </w:tc>
        <w:tc>
          <w:tcPr>
            <w:tcW w:w="738" w:type="dxa"/>
            <w:vAlign w:val="center"/>
          </w:tcPr>
          <w:p w14:paraId="068B22B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辆</w:t>
            </w:r>
          </w:p>
        </w:tc>
        <w:tc>
          <w:tcPr>
            <w:tcW w:w="1362" w:type="dxa"/>
            <w:vAlign w:val="center"/>
          </w:tcPr>
          <w:p w14:paraId="2C46306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3</w:t>
            </w:r>
          </w:p>
        </w:tc>
        <w:tc>
          <w:tcPr>
            <w:tcW w:w="1300" w:type="dxa"/>
            <w:vAlign w:val="center"/>
          </w:tcPr>
          <w:p w14:paraId="315D736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1</w:t>
            </w:r>
          </w:p>
        </w:tc>
        <w:tc>
          <w:tcPr>
            <w:tcW w:w="1275" w:type="dxa"/>
            <w:vAlign w:val="center"/>
          </w:tcPr>
          <w:p w14:paraId="45671B7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4</w:t>
            </w:r>
          </w:p>
        </w:tc>
        <w:tc>
          <w:tcPr>
            <w:tcW w:w="1801" w:type="dxa"/>
            <w:vAlign w:val="center"/>
          </w:tcPr>
          <w:p w14:paraId="2E264DF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firstLine="0" w:firstLineChars="0"/>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75kW</w:t>
            </w:r>
          </w:p>
        </w:tc>
      </w:tr>
      <w:tr w14:paraId="09D45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1" w:type="dxa"/>
            <w:vAlign w:val="center"/>
          </w:tcPr>
          <w:p w14:paraId="2DCFC29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firstLine="0" w:firstLineChars="0"/>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16</w:t>
            </w:r>
          </w:p>
        </w:tc>
        <w:tc>
          <w:tcPr>
            <w:tcW w:w="2387" w:type="dxa"/>
            <w:vAlign w:val="center"/>
          </w:tcPr>
          <w:p w14:paraId="14464ED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firstLine="0" w:firstLineChars="0"/>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XMPYT-58/230撬毛台车</w:t>
            </w:r>
          </w:p>
        </w:tc>
        <w:tc>
          <w:tcPr>
            <w:tcW w:w="738" w:type="dxa"/>
            <w:vAlign w:val="center"/>
          </w:tcPr>
          <w:p w14:paraId="0E4861A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辆</w:t>
            </w:r>
          </w:p>
        </w:tc>
        <w:tc>
          <w:tcPr>
            <w:tcW w:w="1362" w:type="dxa"/>
            <w:vAlign w:val="center"/>
          </w:tcPr>
          <w:p w14:paraId="26A9D96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1</w:t>
            </w:r>
          </w:p>
        </w:tc>
        <w:tc>
          <w:tcPr>
            <w:tcW w:w="1300" w:type="dxa"/>
            <w:vAlign w:val="center"/>
          </w:tcPr>
          <w:p w14:paraId="7ED16D2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0</w:t>
            </w:r>
          </w:p>
        </w:tc>
        <w:tc>
          <w:tcPr>
            <w:tcW w:w="1275" w:type="dxa"/>
            <w:vAlign w:val="center"/>
          </w:tcPr>
          <w:p w14:paraId="63FC834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1</w:t>
            </w:r>
          </w:p>
        </w:tc>
        <w:tc>
          <w:tcPr>
            <w:tcW w:w="1801" w:type="dxa"/>
            <w:vAlign w:val="center"/>
          </w:tcPr>
          <w:p w14:paraId="576C00E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default"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w:t>
            </w:r>
          </w:p>
        </w:tc>
      </w:tr>
      <w:tr w14:paraId="1F730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1" w:type="dxa"/>
            <w:vAlign w:val="center"/>
          </w:tcPr>
          <w:p w14:paraId="4E4D79F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firstLine="0" w:firstLineChars="0"/>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17</w:t>
            </w:r>
          </w:p>
        </w:tc>
        <w:tc>
          <w:tcPr>
            <w:tcW w:w="2387" w:type="dxa"/>
            <w:vAlign w:val="center"/>
          </w:tcPr>
          <w:p w14:paraId="01360D7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firstLine="0" w:firstLineChars="0"/>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TG2型天井掘进工作台</w:t>
            </w:r>
          </w:p>
        </w:tc>
        <w:tc>
          <w:tcPr>
            <w:tcW w:w="738" w:type="dxa"/>
            <w:vAlign w:val="center"/>
          </w:tcPr>
          <w:p w14:paraId="21F0E8B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台</w:t>
            </w:r>
          </w:p>
        </w:tc>
        <w:tc>
          <w:tcPr>
            <w:tcW w:w="1362" w:type="dxa"/>
            <w:vAlign w:val="center"/>
          </w:tcPr>
          <w:p w14:paraId="432C34D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1</w:t>
            </w:r>
          </w:p>
        </w:tc>
        <w:tc>
          <w:tcPr>
            <w:tcW w:w="1300" w:type="dxa"/>
            <w:vAlign w:val="center"/>
          </w:tcPr>
          <w:p w14:paraId="45036CE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0</w:t>
            </w:r>
          </w:p>
        </w:tc>
        <w:tc>
          <w:tcPr>
            <w:tcW w:w="1275" w:type="dxa"/>
            <w:vAlign w:val="center"/>
          </w:tcPr>
          <w:p w14:paraId="46EA302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1</w:t>
            </w:r>
          </w:p>
        </w:tc>
        <w:tc>
          <w:tcPr>
            <w:tcW w:w="1801" w:type="dxa"/>
            <w:vAlign w:val="center"/>
          </w:tcPr>
          <w:p w14:paraId="3926068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default"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w:t>
            </w:r>
          </w:p>
        </w:tc>
      </w:tr>
    </w:tbl>
    <w:p w14:paraId="5F5FB512">
      <w:pPr>
        <w:pStyle w:val="4"/>
        <w:rPr>
          <w:rFonts w:hint="eastAsia"/>
          <w:color w:val="auto"/>
          <w:lang w:val="en-US" w:eastAsia="zh-CN"/>
        </w:rPr>
      </w:pPr>
      <w:r>
        <w:rPr>
          <w:rFonts w:hint="eastAsia"/>
          <w:color w:val="auto"/>
          <w:lang w:val="en-US" w:eastAsia="zh-CN"/>
        </w:rPr>
        <w:t>2.4.7 通风系统</w:t>
      </w:r>
    </w:p>
    <w:p w14:paraId="1156915F">
      <w:pPr>
        <w:pStyle w:val="5"/>
        <w:bidi w:val="0"/>
        <w:rPr>
          <w:rFonts w:hint="eastAsia"/>
          <w:color w:val="auto"/>
          <w:lang w:val="en-US" w:eastAsia="zh-CN"/>
        </w:rPr>
      </w:pPr>
      <w:r>
        <w:rPr>
          <w:rFonts w:hint="eastAsia"/>
          <w:color w:val="auto"/>
          <w:lang w:val="en-US" w:eastAsia="zh-CN"/>
        </w:rPr>
        <w:t>2.4.7.1通风方式及通风系统</w:t>
      </w:r>
    </w:p>
    <w:p w14:paraId="00E6E9BD">
      <w:pPr>
        <w:tabs>
          <w:tab w:val="left" w:pos="736"/>
        </w:tabs>
        <w:rPr>
          <w:rFonts w:hint="default"/>
          <w:color w:val="auto"/>
          <w:lang w:val="en-US"/>
        </w:rPr>
      </w:pPr>
      <w:r>
        <w:rPr>
          <w:rFonts w:hint="default"/>
          <w:color w:val="auto"/>
          <w:lang w:val="en-US"/>
        </w:rPr>
        <w:t>(</w:t>
      </w:r>
      <w:r>
        <w:rPr>
          <w:rFonts w:hint="eastAsia"/>
          <w:color w:val="auto"/>
          <w:lang w:val="en-US" w:eastAsia="zh-CN"/>
        </w:rPr>
        <w:t>1</w:t>
      </w:r>
      <w:r>
        <w:rPr>
          <w:rFonts w:hint="default"/>
          <w:color w:val="auto"/>
          <w:lang w:val="en-US"/>
        </w:rPr>
        <w:t>)通风系统</w:t>
      </w:r>
    </w:p>
    <w:p w14:paraId="69187DFA">
      <w:pPr>
        <w:tabs>
          <w:tab w:val="left" w:pos="736"/>
        </w:tabs>
        <w:rPr>
          <w:rFonts w:hint="default"/>
          <w:color w:val="auto"/>
          <w:lang w:val="en-US"/>
        </w:rPr>
      </w:pPr>
      <w:r>
        <w:rPr>
          <w:rFonts w:hint="default"/>
          <w:color w:val="auto"/>
          <w:lang w:val="en-US"/>
        </w:rPr>
        <w:t>矿山采用单翼对角机械抽出式通风系统。</w:t>
      </w:r>
      <w:r>
        <w:rPr>
          <w:rFonts w:hint="eastAsia"/>
          <w:color w:val="auto"/>
          <w:lang w:val="en-US" w:eastAsia="zh-CN"/>
        </w:rPr>
        <w:t>1230硐口进风，1305硐口回风。</w:t>
      </w:r>
    </w:p>
    <w:p w14:paraId="3FDB1F92">
      <w:pPr>
        <w:tabs>
          <w:tab w:val="left" w:pos="736"/>
        </w:tabs>
        <w:rPr>
          <w:rFonts w:hint="default"/>
          <w:color w:val="auto"/>
          <w:lang w:val="en-US"/>
        </w:rPr>
      </w:pPr>
      <w:r>
        <w:rPr>
          <w:rFonts w:hint="default"/>
          <w:color w:val="auto"/>
          <w:lang w:val="en-US"/>
        </w:rPr>
        <w:t>(</w:t>
      </w:r>
      <w:r>
        <w:rPr>
          <w:rFonts w:hint="eastAsia"/>
          <w:color w:val="auto"/>
          <w:lang w:val="en-US" w:eastAsia="zh-CN"/>
        </w:rPr>
        <w:t>2</w:t>
      </w:r>
      <w:r>
        <w:rPr>
          <w:rFonts w:hint="default"/>
          <w:color w:val="auto"/>
          <w:lang w:val="en-US"/>
        </w:rPr>
        <w:t>)通风方式</w:t>
      </w:r>
    </w:p>
    <w:p w14:paraId="49617A0F">
      <w:pPr>
        <w:tabs>
          <w:tab w:val="left" w:pos="736"/>
        </w:tabs>
        <w:rPr>
          <w:rFonts w:hint="default"/>
          <w:color w:val="auto"/>
          <w:lang w:val="en-US"/>
        </w:rPr>
      </w:pPr>
      <w:r>
        <w:rPr>
          <w:rFonts w:hint="eastAsia"/>
          <w:color w:val="auto"/>
          <w:lang w:val="en-US" w:eastAsia="zh-CN"/>
        </w:rPr>
        <w:t>矿山</w:t>
      </w:r>
      <w:r>
        <w:rPr>
          <w:rFonts w:hint="default"/>
          <w:color w:val="auto"/>
          <w:lang w:val="en-US"/>
        </w:rPr>
        <w:t>采用抽出式通风方式，在工作面加设局扇。</w:t>
      </w:r>
    </w:p>
    <w:p w14:paraId="3009F219">
      <w:pPr>
        <w:tabs>
          <w:tab w:val="left" w:pos="736"/>
        </w:tabs>
        <w:rPr>
          <w:rFonts w:hint="eastAsia" w:eastAsia="宋体"/>
          <w:color w:val="auto"/>
          <w:lang w:val="en-US" w:eastAsia="zh-CN"/>
        </w:rPr>
      </w:pPr>
      <w:r>
        <w:rPr>
          <w:rFonts w:hint="default"/>
          <w:color w:val="auto"/>
          <w:lang w:val="en-US"/>
        </w:rPr>
        <w:t>(</w:t>
      </w:r>
      <w:r>
        <w:rPr>
          <w:rFonts w:hint="eastAsia"/>
          <w:color w:val="auto"/>
          <w:lang w:val="en-US" w:eastAsia="zh-CN"/>
        </w:rPr>
        <w:t>3</w:t>
      </w:r>
      <w:r>
        <w:rPr>
          <w:rFonts w:hint="default"/>
          <w:color w:val="auto"/>
          <w:lang w:val="en-US"/>
        </w:rPr>
        <w:t>)</w:t>
      </w:r>
      <w:r>
        <w:rPr>
          <w:rFonts w:hint="eastAsia"/>
          <w:color w:val="auto"/>
          <w:lang w:val="en-US" w:eastAsia="zh-CN"/>
        </w:rPr>
        <w:t>通风机</w:t>
      </w:r>
    </w:p>
    <w:p w14:paraId="0235F288">
      <w:pPr>
        <w:tabs>
          <w:tab w:val="left" w:pos="736"/>
        </w:tabs>
        <w:rPr>
          <w:rFonts w:hint="eastAsia"/>
          <w:color w:val="auto"/>
          <w:lang w:val="en-US" w:eastAsia="zh-CN"/>
        </w:rPr>
      </w:pPr>
      <w:r>
        <w:rPr>
          <w:rFonts w:hint="eastAsia"/>
          <w:color w:val="auto"/>
          <w:lang w:val="en-US" w:eastAsia="zh-CN"/>
        </w:rPr>
        <w:t>选用</w:t>
      </w:r>
      <w:r>
        <w:rPr>
          <w:rFonts w:hint="eastAsia"/>
          <w:color w:val="auto"/>
          <w:lang w:val="en-US"/>
        </w:rPr>
        <w:t>FKZ(K40)-4-NO14型轴流式</w:t>
      </w:r>
      <w:r>
        <w:rPr>
          <w:rFonts w:hint="eastAsia"/>
          <w:color w:val="auto"/>
          <w:lang w:val="en-US" w:eastAsia="zh-CN"/>
        </w:rPr>
        <w:t>主通风机</w:t>
      </w:r>
      <w:r>
        <w:rPr>
          <w:rFonts w:hint="eastAsia"/>
          <w:color w:val="auto"/>
          <w:lang w:eastAsia="zh-CN"/>
        </w:rPr>
        <w:t>，</w:t>
      </w:r>
      <w:r>
        <w:rPr>
          <w:rFonts w:hint="eastAsia"/>
          <w:color w:val="auto"/>
          <w:lang w:val="en-US" w:eastAsia="zh-CN"/>
        </w:rPr>
        <w:t>工况点风量41m³/s，风压1380Pa，效率0.8以上，质量1563kg，风机可在10分钟内反转实现反风，反风率大于60％。</w:t>
      </w:r>
      <w:r>
        <w:rPr>
          <w:rFonts w:hint="eastAsia"/>
          <w:color w:val="auto"/>
          <w:lang w:val="en-US"/>
        </w:rPr>
        <w:t>配套</w:t>
      </w:r>
      <w:r>
        <w:rPr>
          <w:rFonts w:hint="eastAsia"/>
          <w:color w:val="auto"/>
          <w:lang w:val="en-US" w:eastAsia="zh-CN"/>
        </w:rPr>
        <w:t>90kW</w:t>
      </w:r>
      <w:r>
        <w:rPr>
          <w:rFonts w:hint="eastAsia"/>
          <w:color w:val="auto"/>
          <w:lang w:val="en-US"/>
        </w:rPr>
        <w:t>电机</w:t>
      </w:r>
      <w:r>
        <w:rPr>
          <w:rFonts w:hint="eastAsia"/>
          <w:color w:val="auto"/>
          <w:lang w:val="en-US" w:eastAsia="zh-CN"/>
        </w:rPr>
        <w:t>两台</w:t>
      </w:r>
      <w:r>
        <w:rPr>
          <w:rFonts w:hint="eastAsia"/>
          <w:color w:val="auto"/>
          <w:lang w:val="en-US"/>
        </w:rPr>
        <w:t>，风机配置手拉环链葫芦1台，矿用可伸缩型三脚架1套</w:t>
      </w:r>
      <w:r>
        <w:rPr>
          <w:rFonts w:hint="eastAsia"/>
          <w:color w:val="auto"/>
          <w:lang w:val="en-US" w:eastAsia="zh-CN"/>
        </w:rPr>
        <w:t>。</w:t>
      </w:r>
    </w:p>
    <w:p w14:paraId="05D0C17D">
      <w:pPr>
        <w:tabs>
          <w:tab w:val="left" w:pos="736"/>
        </w:tabs>
        <w:rPr>
          <w:rFonts w:hint="eastAsia"/>
          <w:color w:val="auto"/>
          <w:lang w:val="en-US" w:eastAsia="zh-CN"/>
        </w:rPr>
      </w:pPr>
      <w:r>
        <w:rPr>
          <w:rFonts w:hint="eastAsia"/>
          <w:color w:val="auto"/>
          <w:lang w:val="en-US" w:eastAsia="zh-CN"/>
        </w:rPr>
        <w:t>设置风速风压传感器，</w:t>
      </w:r>
      <w:r>
        <w:rPr>
          <w:rFonts w:hint="default"/>
          <w:color w:val="auto"/>
          <w:lang w:val="en-US"/>
        </w:rPr>
        <w:t>通风自动化系统通过主控计算机对风机进行远程集中启停控制、正反转控制，对风机运行状态和风机电流、电压、温度、风量、风压、风速、CO浓度等参数进行实时监测</w:t>
      </w:r>
      <w:r>
        <w:rPr>
          <w:rFonts w:hint="eastAsia"/>
          <w:color w:val="auto"/>
          <w:lang w:val="en-US" w:eastAsia="zh-CN"/>
        </w:rPr>
        <w:t>。</w:t>
      </w:r>
    </w:p>
    <w:p w14:paraId="349BFD1A">
      <w:pPr>
        <w:tabs>
          <w:tab w:val="left" w:pos="736"/>
        </w:tabs>
        <w:rPr>
          <w:rFonts w:hint="default"/>
          <w:color w:val="auto"/>
          <w:lang w:val="en-US"/>
        </w:rPr>
      </w:pPr>
      <w:r>
        <w:rPr>
          <w:rFonts w:hint="default"/>
          <w:color w:val="auto"/>
          <w:lang w:val="en-US"/>
        </w:rPr>
        <w:t>(</w:t>
      </w:r>
      <w:r>
        <w:rPr>
          <w:rFonts w:hint="eastAsia"/>
          <w:color w:val="auto"/>
          <w:lang w:val="en-US" w:eastAsia="zh-CN"/>
        </w:rPr>
        <w:t>4</w:t>
      </w:r>
      <w:r>
        <w:rPr>
          <w:rFonts w:hint="default"/>
          <w:color w:val="auto"/>
          <w:lang w:val="en-US"/>
        </w:rPr>
        <w:t>)通风网络</w:t>
      </w:r>
    </w:p>
    <w:p w14:paraId="0A1BA980">
      <w:pPr>
        <w:tabs>
          <w:tab w:val="left" w:pos="736"/>
        </w:tabs>
        <w:rPr>
          <w:rFonts w:hint="default"/>
          <w:color w:val="auto"/>
          <w:lang w:val="en-US"/>
        </w:rPr>
      </w:pPr>
      <w:r>
        <w:rPr>
          <w:rFonts w:hint="default"/>
          <w:color w:val="auto"/>
          <w:lang w:val="en-US"/>
        </w:rPr>
        <w:t>矿井整体通风网络：新鲜风由</w:t>
      </w:r>
      <w:r>
        <w:rPr>
          <w:rFonts w:hint="eastAsia"/>
          <w:color w:val="auto"/>
          <w:lang w:val="en-US" w:eastAsia="zh-CN"/>
        </w:rPr>
        <w:t>1230主平硐进入</w:t>
      </w:r>
      <w:r>
        <w:rPr>
          <w:rFonts w:hint="default"/>
          <w:color w:val="auto"/>
          <w:lang w:val="en-US"/>
        </w:rPr>
        <w:t>→斜坡道→</w:t>
      </w:r>
      <w:r>
        <w:rPr>
          <w:rFonts w:hint="eastAsia"/>
          <w:color w:val="auto"/>
          <w:lang w:val="en-US" w:eastAsia="zh-CN"/>
        </w:rPr>
        <w:t>中段</w:t>
      </w:r>
      <w:r>
        <w:rPr>
          <w:rFonts w:hint="default"/>
          <w:color w:val="auto"/>
          <w:lang w:val="en-US"/>
        </w:rPr>
        <w:t>运输巷道→采场，污风从回风巷道排出→回风井→地表。风机安装在1305m回风</w:t>
      </w:r>
      <w:r>
        <w:rPr>
          <w:rFonts w:hint="eastAsia"/>
          <w:color w:val="auto"/>
          <w:lang w:val="en-US" w:eastAsia="zh-CN"/>
        </w:rPr>
        <w:t>井口</w:t>
      </w:r>
      <w:r>
        <w:rPr>
          <w:rFonts w:hint="default"/>
          <w:color w:val="auto"/>
          <w:lang w:val="en-US"/>
        </w:rPr>
        <w:t>。</w:t>
      </w:r>
    </w:p>
    <w:p w14:paraId="480BD6C7">
      <w:pPr>
        <w:tabs>
          <w:tab w:val="left" w:pos="736"/>
        </w:tabs>
        <w:rPr>
          <w:rFonts w:hint="default"/>
          <w:color w:val="auto"/>
          <w:lang w:val="en-US"/>
        </w:rPr>
      </w:pPr>
      <w:r>
        <w:rPr>
          <w:rFonts w:hint="default"/>
          <w:color w:val="auto"/>
          <w:lang w:val="en-US"/>
        </w:rPr>
        <w:t>采场通风网络：新鲜风</w:t>
      </w:r>
      <w:r>
        <w:rPr>
          <w:rFonts w:hint="eastAsia"/>
          <w:color w:val="auto"/>
          <w:lang w:val="en-US" w:eastAsia="zh-CN"/>
        </w:rPr>
        <w:t>拟</w:t>
      </w:r>
      <w:r>
        <w:rPr>
          <w:rFonts w:hint="default"/>
          <w:color w:val="auto"/>
          <w:lang w:val="en-US"/>
        </w:rPr>
        <w:t>由运输巷道→采场→联络道→回风巷道→地表。</w:t>
      </w:r>
    </w:p>
    <w:p w14:paraId="6E53E897">
      <w:pPr>
        <w:pStyle w:val="5"/>
        <w:bidi w:val="0"/>
        <w:rPr>
          <w:rFonts w:hint="eastAsia"/>
          <w:color w:val="auto"/>
          <w:lang w:val="en-US" w:eastAsia="zh-CN"/>
        </w:rPr>
      </w:pPr>
      <w:r>
        <w:rPr>
          <w:rFonts w:hint="eastAsia"/>
          <w:color w:val="auto"/>
          <w:lang w:val="en-US" w:eastAsia="zh-CN"/>
        </w:rPr>
        <w:t>2.4.7.2风量及风压</w:t>
      </w:r>
    </w:p>
    <w:p w14:paraId="735522EF">
      <w:pPr>
        <w:rPr>
          <w:rFonts w:hint="default"/>
          <w:color w:val="auto"/>
          <w:lang w:val="en-US" w:eastAsia="zh-CN"/>
        </w:rPr>
      </w:pPr>
      <w:r>
        <w:rPr>
          <w:rFonts w:hint="default"/>
          <w:color w:val="auto"/>
          <w:lang w:val="en-US" w:eastAsia="zh-CN"/>
        </w:rPr>
        <w:t>根据《金属非金属矿山安全规程(GB16423-2020)》，矿井需风量按井下同时工作的最多人数和按排尘风速计算分别计算矿井需风量，有柴油设备运行的矿井，还要按同时作业机台数每千瓦每分钟供风量4</w:t>
      </w:r>
      <w:r>
        <w:rPr>
          <w:rFonts w:hint="eastAsia"/>
          <w:color w:val="auto"/>
          <w:lang w:val="en-US" w:eastAsia="zh-CN"/>
        </w:rPr>
        <w:t>m³</w:t>
      </w:r>
      <w:r>
        <w:rPr>
          <w:rFonts w:hint="default"/>
          <w:color w:val="auto"/>
          <w:lang w:val="en-US" w:eastAsia="zh-CN"/>
        </w:rPr>
        <w:t>计算矿井需风量，并取其大值作为矿井需风量。</w:t>
      </w:r>
    </w:p>
    <w:p w14:paraId="17927BC5">
      <w:pPr>
        <w:rPr>
          <w:rFonts w:hint="default"/>
          <w:color w:val="auto"/>
          <w:lang w:val="en-US" w:eastAsia="zh-CN"/>
        </w:rPr>
      </w:pPr>
      <w:r>
        <w:rPr>
          <w:rFonts w:hint="default"/>
          <w:color w:val="auto"/>
          <w:lang w:val="en-US" w:eastAsia="zh-CN"/>
        </w:rPr>
        <w:t>根据计算，该矿按井下同时工作的最多人数</w:t>
      </w:r>
      <w:r>
        <w:rPr>
          <w:rFonts w:hint="eastAsia"/>
          <w:color w:val="auto"/>
          <w:lang w:val="en-US" w:eastAsia="zh-CN"/>
        </w:rPr>
        <w:t>31人</w:t>
      </w:r>
      <w:r>
        <w:rPr>
          <w:rFonts w:hint="default"/>
          <w:color w:val="auto"/>
          <w:lang w:val="en-US" w:eastAsia="zh-CN"/>
        </w:rPr>
        <w:t>计算，矿井需风量为2.06</w:t>
      </w:r>
      <w:r>
        <w:rPr>
          <w:rFonts w:hint="eastAsia"/>
          <w:color w:val="auto"/>
          <w:lang w:val="en-US" w:eastAsia="zh-CN"/>
        </w:rPr>
        <w:t>m³</w:t>
      </w:r>
      <w:r>
        <w:rPr>
          <w:rFonts w:hint="default"/>
          <w:color w:val="auto"/>
          <w:lang w:val="en-US" w:eastAsia="zh-CN"/>
        </w:rPr>
        <w:t>/s</w:t>
      </w:r>
      <w:r>
        <w:rPr>
          <w:rFonts w:hint="eastAsia"/>
          <w:color w:val="auto"/>
          <w:lang w:val="en-US" w:eastAsia="zh-CN"/>
        </w:rPr>
        <w:t>；</w:t>
      </w:r>
      <w:r>
        <w:rPr>
          <w:rFonts w:hint="default"/>
          <w:color w:val="auto"/>
          <w:lang w:val="en-US" w:eastAsia="zh-CN"/>
        </w:rPr>
        <w:t>按排尘风速计算，矿井需风量为21.0</w:t>
      </w:r>
      <w:r>
        <w:rPr>
          <w:rFonts w:hint="eastAsia"/>
          <w:color w:val="auto"/>
          <w:lang w:val="en-US" w:eastAsia="zh-CN"/>
        </w:rPr>
        <w:t>m³</w:t>
      </w:r>
      <w:r>
        <w:rPr>
          <w:rFonts w:hint="default"/>
          <w:color w:val="auto"/>
          <w:lang w:val="en-US" w:eastAsia="zh-CN"/>
        </w:rPr>
        <w:t>/s</w:t>
      </w:r>
      <w:r>
        <w:rPr>
          <w:rFonts w:hint="eastAsia"/>
          <w:color w:val="auto"/>
          <w:lang w:val="en-US" w:eastAsia="zh-CN"/>
        </w:rPr>
        <w:t>；</w:t>
      </w:r>
      <w:r>
        <w:rPr>
          <w:rFonts w:hint="default"/>
          <w:color w:val="auto"/>
          <w:lang w:val="en-US" w:eastAsia="zh-CN"/>
        </w:rPr>
        <w:t>按同时作业柴油设备台数计算，矿井需风量为24.16</w:t>
      </w:r>
      <w:r>
        <w:rPr>
          <w:rFonts w:hint="eastAsia"/>
          <w:color w:val="auto"/>
          <w:lang w:val="en-US" w:eastAsia="zh-CN"/>
        </w:rPr>
        <w:t>m³</w:t>
      </w:r>
      <w:r>
        <w:rPr>
          <w:rFonts w:hint="default"/>
          <w:color w:val="auto"/>
          <w:lang w:val="en-US" w:eastAsia="zh-CN"/>
        </w:rPr>
        <w:t>/s</w:t>
      </w:r>
      <w:r>
        <w:rPr>
          <w:rFonts w:hint="eastAsia"/>
          <w:color w:val="auto"/>
          <w:lang w:val="en-US" w:eastAsia="zh-CN"/>
        </w:rPr>
        <w:t>；</w:t>
      </w:r>
      <w:r>
        <w:rPr>
          <w:rFonts w:hint="default"/>
          <w:color w:val="auto"/>
          <w:lang w:val="en-US" w:eastAsia="zh-CN"/>
        </w:rPr>
        <w:t>经比较可知，按同时作业柴油设备台数</w:t>
      </w:r>
      <w:r>
        <w:rPr>
          <w:rFonts w:hint="eastAsia"/>
          <w:color w:val="auto"/>
          <w:lang w:val="en-US" w:eastAsia="zh-CN"/>
        </w:rPr>
        <w:t>(矿用无轨汽车3台、深孔台车1台、凿岩台车1台)</w:t>
      </w:r>
      <w:r>
        <w:rPr>
          <w:rFonts w:hint="default"/>
          <w:color w:val="auto"/>
          <w:lang w:val="en-US" w:eastAsia="zh-CN"/>
        </w:rPr>
        <w:t>计算的矿井需风量最大，为24.16</w:t>
      </w:r>
      <w:r>
        <w:rPr>
          <w:rFonts w:hint="eastAsia"/>
          <w:color w:val="auto"/>
          <w:lang w:val="en-US" w:eastAsia="zh-CN"/>
        </w:rPr>
        <w:t>m³</w:t>
      </w:r>
      <w:r>
        <w:rPr>
          <w:rFonts w:hint="default"/>
          <w:color w:val="auto"/>
          <w:lang w:val="en-US" w:eastAsia="zh-CN"/>
        </w:rPr>
        <w:t>/s。考虑到内外部漏风后矿山总需风量33.82</w:t>
      </w:r>
      <w:r>
        <w:rPr>
          <w:rFonts w:hint="eastAsia"/>
          <w:color w:val="auto"/>
          <w:lang w:val="en-US" w:eastAsia="zh-CN"/>
        </w:rPr>
        <w:t>m³</w:t>
      </w:r>
      <w:r>
        <w:rPr>
          <w:rFonts w:hint="default"/>
          <w:color w:val="auto"/>
          <w:lang w:val="en-US" w:eastAsia="zh-CN"/>
        </w:rPr>
        <w:t>/s。</w:t>
      </w:r>
    </w:p>
    <w:p w14:paraId="58DED3FB">
      <w:pPr>
        <w:rPr>
          <w:rFonts w:hint="eastAsia"/>
          <w:color w:val="auto"/>
          <w:lang w:val="en-US" w:eastAsia="zh-CN"/>
        </w:rPr>
      </w:pPr>
      <w:r>
        <w:rPr>
          <w:rFonts w:hint="default"/>
          <w:color w:val="auto"/>
          <w:lang w:val="en-US" w:eastAsia="zh-CN"/>
        </w:rPr>
        <w:t>矿山通风最困难时期主扇需要克服的矿井通风总阻力为</w:t>
      </w:r>
      <w:r>
        <w:rPr>
          <w:rFonts w:hint="eastAsia"/>
          <w:color w:val="auto"/>
          <w:lang w:val="en-US" w:eastAsia="zh-CN"/>
        </w:rPr>
        <w:t>209.86Pa。</w:t>
      </w:r>
    </w:p>
    <w:p w14:paraId="5BACE97B">
      <w:pPr>
        <w:pStyle w:val="5"/>
        <w:bidi w:val="0"/>
        <w:rPr>
          <w:rFonts w:hint="default"/>
          <w:color w:val="auto"/>
          <w:lang w:val="en-US" w:eastAsia="zh-CN"/>
        </w:rPr>
      </w:pPr>
      <w:r>
        <w:rPr>
          <w:rFonts w:hint="eastAsia"/>
          <w:color w:val="auto"/>
          <w:lang w:val="en-US" w:eastAsia="zh-CN"/>
        </w:rPr>
        <w:t>2.4.7.3局部通风</w:t>
      </w:r>
    </w:p>
    <w:p w14:paraId="7E8BF9E0">
      <w:pPr>
        <w:tabs>
          <w:tab w:val="left" w:pos="736"/>
        </w:tabs>
        <w:rPr>
          <w:rFonts w:hint="default"/>
          <w:color w:val="auto"/>
          <w:lang w:val="en-US"/>
        </w:rPr>
      </w:pPr>
      <w:r>
        <w:rPr>
          <w:rFonts w:hint="default"/>
          <w:color w:val="auto"/>
          <w:lang w:val="en-US"/>
        </w:rPr>
        <w:t>为提高生产中段的通风质量，巷道掘进采用局扇辅助通风，利用</w:t>
      </w:r>
      <w:r>
        <w:rPr>
          <w:rFonts w:hint="eastAsia"/>
          <w:color w:val="auto"/>
          <w:lang w:val="en-US" w:eastAsia="zh-CN"/>
        </w:rPr>
        <w:t>JK</w:t>
      </w:r>
      <w:r>
        <w:rPr>
          <w:rFonts w:hint="default"/>
          <w:color w:val="auto"/>
          <w:lang w:val="en-US"/>
        </w:rPr>
        <w:t>55-2N</w:t>
      </w:r>
      <w:r>
        <w:rPr>
          <w:rFonts w:hint="eastAsia"/>
          <w:color w:val="auto"/>
          <w:lang w:val="en-US" w:eastAsia="zh-CN"/>
        </w:rPr>
        <w:t>O4.5</w:t>
      </w:r>
      <w:r>
        <w:rPr>
          <w:rFonts w:hint="default"/>
          <w:color w:val="auto"/>
          <w:lang w:val="en-US"/>
        </w:rPr>
        <w:t>型、</w:t>
      </w:r>
      <w:r>
        <w:rPr>
          <w:rFonts w:hint="eastAsia"/>
          <w:color w:val="auto"/>
          <w:lang w:val="en-US" w:eastAsia="zh-CN"/>
        </w:rPr>
        <w:t>JK</w:t>
      </w:r>
      <w:r>
        <w:rPr>
          <w:rFonts w:hint="default"/>
          <w:color w:val="auto"/>
          <w:lang w:val="en-US"/>
        </w:rPr>
        <w:t>58-1N</w:t>
      </w:r>
      <w:r>
        <w:rPr>
          <w:rFonts w:hint="eastAsia"/>
          <w:color w:val="auto"/>
          <w:lang w:val="en-US" w:eastAsia="zh-CN"/>
        </w:rPr>
        <w:t>O</w:t>
      </w:r>
      <w:r>
        <w:rPr>
          <w:rFonts w:hint="default"/>
          <w:color w:val="auto"/>
          <w:lang w:val="en-US"/>
        </w:rPr>
        <w:t>4.5型局扇进行局部辅助通风。</w:t>
      </w:r>
    </w:p>
    <w:p w14:paraId="4D0E22E7">
      <w:pPr>
        <w:pStyle w:val="5"/>
        <w:bidi w:val="0"/>
        <w:rPr>
          <w:rFonts w:hint="default"/>
          <w:color w:val="auto"/>
          <w:lang w:val="en-US" w:eastAsia="zh-CN"/>
        </w:rPr>
      </w:pPr>
      <w:r>
        <w:rPr>
          <w:rFonts w:hint="eastAsia"/>
          <w:color w:val="auto"/>
          <w:lang w:val="en-US" w:eastAsia="zh-CN"/>
        </w:rPr>
        <w:t>2.4.7.4除尘</w:t>
      </w:r>
    </w:p>
    <w:p w14:paraId="052B1BF8">
      <w:pPr>
        <w:tabs>
          <w:tab w:val="left" w:pos="736"/>
        </w:tabs>
        <w:rPr>
          <w:rFonts w:hint="default"/>
          <w:color w:val="auto"/>
          <w:lang w:val="en-US"/>
        </w:rPr>
      </w:pPr>
      <w:r>
        <w:rPr>
          <w:rFonts w:hint="default"/>
          <w:color w:val="auto"/>
          <w:lang w:val="en-US"/>
        </w:rPr>
        <w:t>对井下产尘点通风除尘作了专门的考虑，坑内主要产尘点为掘进、凿岩、爆破工作面等，采用喷雾洒水降尘和湿式凿岩来解决。采场工作面污风采用局扇抽出式通风方式，工作面污风由局扇抽出通过回风天井到上中段回风平巷内。</w:t>
      </w:r>
    </w:p>
    <w:p w14:paraId="0E13887C">
      <w:pPr>
        <w:pStyle w:val="5"/>
        <w:bidi w:val="0"/>
        <w:rPr>
          <w:rFonts w:hint="default"/>
          <w:color w:val="auto"/>
          <w:lang w:val="en-US" w:eastAsia="zh-CN"/>
        </w:rPr>
      </w:pPr>
      <w:r>
        <w:rPr>
          <w:rFonts w:hint="eastAsia"/>
          <w:color w:val="auto"/>
          <w:lang w:val="en-US" w:eastAsia="zh-CN"/>
        </w:rPr>
        <w:t>2.4.7.5通风设施</w:t>
      </w:r>
    </w:p>
    <w:p w14:paraId="296DE3F5">
      <w:pPr>
        <w:tabs>
          <w:tab w:val="left" w:pos="736"/>
        </w:tabs>
        <w:rPr>
          <w:rFonts w:hint="default"/>
          <w:color w:val="auto"/>
          <w:lang w:val="en-US" w:eastAsia="zh-CN"/>
        </w:rPr>
      </w:pPr>
      <w:r>
        <w:rPr>
          <w:rFonts w:hint="default"/>
          <w:color w:val="auto"/>
          <w:lang w:val="en-US"/>
        </w:rPr>
        <w:t>为减少内部漏风,对暂时不用或已废弃的天井、平巷等应及时封闭</w:t>
      </w:r>
      <w:r>
        <w:rPr>
          <w:rFonts w:hint="eastAsia"/>
          <w:color w:val="auto"/>
          <w:lang w:val="en-US" w:eastAsia="zh-CN"/>
        </w:rPr>
        <w:t>，</w:t>
      </w:r>
      <w:r>
        <w:rPr>
          <w:rFonts w:hint="default"/>
          <w:color w:val="auto"/>
          <w:lang w:val="en-US"/>
        </w:rPr>
        <w:t>应灵活应用风门、风墙等通风设施调节风流，满足生产要求。坑内反风采用风机反转反风。</w:t>
      </w:r>
    </w:p>
    <w:bookmarkEnd w:id="77"/>
    <w:bookmarkEnd w:id="78"/>
    <w:p w14:paraId="137EEE14">
      <w:pPr>
        <w:pStyle w:val="4"/>
        <w:rPr>
          <w:rFonts w:hint="eastAsia"/>
          <w:color w:val="auto"/>
        </w:rPr>
      </w:pPr>
      <w:r>
        <w:rPr>
          <w:rFonts w:hint="eastAsia"/>
          <w:color w:val="auto"/>
        </w:rPr>
        <w:t>2.4.</w:t>
      </w:r>
      <w:r>
        <w:rPr>
          <w:rFonts w:hint="eastAsia"/>
          <w:color w:val="auto"/>
          <w:lang w:val="en-US" w:eastAsia="zh-CN"/>
        </w:rPr>
        <w:t>8</w:t>
      </w:r>
      <w:r>
        <w:rPr>
          <w:rFonts w:hint="eastAsia"/>
          <w:color w:val="auto"/>
        </w:rPr>
        <w:t xml:space="preserve"> 矿山供配电设施</w:t>
      </w:r>
    </w:p>
    <w:p w14:paraId="583BD1FB">
      <w:pPr>
        <w:pStyle w:val="5"/>
        <w:bidi w:val="0"/>
        <w:rPr>
          <w:rFonts w:hint="default"/>
          <w:color w:val="auto"/>
          <w:lang w:val="en-US" w:eastAsia="zh-CN"/>
        </w:rPr>
      </w:pPr>
      <w:r>
        <w:rPr>
          <w:rFonts w:hint="eastAsia"/>
          <w:color w:val="auto"/>
          <w:lang w:val="en-US" w:eastAsia="zh-CN"/>
        </w:rPr>
        <w:t>2.4.8.1矿山供电电源</w:t>
      </w:r>
    </w:p>
    <w:p w14:paraId="57EE10CF">
      <w:pPr>
        <w:bidi w:val="0"/>
        <w:rPr>
          <w:rFonts w:hint="eastAsia"/>
          <w:color w:val="auto"/>
          <w:lang w:val="en-US" w:eastAsia="zh-CN"/>
        </w:rPr>
      </w:pPr>
      <w:bookmarkStart w:id="79" w:name="_Toc195924734"/>
      <w:bookmarkStart w:id="80" w:name="_Toc118622550"/>
      <w:bookmarkStart w:id="81" w:name="_Toc225062564"/>
      <w:r>
        <w:rPr>
          <w:rFonts w:hint="eastAsia"/>
          <w:color w:val="auto"/>
          <w:lang w:val="en-US" w:eastAsia="zh-CN"/>
        </w:rPr>
        <w:t>矿山附近目前有1回路10kV架空电源，在该架空线路上“T”接1回电源，架空引至矿山主平硐坑口附近，导线采用JKLYJ-3×70mm</w:t>
      </w:r>
      <w:r>
        <w:rPr>
          <w:rFonts w:hint="eastAsia"/>
          <w:color w:val="auto"/>
          <w:vertAlign w:val="superscript"/>
          <w:lang w:val="en-US" w:eastAsia="zh-CN"/>
        </w:rPr>
        <w:t>2</w:t>
      </w:r>
      <w:r>
        <w:rPr>
          <w:rFonts w:hint="eastAsia"/>
          <w:color w:val="auto"/>
          <w:lang w:val="en-US" w:eastAsia="zh-CN"/>
        </w:rPr>
        <w:t>型。</w:t>
      </w:r>
    </w:p>
    <w:p w14:paraId="679FDB0E">
      <w:pPr>
        <w:bidi w:val="0"/>
        <w:rPr>
          <w:rFonts w:hint="eastAsia"/>
          <w:color w:val="auto"/>
          <w:lang w:val="en-US" w:eastAsia="zh-CN"/>
        </w:rPr>
      </w:pPr>
      <w:r>
        <w:rPr>
          <w:rFonts w:hint="eastAsia"/>
          <w:color w:val="auto"/>
          <w:lang w:val="en-US" w:eastAsia="zh-CN"/>
        </w:rPr>
        <w:t>矿山周边暂无第二路电源可供利用，矿山拟采用柴油发电机组作为备用电源。</w:t>
      </w:r>
    </w:p>
    <w:p w14:paraId="729D9D3D">
      <w:pPr>
        <w:pStyle w:val="5"/>
        <w:bidi w:val="0"/>
        <w:rPr>
          <w:rFonts w:hint="eastAsia"/>
          <w:color w:val="auto"/>
          <w:lang w:val="en-US" w:eastAsia="zh-CN"/>
        </w:rPr>
      </w:pPr>
      <w:r>
        <w:rPr>
          <w:rFonts w:hint="eastAsia"/>
          <w:color w:val="auto"/>
          <w:lang w:val="en-US" w:eastAsia="zh-CN"/>
        </w:rPr>
        <w:t>2.4.8.2用电负荷</w:t>
      </w:r>
    </w:p>
    <w:p w14:paraId="5C9C69A0">
      <w:pPr>
        <w:rPr>
          <w:rFonts w:hint="default"/>
          <w:color w:val="auto"/>
          <w:lang w:val="en-US" w:eastAsia="zh-CN"/>
        </w:rPr>
      </w:pPr>
      <w:r>
        <w:rPr>
          <w:rFonts w:hint="eastAsia"/>
          <w:color w:val="auto"/>
          <w:lang w:val="en-US" w:eastAsia="zh-CN"/>
        </w:rPr>
        <w:t>矿山</w:t>
      </w:r>
      <w:r>
        <w:rPr>
          <w:rFonts w:hint="default"/>
          <w:color w:val="auto"/>
          <w:lang w:val="en-US" w:eastAsia="zh-CN"/>
        </w:rPr>
        <w:t>用电负荷装机容量</w:t>
      </w:r>
      <w:r>
        <w:rPr>
          <w:rFonts w:hint="eastAsia"/>
          <w:color w:val="auto"/>
          <w:lang w:val="en-US" w:eastAsia="zh-CN"/>
        </w:rPr>
        <w:t>拟</w:t>
      </w:r>
      <w:r>
        <w:rPr>
          <w:rFonts w:hint="default"/>
          <w:color w:val="auto"/>
          <w:lang w:val="en-US" w:eastAsia="zh-CN"/>
        </w:rPr>
        <w:t>为1207.2k</w:t>
      </w:r>
      <w:r>
        <w:rPr>
          <w:rFonts w:hint="eastAsia"/>
          <w:color w:val="auto"/>
          <w:lang w:val="en-US" w:eastAsia="zh-CN"/>
        </w:rPr>
        <w:t>W，</w:t>
      </w:r>
      <w:r>
        <w:rPr>
          <w:rFonts w:hint="default"/>
          <w:color w:val="auto"/>
          <w:lang w:val="en-US" w:eastAsia="zh-CN"/>
        </w:rPr>
        <w:t>工作容量为910.2kW。矿山主通风机工作容量为90kW</w:t>
      </w:r>
      <w:r>
        <w:rPr>
          <w:rFonts w:hint="eastAsia"/>
          <w:color w:val="auto"/>
          <w:lang w:val="en-US" w:eastAsia="zh-CN"/>
        </w:rPr>
        <w:t>，</w:t>
      </w:r>
      <w:r>
        <w:rPr>
          <w:rFonts w:hint="default"/>
          <w:color w:val="auto"/>
          <w:lang w:val="en-US" w:eastAsia="zh-CN"/>
        </w:rPr>
        <w:t>空压机工作容量为200kW。</w:t>
      </w:r>
    </w:p>
    <w:p w14:paraId="4D89AD79">
      <w:pPr>
        <w:rPr>
          <w:rFonts w:hint="default"/>
          <w:color w:val="auto"/>
          <w:lang w:val="en-US" w:eastAsia="zh-CN"/>
        </w:rPr>
      </w:pPr>
      <w:r>
        <w:rPr>
          <w:rFonts w:hint="default"/>
          <w:color w:val="auto"/>
          <w:lang w:val="en-US" w:eastAsia="zh-CN"/>
        </w:rPr>
        <w:t>矿山主通风机</w:t>
      </w:r>
      <w:r>
        <w:rPr>
          <w:rFonts w:hint="eastAsia"/>
          <w:color w:val="auto"/>
          <w:lang w:eastAsia="zh-CN"/>
        </w:rPr>
        <w:t>、</w:t>
      </w:r>
      <w:r>
        <w:rPr>
          <w:rFonts w:hint="default"/>
          <w:color w:val="auto"/>
          <w:lang w:val="en-US" w:eastAsia="zh-CN"/>
        </w:rPr>
        <w:t>压风自救空压机、井下通信及安全监控装置的电源设备、应急照明</w:t>
      </w:r>
      <w:r>
        <w:rPr>
          <w:rFonts w:hint="eastAsia"/>
          <w:color w:val="auto"/>
          <w:lang w:val="en-US" w:eastAsia="zh-CN"/>
        </w:rPr>
        <w:t>为</w:t>
      </w:r>
      <w:r>
        <w:rPr>
          <w:rFonts w:hint="default"/>
          <w:color w:val="auto"/>
          <w:lang w:val="en-US" w:eastAsia="zh-CN"/>
        </w:rPr>
        <w:t>二级负荷，其他用电负荷类别</w:t>
      </w:r>
      <w:r>
        <w:rPr>
          <w:rFonts w:hint="eastAsia"/>
          <w:color w:val="auto"/>
          <w:lang w:val="en-US" w:eastAsia="zh-CN"/>
        </w:rPr>
        <w:t>为</w:t>
      </w:r>
      <w:r>
        <w:rPr>
          <w:rFonts w:hint="default"/>
          <w:color w:val="auto"/>
          <w:lang w:val="en-US" w:eastAsia="zh-CN"/>
        </w:rPr>
        <w:t>三级。</w:t>
      </w:r>
    </w:p>
    <w:p w14:paraId="75695B0A">
      <w:pPr>
        <w:pStyle w:val="5"/>
        <w:bidi w:val="0"/>
        <w:rPr>
          <w:rFonts w:hint="eastAsia"/>
          <w:color w:val="auto"/>
          <w:lang w:val="en-US" w:eastAsia="zh-CN"/>
        </w:rPr>
      </w:pPr>
      <w:r>
        <w:rPr>
          <w:rFonts w:hint="eastAsia"/>
          <w:color w:val="auto"/>
          <w:lang w:val="en-US" w:eastAsia="zh-CN"/>
        </w:rPr>
        <w:t>2.4.8.3供电方案</w:t>
      </w:r>
    </w:p>
    <w:p w14:paraId="54A622B2">
      <w:pPr>
        <w:bidi w:val="0"/>
        <w:rPr>
          <w:rFonts w:hint="default"/>
          <w:color w:val="auto"/>
          <w:lang w:val="en-US" w:eastAsia="zh-CN"/>
        </w:rPr>
      </w:pPr>
      <w:r>
        <w:rPr>
          <w:rFonts w:hint="eastAsia"/>
          <w:color w:val="auto"/>
          <w:lang w:val="en-US" w:eastAsia="zh-CN"/>
        </w:rPr>
        <w:t>(1)</w:t>
      </w:r>
      <w:r>
        <w:rPr>
          <w:rFonts w:hint="default"/>
          <w:color w:val="auto"/>
          <w:lang w:val="en-US" w:eastAsia="zh-CN"/>
        </w:rPr>
        <w:t>电压等级</w:t>
      </w:r>
    </w:p>
    <w:p w14:paraId="0539D84C">
      <w:pPr>
        <w:bidi w:val="0"/>
        <w:rPr>
          <w:rFonts w:hint="default"/>
          <w:color w:val="auto"/>
          <w:lang w:val="en-US" w:eastAsia="zh-CN"/>
        </w:rPr>
      </w:pPr>
      <w:r>
        <w:rPr>
          <w:rFonts w:hint="eastAsia"/>
          <w:color w:val="auto"/>
          <w:lang w:val="en-US" w:eastAsia="zh-CN"/>
        </w:rPr>
        <w:t>矿山</w:t>
      </w:r>
      <w:r>
        <w:rPr>
          <w:rFonts w:hint="default"/>
          <w:color w:val="auto"/>
          <w:lang w:val="en-US" w:eastAsia="zh-CN"/>
        </w:rPr>
        <w:t>各级供配电电压</w:t>
      </w:r>
      <w:r>
        <w:rPr>
          <w:rFonts w:hint="eastAsia"/>
          <w:color w:val="auto"/>
          <w:lang w:val="en-US" w:eastAsia="zh-CN"/>
        </w:rPr>
        <w:t>如下</w:t>
      </w:r>
      <w:r>
        <w:rPr>
          <w:rFonts w:hint="default"/>
          <w:color w:val="auto"/>
          <w:lang w:val="en-US" w:eastAsia="zh-CN"/>
        </w:rPr>
        <w:t>：进线电源电压10kV</w:t>
      </w:r>
      <w:r>
        <w:rPr>
          <w:rFonts w:hint="eastAsia"/>
          <w:color w:val="auto"/>
          <w:lang w:val="en-US" w:eastAsia="zh-CN"/>
        </w:rPr>
        <w:t>，</w:t>
      </w:r>
      <w:r>
        <w:rPr>
          <w:rFonts w:hint="default"/>
          <w:color w:val="auto"/>
          <w:lang w:val="en-US" w:eastAsia="zh-CN"/>
        </w:rPr>
        <w:t>低压电机380V</w:t>
      </w:r>
      <w:r>
        <w:rPr>
          <w:rFonts w:hint="eastAsia"/>
          <w:color w:val="auto"/>
          <w:lang w:val="en-US" w:eastAsia="zh-CN"/>
        </w:rPr>
        <w:t>，</w:t>
      </w:r>
      <w:r>
        <w:rPr>
          <w:rFonts w:hint="default"/>
          <w:color w:val="auto"/>
          <w:lang w:val="en-US" w:eastAsia="zh-CN"/>
        </w:rPr>
        <w:t>地面固定照明AC220V</w:t>
      </w:r>
      <w:r>
        <w:rPr>
          <w:rFonts w:hint="eastAsia"/>
          <w:color w:val="auto"/>
          <w:lang w:val="en-US" w:eastAsia="zh-CN"/>
        </w:rPr>
        <w:t>，</w:t>
      </w:r>
      <w:r>
        <w:rPr>
          <w:rFonts w:hint="default"/>
          <w:color w:val="auto"/>
          <w:lang w:val="en-US" w:eastAsia="zh-CN"/>
        </w:rPr>
        <w:t>巷道、硐室照明电压AC220V/127V</w:t>
      </w:r>
      <w:r>
        <w:rPr>
          <w:rFonts w:hint="eastAsia"/>
          <w:color w:val="auto"/>
          <w:lang w:val="en-US" w:eastAsia="zh-CN"/>
        </w:rPr>
        <w:t>，</w:t>
      </w:r>
      <w:r>
        <w:rPr>
          <w:rFonts w:hint="default"/>
          <w:color w:val="auto"/>
          <w:lang w:val="en-US" w:eastAsia="zh-CN"/>
        </w:rPr>
        <w:t>检修、采区移动照明电压AC36V。</w:t>
      </w:r>
    </w:p>
    <w:p w14:paraId="5CBB57DE">
      <w:pPr>
        <w:bidi w:val="0"/>
        <w:rPr>
          <w:rFonts w:hint="default"/>
          <w:color w:val="auto"/>
          <w:lang w:val="en-US" w:eastAsia="zh-CN"/>
        </w:rPr>
      </w:pPr>
      <w:r>
        <w:rPr>
          <w:rFonts w:hint="default"/>
          <w:color w:val="auto"/>
          <w:lang w:val="en-US" w:eastAsia="zh-CN"/>
        </w:rPr>
        <w:t>(</w:t>
      </w:r>
      <w:r>
        <w:rPr>
          <w:rFonts w:hint="eastAsia"/>
          <w:color w:val="auto"/>
          <w:lang w:val="en-US" w:eastAsia="zh-CN"/>
        </w:rPr>
        <w:t>2</w:t>
      </w:r>
      <w:r>
        <w:rPr>
          <w:rFonts w:hint="default"/>
          <w:color w:val="auto"/>
          <w:lang w:val="en-US" w:eastAsia="zh-CN"/>
        </w:rPr>
        <w:t>)供电方案</w:t>
      </w:r>
    </w:p>
    <w:p w14:paraId="7DCB1D78">
      <w:pPr>
        <w:bidi w:val="0"/>
        <w:rPr>
          <w:rFonts w:hint="default"/>
          <w:color w:val="auto"/>
          <w:lang w:val="en-US" w:eastAsia="zh-CN"/>
        </w:rPr>
      </w:pPr>
      <w:r>
        <w:rPr>
          <w:rFonts w:hint="default"/>
          <w:color w:val="auto"/>
          <w:lang w:val="en-US" w:eastAsia="zh-CN"/>
        </w:rPr>
        <w:t>10kV架空电源引至</w:t>
      </w:r>
      <w:r>
        <w:rPr>
          <w:rFonts w:hint="eastAsia"/>
          <w:color w:val="auto"/>
          <w:lang w:val="en-US" w:eastAsia="zh-CN"/>
        </w:rPr>
        <w:t>矿山</w:t>
      </w:r>
      <w:r>
        <w:rPr>
          <w:rFonts w:hint="default"/>
          <w:color w:val="auto"/>
          <w:lang w:val="en-US" w:eastAsia="zh-CN"/>
        </w:rPr>
        <w:t>附近后，</w:t>
      </w:r>
      <w:r>
        <w:rPr>
          <w:rFonts w:hint="eastAsia"/>
          <w:color w:val="auto"/>
          <w:lang w:val="en-US" w:eastAsia="zh-CN"/>
        </w:rPr>
        <w:t>拟</w:t>
      </w:r>
      <w:r>
        <w:rPr>
          <w:rFonts w:hint="default"/>
          <w:color w:val="auto"/>
          <w:lang w:val="en-US" w:eastAsia="zh-CN"/>
        </w:rPr>
        <w:t>在矿山地面主平硐坑口设置1处10kV配电室，为矿山各变电所(或变压器)供电。</w:t>
      </w:r>
    </w:p>
    <w:p w14:paraId="30EB31DB">
      <w:pPr>
        <w:bidi w:val="0"/>
        <w:rPr>
          <w:rFonts w:hint="default"/>
          <w:color w:val="auto"/>
          <w:lang w:val="en-US" w:eastAsia="zh-CN"/>
        </w:rPr>
      </w:pPr>
      <w:r>
        <w:rPr>
          <w:rFonts w:hint="default"/>
          <w:color w:val="auto"/>
          <w:lang w:val="en-US" w:eastAsia="zh-CN"/>
        </w:rPr>
        <w:t>(</w:t>
      </w:r>
      <w:r>
        <w:rPr>
          <w:rFonts w:hint="eastAsia"/>
          <w:color w:val="auto"/>
          <w:lang w:val="en-US" w:eastAsia="zh-CN"/>
        </w:rPr>
        <w:t>3</w:t>
      </w:r>
      <w:r>
        <w:rPr>
          <w:rFonts w:hint="default"/>
          <w:color w:val="auto"/>
          <w:lang w:val="en-US" w:eastAsia="zh-CN"/>
        </w:rPr>
        <w:t>)接地方式</w:t>
      </w:r>
    </w:p>
    <w:p w14:paraId="682FF933">
      <w:pPr>
        <w:bidi w:val="0"/>
        <w:rPr>
          <w:rFonts w:hint="default"/>
          <w:color w:val="auto"/>
          <w:lang w:val="en-US" w:eastAsia="zh-CN"/>
        </w:rPr>
      </w:pPr>
      <w:r>
        <w:rPr>
          <w:rFonts w:hint="default"/>
          <w:color w:val="auto"/>
          <w:lang w:val="en-US" w:eastAsia="zh-CN"/>
        </w:rPr>
        <w:t>矿山地面低压配电网络</w:t>
      </w:r>
      <w:r>
        <w:rPr>
          <w:rFonts w:hint="eastAsia"/>
          <w:color w:val="auto"/>
          <w:lang w:val="en-US" w:eastAsia="zh-CN"/>
        </w:rPr>
        <w:t>拟</w:t>
      </w:r>
      <w:r>
        <w:rPr>
          <w:rFonts w:hint="default"/>
          <w:color w:val="auto"/>
          <w:lang w:val="en-US" w:eastAsia="zh-CN"/>
        </w:rPr>
        <w:t>采用TN-S接地系统</w:t>
      </w:r>
      <w:r>
        <w:rPr>
          <w:rFonts w:hint="eastAsia"/>
          <w:color w:val="auto"/>
          <w:lang w:val="en-US" w:eastAsia="zh-CN"/>
        </w:rPr>
        <w:t>；</w:t>
      </w:r>
      <w:r>
        <w:rPr>
          <w:rFonts w:hint="default"/>
          <w:color w:val="auto"/>
          <w:lang w:val="en-US" w:eastAsia="zh-CN"/>
        </w:rPr>
        <w:t>矿山井下低压配电网络</w:t>
      </w:r>
      <w:r>
        <w:rPr>
          <w:rFonts w:hint="eastAsia"/>
          <w:color w:val="auto"/>
          <w:lang w:val="en-US" w:eastAsia="zh-CN"/>
        </w:rPr>
        <w:t>拟</w:t>
      </w:r>
      <w:r>
        <w:rPr>
          <w:rFonts w:hint="default"/>
          <w:color w:val="auto"/>
          <w:lang w:val="en-US" w:eastAsia="zh-CN"/>
        </w:rPr>
        <w:t>采用IT接地系统。</w:t>
      </w:r>
    </w:p>
    <w:p w14:paraId="56330AF3">
      <w:pPr>
        <w:pStyle w:val="5"/>
        <w:bidi w:val="0"/>
        <w:rPr>
          <w:rFonts w:hint="eastAsia"/>
          <w:color w:val="auto"/>
          <w:lang w:val="en-US" w:eastAsia="zh-CN"/>
        </w:rPr>
      </w:pPr>
      <w:r>
        <w:rPr>
          <w:rFonts w:hint="eastAsia"/>
          <w:color w:val="auto"/>
          <w:lang w:val="en-US" w:eastAsia="zh-CN"/>
        </w:rPr>
        <w:t>2.4.8.4变配电系统</w:t>
      </w:r>
    </w:p>
    <w:p w14:paraId="2CA99432">
      <w:pPr>
        <w:bidi w:val="0"/>
        <w:rPr>
          <w:rFonts w:hint="default"/>
          <w:color w:val="auto"/>
          <w:lang w:val="en-US" w:eastAsia="zh-CN"/>
        </w:rPr>
      </w:pPr>
      <w:r>
        <w:rPr>
          <w:rFonts w:hint="default"/>
          <w:color w:val="auto"/>
          <w:lang w:val="en-US" w:eastAsia="zh-CN"/>
        </w:rPr>
        <w:t>(1)各变电所</w:t>
      </w:r>
    </w:p>
    <w:p w14:paraId="56083C19">
      <w:pPr>
        <w:bidi w:val="0"/>
        <w:rPr>
          <w:rFonts w:hint="default"/>
          <w:color w:val="auto"/>
          <w:lang w:val="en-US" w:eastAsia="zh-CN"/>
        </w:rPr>
      </w:pPr>
      <w:r>
        <w:rPr>
          <w:rFonts w:hint="default"/>
          <w:color w:val="auto"/>
          <w:lang w:val="en-US" w:eastAsia="zh-CN"/>
        </w:rPr>
        <w:t>1)坑口空压变电所</w:t>
      </w:r>
    </w:p>
    <w:p w14:paraId="12A94ADE">
      <w:pPr>
        <w:bidi w:val="0"/>
        <w:rPr>
          <w:rFonts w:hint="default"/>
          <w:color w:val="auto"/>
          <w:lang w:val="en-US" w:eastAsia="zh-CN"/>
        </w:rPr>
      </w:pPr>
      <w:r>
        <w:rPr>
          <w:rFonts w:hint="eastAsia"/>
          <w:color w:val="auto"/>
          <w:lang w:val="en-US" w:eastAsia="zh-CN"/>
        </w:rPr>
        <w:t>拟</w:t>
      </w:r>
      <w:r>
        <w:rPr>
          <w:rFonts w:hint="default"/>
          <w:color w:val="auto"/>
          <w:lang w:val="en-US" w:eastAsia="zh-CN"/>
        </w:rPr>
        <w:t>在</w:t>
      </w:r>
      <w:r>
        <w:rPr>
          <w:rFonts w:hint="eastAsia"/>
          <w:color w:val="auto"/>
          <w:lang w:val="en-US" w:eastAsia="zh-CN"/>
        </w:rPr>
        <w:t>矿山</w:t>
      </w:r>
      <w:r>
        <w:rPr>
          <w:rFonts w:hint="default"/>
          <w:color w:val="auto"/>
          <w:lang w:val="en-US" w:eastAsia="zh-CN"/>
        </w:rPr>
        <w:t>主平硐坑口空压机站附近新建1座单层变电所(含矿山10kV配电室)。安装5面XGN15-12型高压开关柜，交流操作。高压配出3回馈线，1回至空压机变压器及主通风机变压器，另外2回至井下采区变电硐室。</w:t>
      </w:r>
    </w:p>
    <w:p w14:paraId="3E7E2CEA">
      <w:pPr>
        <w:bidi w:val="0"/>
        <w:rPr>
          <w:rFonts w:hint="default"/>
          <w:color w:val="auto"/>
          <w:lang w:val="en-US" w:eastAsia="zh-CN"/>
        </w:rPr>
      </w:pPr>
      <w:r>
        <w:rPr>
          <w:rFonts w:hint="default"/>
          <w:color w:val="auto"/>
          <w:lang w:val="en-US" w:eastAsia="zh-CN"/>
        </w:rPr>
        <w:t>柱上安装1台S13-M-315kVA型变压器，室内安装3面GGD型低压配电屏，为空压机站、坑口维修及其他低压设备配电。</w:t>
      </w:r>
    </w:p>
    <w:p w14:paraId="46A9CE19">
      <w:pPr>
        <w:bidi w:val="0"/>
        <w:rPr>
          <w:rFonts w:hint="default"/>
          <w:color w:val="auto"/>
          <w:lang w:val="en-US" w:eastAsia="zh-CN"/>
        </w:rPr>
      </w:pPr>
      <w:r>
        <w:rPr>
          <w:rFonts w:hint="default"/>
          <w:color w:val="auto"/>
          <w:lang w:val="en-US" w:eastAsia="zh-CN"/>
        </w:rPr>
        <w:t>压风自救空压机为二级负荷，在坑口安装1台250kW低压柴油发电机组，作为压风自救空压机的备用电源。</w:t>
      </w:r>
    </w:p>
    <w:p w14:paraId="2B536256">
      <w:pPr>
        <w:bidi w:val="0"/>
        <w:rPr>
          <w:rFonts w:hint="default"/>
          <w:color w:val="auto"/>
          <w:lang w:val="en-US" w:eastAsia="zh-CN"/>
        </w:rPr>
      </w:pPr>
      <w:r>
        <w:rPr>
          <w:rFonts w:hint="default"/>
          <w:color w:val="auto"/>
          <w:lang w:val="en-US" w:eastAsia="zh-CN"/>
        </w:rPr>
        <w:t>2)主通风机变电所</w:t>
      </w:r>
    </w:p>
    <w:p w14:paraId="07BAE1F4">
      <w:pPr>
        <w:bidi w:val="0"/>
        <w:rPr>
          <w:rFonts w:hint="default"/>
          <w:color w:val="auto"/>
          <w:lang w:val="en-US" w:eastAsia="zh-CN"/>
        </w:rPr>
      </w:pPr>
      <w:r>
        <w:rPr>
          <w:rFonts w:hint="eastAsia"/>
          <w:color w:val="auto"/>
          <w:lang w:val="en-US" w:eastAsia="zh-CN"/>
        </w:rPr>
        <w:t>拟</w:t>
      </w:r>
      <w:r>
        <w:rPr>
          <w:rFonts w:hint="default"/>
          <w:color w:val="auto"/>
          <w:lang w:val="en-US" w:eastAsia="zh-CN"/>
        </w:rPr>
        <w:t>在矿山主通风机附近新建1座变电所。柱上安装1台S13-M-160kVA型变压器，为主通风机供电。室内安装1台XL-21型双电源切换箱、1台通风机变频柜。</w:t>
      </w:r>
    </w:p>
    <w:p w14:paraId="34928F36">
      <w:pPr>
        <w:bidi w:val="0"/>
        <w:rPr>
          <w:rFonts w:hint="default"/>
          <w:color w:val="auto"/>
          <w:lang w:val="en-US" w:eastAsia="zh-CN"/>
        </w:rPr>
      </w:pPr>
      <w:r>
        <w:rPr>
          <w:rFonts w:hint="eastAsia"/>
          <w:color w:val="auto"/>
          <w:lang w:val="en-US" w:eastAsia="zh-CN"/>
        </w:rPr>
        <w:t>拟</w:t>
      </w:r>
      <w:r>
        <w:rPr>
          <w:rFonts w:hint="default"/>
          <w:color w:val="auto"/>
          <w:lang w:val="en-US" w:eastAsia="zh-CN"/>
        </w:rPr>
        <w:t>在主通风机附近安装1台120kW柴油发电机组，作为主通风机的备用电源。</w:t>
      </w:r>
    </w:p>
    <w:p w14:paraId="3A5F7F89">
      <w:pPr>
        <w:bidi w:val="0"/>
        <w:rPr>
          <w:rFonts w:hint="default"/>
          <w:color w:val="auto"/>
          <w:lang w:val="en-US" w:eastAsia="zh-CN"/>
        </w:rPr>
      </w:pPr>
      <w:r>
        <w:rPr>
          <w:rFonts w:hint="default"/>
          <w:color w:val="auto"/>
          <w:lang w:val="en-US" w:eastAsia="zh-CN"/>
        </w:rPr>
        <w:t>3)井下采区变电硐室</w:t>
      </w:r>
    </w:p>
    <w:p w14:paraId="14F0A6F2">
      <w:pPr>
        <w:bidi w:val="0"/>
        <w:rPr>
          <w:rFonts w:hint="default"/>
          <w:color w:val="auto"/>
          <w:lang w:val="en-US" w:eastAsia="zh-CN"/>
        </w:rPr>
      </w:pPr>
      <w:r>
        <w:rPr>
          <w:rFonts w:hint="eastAsia"/>
          <w:color w:val="auto"/>
          <w:lang w:val="en-US" w:eastAsia="zh-CN"/>
        </w:rPr>
        <w:t>拟</w:t>
      </w:r>
      <w:r>
        <w:rPr>
          <w:rFonts w:hint="default"/>
          <w:color w:val="auto"/>
          <w:lang w:val="en-US" w:eastAsia="zh-CN"/>
        </w:rPr>
        <w:t>在矿山井下设置1座采区变电硐室。室内安装1面GKG-10型矿用高压开关柜、1台KSG-500kVA矿用型变压器、4面GKD型低压配电屏，为井下采掘设备配电。</w:t>
      </w:r>
    </w:p>
    <w:p w14:paraId="63FE988E">
      <w:pPr>
        <w:bidi w:val="0"/>
        <w:rPr>
          <w:rFonts w:hint="default"/>
          <w:color w:val="auto"/>
          <w:lang w:val="en-US" w:eastAsia="zh-CN"/>
        </w:rPr>
      </w:pPr>
      <w:r>
        <w:rPr>
          <w:rFonts w:hint="default"/>
          <w:color w:val="auto"/>
          <w:lang w:val="en-US" w:eastAsia="zh-CN"/>
        </w:rPr>
        <w:t>(</w:t>
      </w:r>
      <w:r>
        <w:rPr>
          <w:rFonts w:hint="eastAsia"/>
          <w:color w:val="auto"/>
          <w:lang w:val="en-US" w:eastAsia="zh-CN"/>
        </w:rPr>
        <w:t>2</w:t>
      </w:r>
      <w:r>
        <w:rPr>
          <w:rFonts w:hint="default"/>
          <w:color w:val="auto"/>
          <w:lang w:val="en-US" w:eastAsia="zh-CN"/>
        </w:rPr>
        <w:t>)主要设备选型</w:t>
      </w:r>
    </w:p>
    <w:p w14:paraId="49067984">
      <w:pPr>
        <w:bidi w:val="0"/>
        <w:rPr>
          <w:rFonts w:hint="default"/>
          <w:color w:val="auto"/>
          <w:lang w:val="en-US" w:eastAsia="zh-CN"/>
        </w:rPr>
      </w:pPr>
      <w:r>
        <w:rPr>
          <w:rFonts w:hint="default"/>
          <w:color w:val="auto"/>
          <w:lang w:val="en-US" w:eastAsia="zh-CN"/>
        </w:rPr>
        <w:t>1)安装于地面的新增变压器选用S13-M-系列；安装于井下的变压器选用KSG-矿用型并具有“KA”矿安标志。</w:t>
      </w:r>
    </w:p>
    <w:p w14:paraId="0307D38D">
      <w:pPr>
        <w:bidi w:val="0"/>
        <w:rPr>
          <w:rFonts w:hint="default"/>
          <w:color w:val="auto"/>
          <w:lang w:val="en-US" w:eastAsia="zh-CN"/>
        </w:rPr>
      </w:pPr>
      <w:r>
        <w:rPr>
          <w:rFonts w:hint="default"/>
          <w:color w:val="auto"/>
          <w:lang w:val="en-US" w:eastAsia="zh-CN"/>
        </w:rPr>
        <w:t>2)安装于地面的高压开关柜选用XGN15-12型；安装于井下的高压开关柜选用GKG-型并具有“KA”矿安标志。</w:t>
      </w:r>
    </w:p>
    <w:p w14:paraId="3315A526">
      <w:pPr>
        <w:bidi w:val="0"/>
        <w:rPr>
          <w:rFonts w:hint="default"/>
          <w:color w:val="auto"/>
          <w:lang w:val="en-US" w:eastAsia="zh-CN"/>
        </w:rPr>
      </w:pPr>
      <w:r>
        <w:rPr>
          <w:rFonts w:hint="default"/>
          <w:color w:val="auto"/>
          <w:lang w:val="en-US" w:eastAsia="zh-CN"/>
        </w:rPr>
        <w:t>3)安装于地面的低压配电屏选用GGD-型；安装于井下的低压配电屏选用GKD-型，井下其他变频柜、控制柜、动力配电箱选用一般矿用型并具有“KA”矿安标志。</w:t>
      </w:r>
    </w:p>
    <w:p w14:paraId="736DFACF">
      <w:pPr>
        <w:pStyle w:val="5"/>
        <w:bidi w:val="0"/>
        <w:rPr>
          <w:rFonts w:hint="eastAsia"/>
          <w:color w:val="auto"/>
          <w:lang w:val="en-US" w:eastAsia="zh-CN"/>
        </w:rPr>
      </w:pPr>
      <w:r>
        <w:rPr>
          <w:rFonts w:hint="eastAsia"/>
          <w:color w:val="auto"/>
          <w:lang w:val="en-US" w:eastAsia="zh-CN"/>
        </w:rPr>
        <w:t>2.4.8.5照明设施</w:t>
      </w:r>
    </w:p>
    <w:p w14:paraId="33240133">
      <w:pPr>
        <w:rPr>
          <w:rFonts w:hint="default"/>
          <w:color w:val="auto"/>
          <w:lang w:val="en-US" w:eastAsia="zh-CN"/>
        </w:rPr>
      </w:pPr>
      <w:r>
        <w:rPr>
          <w:rFonts w:hint="default"/>
          <w:color w:val="auto"/>
          <w:lang w:val="en-US" w:eastAsia="zh-CN"/>
        </w:rPr>
        <w:t>(</w:t>
      </w:r>
      <w:r>
        <w:rPr>
          <w:rFonts w:hint="eastAsia"/>
          <w:color w:val="auto"/>
          <w:lang w:val="en-US" w:eastAsia="zh-CN"/>
        </w:rPr>
        <w:t>1</w:t>
      </w:r>
      <w:r>
        <w:rPr>
          <w:rFonts w:hint="default"/>
          <w:color w:val="auto"/>
          <w:lang w:val="en-US" w:eastAsia="zh-CN"/>
        </w:rPr>
        <w:t>)照度要求</w:t>
      </w:r>
    </w:p>
    <w:p w14:paraId="3401F505">
      <w:pPr>
        <w:rPr>
          <w:rFonts w:hint="default"/>
          <w:color w:val="auto"/>
          <w:lang w:val="en-US" w:eastAsia="zh-CN"/>
        </w:rPr>
      </w:pPr>
      <w:r>
        <w:rPr>
          <w:rFonts w:hint="default"/>
          <w:color w:val="auto"/>
          <w:lang w:val="en-US" w:eastAsia="zh-CN"/>
        </w:rPr>
        <w:t>地面空压机站≥150LX</w:t>
      </w:r>
      <w:r>
        <w:rPr>
          <w:rFonts w:hint="eastAsia"/>
          <w:color w:val="auto"/>
          <w:lang w:val="en-US" w:eastAsia="zh-CN"/>
        </w:rPr>
        <w:t>，</w:t>
      </w:r>
      <w:r>
        <w:rPr>
          <w:rFonts w:hint="default"/>
          <w:color w:val="auto"/>
          <w:lang w:val="en-US" w:eastAsia="zh-CN"/>
        </w:rPr>
        <w:t>地面控制室≥300LX。井下各硐室≥75LX</w:t>
      </w:r>
      <w:r>
        <w:rPr>
          <w:rFonts w:hint="eastAsia"/>
          <w:color w:val="auto"/>
          <w:lang w:val="en-US" w:eastAsia="zh-CN"/>
        </w:rPr>
        <w:t>，</w:t>
      </w:r>
      <w:r>
        <w:rPr>
          <w:rFonts w:hint="default"/>
          <w:color w:val="auto"/>
          <w:lang w:val="en-US" w:eastAsia="zh-CN"/>
        </w:rPr>
        <w:t>井下巷道≥15LX。</w:t>
      </w:r>
    </w:p>
    <w:p w14:paraId="555EDD16">
      <w:pPr>
        <w:rPr>
          <w:rFonts w:hint="default"/>
          <w:color w:val="auto"/>
          <w:lang w:val="en-US" w:eastAsia="zh-CN"/>
        </w:rPr>
      </w:pPr>
      <w:r>
        <w:rPr>
          <w:rFonts w:hint="default"/>
          <w:color w:val="auto"/>
          <w:lang w:val="en-US" w:eastAsia="zh-CN"/>
        </w:rPr>
        <w:t>(2)照明电压</w:t>
      </w:r>
    </w:p>
    <w:p w14:paraId="47A93652">
      <w:pPr>
        <w:rPr>
          <w:rFonts w:hint="default"/>
          <w:color w:val="auto"/>
          <w:lang w:val="en-US" w:eastAsia="zh-CN"/>
        </w:rPr>
      </w:pPr>
      <w:r>
        <w:rPr>
          <w:rFonts w:hint="default"/>
          <w:color w:val="auto"/>
          <w:lang w:val="en-US" w:eastAsia="zh-CN"/>
        </w:rPr>
        <w:t>地面固定照明电压为AC220V</w:t>
      </w:r>
      <w:r>
        <w:rPr>
          <w:rFonts w:hint="eastAsia"/>
          <w:color w:val="auto"/>
          <w:lang w:val="en-US" w:eastAsia="zh-CN"/>
        </w:rPr>
        <w:t>，</w:t>
      </w:r>
      <w:r>
        <w:rPr>
          <w:rFonts w:hint="default"/>
          <w:color w:val="auto"/>
          <w:lang w:val="en-US" w:eastAsia="zh-CN"/>
        </w:rPr>
        <w:t>检修照明电压为AC36V</w:t>
      </w:r>
      <w:r>
        <w:rPr>
          <w:rFonts w:hint="eastAsia"/>
          <w:color w:val="auto"/>
          <w:lang w:val="en-US" w:eastAsia="zh-CN"/>
        </w:rPr>
        <w:t>，</w:t>
      </w:r>
      <w:r>
        <w:rPr>
          <w:rFonts w:hint="default"/>
          <w:color w:val="auto"/>
          <w:lang w:val="en-US" w:eastAsia="zh-CN"/>
        </w:rPr>
        <w:t>巷道、硐室照明电压为AC220V/127V</w:t>
      </w:r>
      <w:r>
        <w:rPr>
          <w:rFonts w:hint="eastAsia"/>
          <w:color w:val="auto"/>
          <w:lang w:val="en-US" w:eastAsia="zh-CN"/>
        </w:rPr>
        <w:t>，</w:t>
      </w:r>
      <w:r>
        <w:rPr>
          <w:rFonts w:hint="default"/>
          <w:color w:val="auto"/>
          <w:lang w:val="en-US" w:eastAsia="zh-CN"/>
        </w:rPr>
        <w:t>采区移动照明电压为AC36V。</w:t>
      </w:r>
    </w:p>
    <w:p w14:paraId="1CE41B9A">
      <w:pPr>
        <w:rPr>
          <w:rFonts w:hint="default"/>
          <w:color w:val="auto"/>
          <w:lang w:val="en-US" w:eastAsia="zh-CN"/>
        </w:rPr>
      </w:pPr>
      <w:r>
        <w:rPr>
          <w:rFonts w:hint="default"/>
          <w:color w:val="auto"/>
          <w:lang w:val="en-US" w:eastAsia="zh-CN"/>
        </w:rPr>
        <w:t>井下照明采用专线，由专用照明变压器供电。</w:t>
      </w:r>
    </w:p>
    <w:p w14:paraId="41F4B67D">
      <w:pPr>
        <w:rPr>
          <w:rFonts w:hint="default"/>
          <w:color w:val="auto"/>
          <w:lang w:val="en-US" w:eastAsia="zh-CN"/>
        </w:rPr>
      </w:pPr>
      <w:r>
        <w:rPr>
          <w:rFonts w:hint="default"/>
          <w:color w:val="auto"/>
          <w:lang w:val="en-US" w:eastAsia="zh-CN"/>
        </w:rPr>
        <w:t>(</w:t>
      </w:r>
      <w:r>
        <w:rPr>
          <w:rFonts w:hint="eastAsia"/>
          <w:color w:val="auto"/>
          <w:lang w:val="en-US" w:eastAsia="zh-CN"/>
        </w:rPr>
        <w:t>3</w:t>
      </w:r>
      <w:r>
        <w:rPr>
          <w:rFonts w:hint="default"/>
          <w:color w:val="auto"/>
          <w:lang w:val="en-US" w:eastAsia="zh-CN"/>
        </w:rPr>
        <w:t>)灯具选择</w:t>
      </w:r>
    </w:p>
    <w:p w14:paraId="78FBE024">
      <w:pPr>
        <w:rPr>
          <w:rFonts w:hint="default"/>
          <w:color w:val="auto"/>
          <w:lang w:val="en-US" w:eastAsia="zh-CN"/>
        </w:rPr>
      </w:pPr>
      <w:r>
        <w:rPr>
          <w:rFonts w:hint="default"/>
          <w:color w:val="auto"/>
          <w:lang w:val="en-US" w:eastAsia="zh-CN"/>
        </w:rPr>
        <w:t>地面变电所及办公室场所采用节能型荧光灯，地表夜间工作时，所有作业点及危险点设照明灯具。井下照明灯具采用防水、防潮、防尘灯。</w:t>
      </w:r>
    </w:p>
    <w:p w14:paraId="699D4CB9">
      <w:pPr>
        <w:rPr>
          <w:rFonts w:hint="default"/>
          <w:color w:val="auto"/>
          <w:lang w:val="en-US" w:eastAsia="zh-CN"/>
        </w:rPr>
      </w:pPr>
      <w:r>
        <w:rPr>
          <w:rFonts w:hint="default"/>
          <w:color w:val="auto"/>
          <w:lang w:val="en-US" w:eastAsia="zh-CN"/>
        </w:rPr>
        <w:t>(</w:t>
      </w:r>
      <w:r>
        <w:rPr>
          <w:rFonts w:hint="eastAsia"/>
          <w:color w:val="auto"/>
          <w:lang w:val="en-US" w:eastAsia="zh-CN"/>
        </w:rPr>
        <w:t>4</w:t>
      </w:r>
      <w:r>
        <w:rPr>
          <w:rFonts w:hint="default"/>
          <w:color w:val="auto"/>
          <w:lang w:val="en-US" w:eastAsia="zh-CN"/>
        </w:rPr>
        <w:t>)应急照明</w:t>
      </w:r>
    </w:p>
    <w:p w14:paraId="5244C54E">
      <w:pPr>
        <w:rPr>
          <w:rFonts w:hint="default"/>
          <w:color w:val="auto"/>
          <w:lang w:val="en-US" w:eastAsia="zh-CN"/>
        </w:rPr>
      </w:pPr>
      <w:r>
        <w:rPr>
          <w:rFonts w:hint="default"/>
          <w:color w:val="auto"/>
          <w:lang w:val="en-US" w:eastAsia="zh-CN"/>
        </w:rPr>
        <w:t>地面变电所事故照明采用带有蓄电池的灯具，应急时间不小于30min。井下事故照明采用带有蓄电池的灯具，应急时间不小于120min。</w:t>
      </w:r>
    </w:p>
    <w:p w14:paraId="3C2D5E3E">
      <w:pPr>
        <w:pStyle w:val="5"/>
        <w:bidi w:val="0"/>
        <w:rPr>
          <w:rFonts w:hint="default"/>
          <w:color w:val="auto"/>
          <w:lang w:val="en-US" w:eastAsia="zh-CN"/>
        </w:rPr>
      </w:pPr>
      <w:r>
        <w:rPr>
          <w:rFonts w:hint="eastAsia"/>
          <w:color w:val="auto"/>
          <w:lang w:val="en-US" w:eastAsia="zh-CN"/>
        </w:rPr>
        <w:t>2.4.8.6</w:t>
      </w:r>
      <w:r>
        <w:rPr>
          <w:rFonts w:hint="default"/>
          <w:color w:val="auto"/>
          <w:lang w:val="en-US" w:eastAsia="zh-CN"/>
        </w:rPr>
        <w:t>防雷与接地</w:t>
      </w:r>
    </w:p>
    <w:p w14:paraId="6D7F6A6F">
      <w:pPr>
        <w:rPr>
          <w:rFonts w:hint="default"/>
          <w:color w:val="auto"/>
          <w:lang w:val="en-US" w:eastAsia="zh-CN"/>
        </w:rPr>
      </w:pPr>
      <w:r>
        <w:rPr>
          <w:rFonts w:hint="default"/>
          <w:color w:val="auto"/>
          <w:lang w:val="en-US" w:eastAsia="zh-CN"/>
        </w:rPr>
        <w:t>(</w:t>
      </w:r>
      <w:r>
        <w:rPr>
          <w:rFonts w:hint="eastAsia"/>
          <w:color w:val="auto"/>
          <w:lang w:val="en-US" w:eastAsia="zh-CN"/>
        </w:rPr>
        <w:t>1</w:t>
      </w:r>
      <w:r>
        <w:rPr>
          <w:rFonts w:hint="default"/>
          <w:color w:val="auto"/>
          <w:lang w:val="en-US" w:eastAsia="zh-CN"/>
        </w:rPr>
        <w:t>)在10kV架空线转电缆处、10kV母线上装设氧化锌避雷器、0.4kV侧装设浪涌保护器。</w:t>
      </w:r>
    </w:p>
    <w:p w14:paraId="08897654">
      <w:pPr>
        <w:rPr>
          <w:rFonts w:hint="default"/>
          <w:color w:val="auto"/>
          <w:lang w:val="en-US" w:eastAsia="zh-CN"/>
        </w:rPr>
      </w:pPr>
      <w:r>
        <w:rPr>
          <w:rFonts w:hint="default"/>
          <w:color w:val="auto"/>
          <w:lang w:val="en-US" w:eastAsia="zh-CN"/>
        </w:rPr>
        <w:t>(</w:t>
      </w:r>
      <w:r>
        <w:rPr>
          <w:rFonts w:hint="eastAsia"/>
          <w:color w:val="auto"/>
          <w:lang w:val="en-US" w:eastAsia="zh-CN"/>
        </w:rPr>
        <w:t>2</w:t>
      </w:r>
      <w:r>
        <w:rPr>
          <w:rFonts w:hint="default"/>
          <w:color w:val="auto"/>
          <w:lang w:val="en-US" w:eastAsia="zh-CN"/>
        </w:rPr>
        <w:t>)矿山其他地面建、构筑物按三类防雷设施设防。</w:t>
      </w:r>
    </w:p>
    <w:p w14:paraId="07C0C2B9">
      <w:pPr>
        <w:rPr>
          <w:rFonts w:hint="default"/>
          <w:color w:val="auto"/>
          <w:lang w:val="en-US" w:eastAsia="zh-CN"/>
        </w:rPr>
      </w:pPr>
      <w:r>
        <w:rPr>
          <w:rFonts w:hint="default"/>
          <w:color w:val="auto"/>
          <w:lang w:val="en-US" w:eastAsia="zh-CN"/>
        </w:rPr>
        <w:t>(</w:t>
      </w:r>
      <w:r>
        <w:rPr>
          <w:rFonts w:hint="eastAsia"/>
          <w:color w:val="auto"/>
          <w:lang w:val="en-US" w:eastAsia="zh-CN"/>
        </w:rPr>
        <w:t>3</w:t>
      </w:r>
      <w:r>
        <w:rPr>
          <w:rFonts w:hint="default"/>
          <w:color w:val="auto"/>
          <w:lang w:val="en-US" w:eastAsia="zh-CN"/>
        </w:rPr>
        <w:t>)地面低压配电网络采用TN-S接地系统(中性点直接接地)</w:t>
      </w:r>
      <w:r>
        <w:rPr>
          <w:rFonts w:hint="eastAsia"/>
          <w:color w:val="auto"/>
          <w:lang w:val="en-US" w:eastAsia="zh-CN"/>
        </w:rPr>
        <w:t>，</w:t>
      </w:r>
      <w:r>
        <w:rPr>
          <w:rFonts w:hint="default"/>
          <w:color w:val="auto"/>
          <w:lang w:val="en-US" w:eastAsia="zh-CN"/>
        </w:rPr>
        <w:t>井下低压配电网络采用IT系统(中性点不接地)</w:t>
      </w:r>
      <w:r>
        <w:rPr>
          <w:rFonts w:hint="eastAsia"/>
          <w:color w:val="auto"/>
          <w:lang w:val="en-US" w:eastAsia="zh-CN"/>
        </w:rPr>
        <w:t>，</w:t>
      </w:r>
      <w:r>
        <w:rPr>
          <w:rFonts w:hint="default"/>
          <w:color w:val="auto"/>
          <w:lang w:val="en-US" w:eastAsia="zh-CN"/>
        </w:rPr>
        <w:t>电气设备采用接地保护。</w:t>
      </w:r>
    </w:p>
    <w:p w14:paraId="5363E013">
      <w:pPr>
        <w:rPr>
          <w:rFonts w:hint="default"/>
          <w:color w:val="auto"/>
          <w:lang w:val="en-US" w:eastAsia="zh-CN"/>
        </w:rPr>
      </w:pPr>
      <w:r>
        <w:rPr>
          <w:rFonts w:hint="default"/>
          <w:color w:val="auto"/>
          <w:lang w:val="en-US" w:eastAsia="zh-CN"/>
        </w:rPr>
        <w:t>(4)地面电气设备的工作接地和保护接地与建筑物的防雷接地采用联合接地系统。井下</w:t>
      </w:r>
      <w:r>
        <w:rPr>
          <w:rFonts w:hint="eastAsia"/>
          <w:color w:val="auto"/>
          <w:lang w:val="en-US" w:eastAsia="zh-CN"/>
        </w:rPr>
        <w:t>拟</w:t>
      </w:r>
      <w:r>
        <w:rPr>
          <w:rFonts w:hint="default"/>
          <w:color w:val="auto"/>
          <w:lang w:val="en-US" w:eastAsia="zh-CN"/>
        </w:rPr>
        <w:t>设一套独立的接地系统，安装2套主接地极。</w:t>
      </w:r>
    </w:p>
    <w:p w14:paraId="16FE8516">
      <w:pPr>
        <w:pStyle w:val="5"/>
        <w:bidi w:val="0"/>
        <w:rPr>
          <w:rFonts w:hint="eastAsia"/>
          <w:color w:val="auto"/>
          <w:lang w:val="en-US" w:eastAsia="zh-CN"/>
        </w:rPr>
      </w:pPr>
      <w:r>
        <w:rPr>
          <w:rFonts w:hint="eastAsia"/>
          <w:color w:val="auto"/>
          <w:lang w:val="en-US" w:eastAsia="zh-CN"/>
        </w:rPr>
        <w:t>2.4.8.7</w:t>
      </w:r>
      <w:r>
        <w:rPr>
          <w:rFonts w:hint="default"/>
          <w:color w:val="auto"/>
          <w:lang w:val="en-US" w:eastAsia="zh-CN"/>
        </w:rPr>
        <w:t>电缆选型及敷设</w:t>
      </w:r>
    </w:p>
    <w:p w14:paraId="4F656097">
      <w:pPr>
        <w:rPr>
          <w:rFonts w:hint="default"/>
          <w:color w:val="auto"/>
          <w:lang w:val="en-US" w:eastAsia="zh-CN"/>
        </w:rPr>
      </w:pPr>
      <w:r>
        <w:rPr>
          <w:rFonts w:hint="default"/>
          <w:color w:val="auto"/>
          <w:lang w:val="en-US" w:eastAsia="zh-CN"/>
        </w:rPr>
        <w:t>(1)地面新增10kV动力电缆选用YJV22-8.7/15kV-型，低压动力电缆选用YJV-0.6/1kV-型。</w:t>
      </w:r>
    </w:p>
    <w:p w14:paraId="5CE490AF">
      <w:pPr>
        <w:rPr>
          <w:rFonts w:hint="default"/>
          <w:color w:val="auto"/>
          <w:lang w:val="en-US" w:eastAsia="zh-CN"/>
        </w:rPr>
      </w:pPr>
      <w:r>
        <w:rPr>
          <w:rFonts w:hint="default"/>
          <w:color w:val="auto"/>
          <w:lang w:val="en-US" w:eastAsia="zh-CN"/>
        </w:rPr>
        <w:t>(</w:t>
      </w:r>
      <w:r>
        <w:rPr>
          <w:rFonts w:hint="eastAsia"/>
          <w:color w:val="auto"/>
          <w:lang w:val="en-US" w:eastAsia="zh-CN"/>
        </w:rPr>
        <w:t>2</w:t>
      </w:r>
      <w:r>
        <w:rPr>
          <w:rFonts w:hint="default"/>
          <w:color w:val="auto"/>
          <w:lang w:val="en-US" w:eastAsia="zh-CN"/>
        </w:rPr>
        <w:t>)井下采用低烟、低卤或无卤的阻燃电缆。井下变电硐室内电缆采用电缆沟敷设，平巷内电缆沿巷道壁吊挂敷设。</w:t>
      </w:r>
    </w:p>
    <w:p w14:paraId="54E07FB4">
      <w:pPr>
        <w:pStyle w:val="5"/>
        <w:bidi w:val="0"/>
        <w:rPr>
          <w:rFonts w:hint="default"/>
          <w:color w:val="auto"/>
          <w:lang w:val="en-US" w:eastAsia="zh-CN"/>
        </w:rPr>
      </w:pPr>
      <w:r>
        <w:rPr>
          <w:rFonts w:hint="eastAsia"/>
          <w:color w:val="auto"/>
          <w:lang w:val="en-US" w:eastAsia="zh-CN"/>
        </w:rPr>
        <w:t>2.4.8.8配电自动化</w:t>
      </w:r>
    </w:p>
    <w:p w14:paraId="7FD62B5D">
      <w:pPr>
        <w:rPr>
          <w:rFonts w:hint="default"/>
          <w:color w:val="auto"/>
          <w:lang w:val="en-US" w:eastAsia="zh-CN"/>
        </w:rPr>
      </w:pPr>
      <w:r>
        <w:rPr>
          <w:rFonts w:hint="default"/>
          <w:color w:val="auto"/>
          <w:lang w:val="en-US" w:eastAsia="zh-CN"/>
        </w:rPr>
        <w:t>1.建设内容</w:t>
      </w:r>
    </w:p>
    <w:p w14:paraId="6F271CE5">
      <w:pPr>
        <w:rPr>
          <w:rFonts w:hint="default"/>
          <w:color w:val="auto"/>
          <w:lang w:val="en-US" w:eastAsia="zh-CN"/>
        </w:rPr>
      </w:pPr>
      <w:r>
        <w:rPr>
          <w:rFonts w:hint="default"/>
          <w:color w:val="auto"/>
          <w:lang w:val="en-US" w:eastAsia="zh-CN"/>
        </w:rPr>
        <w:t>本次在矿山坑口 10kV 高压供配电系统设置自动化，将高压供配电系统与以太网交换机连接，把高压供配电系统相关信息传输到生产调度指挥中心。</w:t>
      </w:r>
    </w:p>
    <w:p w14:paraId="26E84E59">
      <w:pPr>
        <w:rPr>
          <w:rFonts w:hint="default"/>
          <w:color w:val="auto"/>
          <w:lang w:val="en-US" w:eastAsia="zh-CN"/>
        </w:rPr>
      </w:pPr>
      <w:r>
        <w:rPr>
          <w:rFonts w:hint="default"/>
          <w:color w:val="auto"/>
          <w:lang w:val="en-US" w:eastAsia="zh-CN"/>
        </w:rPr>
        <w:t>矿山变、配电所采用物理结构和功能均为分层分布式的变配电自动化系统，其结构一般采用两层(即主站层-终端层)或三层(即主站层-子站层-终端层)，满足变电站保护、测量、监控及调度自动化的功能的要求，从而实现变、配电所的无人值守。</w:t>
      </w:r>
    </w:p>
    <w:p w14:paraId="2ADE1C5A">
      <w:pPr>
        <w:rPr>
          <w:rFonts w:hint="default"/>
          <w:color w:val="auto"/>
          <w:lang w:val="en-US" w:eastAsia="zh-CN"/>
        </w:rPr>
      </w:pPr>
      <w:r>
        <w:rPr>
          <w:rFonts w:hint="default"/>
          <w:color w:val="auto"/>
          <w:lang w:val="en-US" w:eastAsia="zh-CN"/>
        </w:rPr>
        <w:t>变配电自动化系统采用单机单网设备，监控中心布置在矿山调度室，</w:t>
      </w:r>
      <w:r>
        <w:rPr>
          <w:rFonts w:hint="eastAsia"/>
          <w:color w:val="auto"/>
          <w:lang w:val="en-US" w:eastAsia="zh-CN"/>
        </w:rPr>
        <w:t>调度室布置在矿山值班室内。</w:t>
      </w:r>
      <w:r>
        <w:rPr>
          <w:rFonts w:hint="default"/>
          <w:color w:val="auto"/>
          <w:lang w:val="en-US" w:eastAsia="zh-CN"/>
        </w:rPr>
        <w:t>在监控中心设置远程计算机监控系统。考虑到监控中心与各变电站之间的距离比较远，在变、配电所和监控中心之间敷设专用光纤通讯通道。</w:t>
      </w:r>
    </w:p>
    <w:p w14:paraId="2B2F1B0A">
      <w:pPr>
        <w:rPr>
          <w:rFonts w:hint="default"/>
          <w:color w:val="auto"/>
          <w:lang w:val="en-US" w:eastAsia="zh-CN"/>
        </w:rPr>
      </w:pPr>
      <w:r>
        <w:rPr>
          <w:rFonts w:hint="default"/>
          <w:color w:val="auto"/>
          <w:lang w:val="en-US" w:eastAsia="zh-CN"/>
        </w:rPr>
        <w:t>各电压等级终端层的保护、测控设备必须严格按电气单元配置。保护、测控装置安装于主控室或分散安装于开关柜上，主站层的通信计算机以及网络设备等安放于调度室，均为无特殊屏蔽的房间。提供的监控系统应具有良好的电磁兼容特性,并应充分考虑到高压配电装置运行时，对监控系统的影响，系统在任何情况下均不应发生拒动、误动、扰动。主站层系统设备采用直流供电方式或直流逆变供电方式。</w:t>
      </w:r>
    </w:p>
    <w:p w14:paraId="04EAB7F9">
      <w:pPr>
        <w:rPr>
          <w:rFonts w:hint="default"/>
          <w:color w:val="auto"/>
          <w:lang w:val="en-US" w:eastAsia="zh-CN"/>
        </w:rPr>
      </w:pPr>
      <w:r>
        <w:rPr>
          <w:rFonts w:hint="default"/>
          <w:color w:val="auto"/>
          <w:lang w:val="en-US" w:eastAsia="zh-CN"/>
        </w:rPr>
        <w:t>2.系统功能</w:t>
      </w:r>
    </w:p>
    <w:p w14:paraId="3FF910FE">
      <w:pPr>
        <w:rPr>
          <w:rFonts w:hint="default"/>
          <w:color w:val="auto"/>
          <w:lang w:val="en-US" w:eastAsia="zh-CN"/>
        </w:rPr>
      </w:pPr>
      <w:r>
        <w:rPr>
          <w:rFonts w:hint="default"/>
          <w:color w:val="auto"/>
          <w:lang w:val="en-US" w:eastAsia="zh-CN"/>
        </w:rPr>
        <w:t>(1)数据采集与显示功能</w:t>
      </w:r>
    </w:p>
    <w:p w14:paraId="1053E73F">
      <w:pPr>
        <w:rPr>
          <w:rFonts w:hint="default"/>
          <w:color w:val="auto"/>
          <w:lang w:val="en-US" w:eastAsia="zh-CN"/>
        </w:rPr>
      </w:pPr>
      <w:r>
        <w:rPr>
          <w:rFonts w:hint="default"/>
          <w:color w:val="auto"/>
          <w:lang w:val="en-US" w:eastAsia="zh-CN"/>
        </w:rPr>
        <w:t>变、配电所电气一次系统主接线图及各采集点电流、电压、功率、频率、断路器状态、刀闸状态等。</w:t>
      </w:r>
    </w:p>
    <w:p w14:paraId="17716099">
      <w:pPr>
        <w:rPr>
          <w:rFonts w:hint="default"/>
          <w:color w:val="auto"/>
          <w:lang w:val="en-US" w:eastAsia="zh-CN"/>
        </w:rPr>
      </w:pPr>
      <w:r>
        <w:rPr>
          <w:rFonts w:hint="default"/>
          <w:color w:val="auto"/>
          <w:lang w:val="en-US" w:eastAsia="zh-CN"/>
        </w:rPr>
        <w:t>可显示事故前或事故后相关电压、电流、有功、无功等量。</w:t>
      </w:r>
    </w:p>
    <w:p w14:paraId="437BF5FF">
      <w:pPr>
        <w:rPr>
          <w:rFonts w:hint="default"/>
          <w:color w:val="auto"/>
          <w:lang w:val="en-US" w:eastAsia="zh-CN"/>
        </w:rPr>
      </w:pPr>
      <w:r>
        <w:rPr>
          <w:rFonts w:hint="default"/>
          <w:color w:val="auto"/>
          <w:lang w:val="en-US" w:eastAsia="zh-CN"/>
        </w:rPr>
        <w:t>(2)监控功能</w:t>
      </w:r>
    </w:p>
    <w:p w14:paraId="1965AE10">
      <w:pPr>
        <w:rPr>
          <w:rFonts w:hint="default"/>
          <w:color w:val="auto"/>
          <w:lang w:val="en-US" w:eastAsia="zh-CN"/>
        </w:rPr>
      </w:pPr>
      <w:r>
        <w:rPr>
          <w:rFonts w:hint="default"/>
          <w:color w:val="auto"/>
          <w:lang w:val="en-US" w:eastAsia="zh-CN"/>
        </w:rPr>
        <w:t>发生模拟量越限、信号量变位、SOE 事件时系统根据设定作出反应，包括弹出报警窗、跳回主画面、画面响应元素变色或闪烁、发出音响等。</w:t>
      </w:r>
    </w:p>
    <w:p w14:paraId="2157E84E">
      <w:pPr>
        <w:rPr>
          <w:rFonts w:hint="default"/>
          <w:color w:val="auto"/>
          <w:lang w:val="en-US" w:eastAsia="zh-CN"/>
        </w:rPr>
      </w:pPr>
      <w:r>
        <w:rPr>
          <w:rFonts w:hint="default"/>
          <w:color w:val="auto"/>
          <w:lang w:val="en-US" w:eastAsia="zh-CN"/>
        </w:rPr>
        <w:t>通过画面对现场可控的开关、刀闸进行分合控制。</w:t>
      </w:r>
    </w:p>
    <w:p w14:paraId="591CBD4C">
      <w:pPr>
        <w:rPr>
          <w:rFonts w:hint="default"/>
          <w:color w:val="auto"/>
          <w:lang w:val="en-US" w:eastAsia="zh-CN"/>
        </w:rPr>
      </w:pPr>
      <w:r>
        <w:rPr>
          <w:rFonts w:hint="default"/>
          <w:color w:val="auto"/>
          <w:lang w:val="en-US" w:eastAsia="zh-CN"/>
        </w:rPr>
        <w:t>根据保护动作情况，在数据库中保存事故和故障发生的时刻、性质和名称，在显示屏上显示故障报警，发出事故音响信号，并可以弹出故障点画面。</w:t>
      </w:r>
    </w:p>
    <w:p w14:paraId="00B11863">
      <w:pPr>
        <w:rPr>
          <w:rFonts w:hint="default"/>
          <w:color w:val="auto"/>
          <w:lang w:val="en-US" w:eastAsia="zh-CN"/>
        </w:rPr>
      </w:pPr>
      <w:r>
        <w:rPr>
          <w:rFonts w:hint="default"/>
          <w:color w:val="auto"/>
          <w:lang w:val="en-US" w:eastAsia="zh-CN"/>
        </w:rPr>
        <w:t>(3)系统维护功能</w:t>
      </w:r>
    </w:p>
    <w:p w14:paraId="500DD049">
      <w:pPr>
        <w:rPr>
          <w:rFonts w:hint="default"/>
          <w:color w:val="auto"/>
          <w:lang w:val="en-US" w:eastAsia="zh-CN"/>
        </w:rPr>
      </w:pPr>
      <w:r>
        <w:rPr>
          <w:rFonts w:hint="default"/>
          <w:color w:val="auto"/>
          <w:lang w:val="en-US" w:eastAsia="zh-CN"/>
        </w:rPr>
        <w:t>可查看当前和历史保护动作时间及其参数。</w:t>
      </w:r>
    </w:p>
    <w:p w14:paraId="4EE7CF3F">
      <w:pPr>
        <w:rPr>
          <w:rFonts w:hint="default"/>
          <w:color w:val="auto"/>
          <w:lang w:val="en-US" w:eastAsia="zh-CN"/>
        </w:rPr>
      </w:pPr>
      <w:r>
        <w:rPr>
          <w:rFonts w:hint="default"/>
          <w:color w:val="auto"/>
          <w:lang w:val="en-US" w:eastAsia="zh-CN"/>
        </w:rPr>
        <w:t>可查看设备保护定值，并设定修改定值。</w:t>
      </w:r>
    </w:p>
    <w:p w14:paraId="62ED58C8">
      <w:pPr>
        <w:rPr>
          <w:rFonts w:hint="default"/>
          <w:color w:val="auto"/>
          <w:lang w:val="en-US" w:eastAsia="zh-CN"/>
        </w:rPr>
      </w:pPr>
      <w:r>
        <w:rPr>
          <w:rFonts w:hint="default"/>
          <w:color w:val="auto"/>
          <w:lang w:val="en-US" w:eastAsia="zh-CN"/>
        </w:rPr>
        <w:t>(4)数据库功能</w:t>
      </w:r>
    </w:p>
    <w:p w14:paraId="7CED3328">
      <w:pPr>
        <w:rPr>
          <w:rFonts w:hint="default"/>
          <w:color w:val="auto"/>
          <w:lang w:val="en-US" w:eastAsia="zh-CN"/>
        </w:rPr>
      </w:pPr>
      <w:r>
        <w:rPr>
          <w:rFonts w:hint="default"/>
          <w:color w:val="auto"/>
          <w:lang w:val="en-US" w:eastAsia="zh-CN"/>
        </w:rPr>
        <w:t>在实时数据库中保存了遥测量、电能量、计算量等数据，并支持多用户操作方式。</w:t>
      </w:r>
    </w:p>
    <w:p w14:paraId="4066FB1C">
      <w:pPr>
        <w:rPr>
          <w:rFonts w:hint="default"/>
          <w:color w:val="auto"/>
          <w:lang w:val="en-US" w:eastAsia="zh-CN"/>
        </w:rPr>
      </w:pPr>
      <w:r>
        <w:rPr>
          <w:rFonts w:hint="default"/>
          <w:color w:val="auto"/>
          <w:lang w:val="en-US" w:eastAsia="zh-CN"/>
        </w:rPr>
        <w:t>(5)能耗管理功能</w:t>
      </w:r>
    </w:p>
    <w:p w14:paraId="1A2F65A7">
      <w:pPr>
        <w:rPr>
          <w:rFonts w:hint="default"/>
          <w:color w:val="auto"/>
          <w:lang w:val="en-US" w:eastAsia="zh-CN"/>
        </w:rPr>
      </w:pPr>
      <w:r>
        <w:rPr>
          <w:rFonts w:hint="default"/>
          <w:color w:val="auto"/>
          <w:lang w:val="en-US" w:eastAsia="zh-CN"/>
        </w:rPr>
        <w:t>监控中心主机能够实现工程师操作站所有数据监测功能(不配置控制功能)，除上述监测功能外，还可以实现全矿用电量的实时监测与统计，对配电系统的整体电能进行管理，分时分段尖峰平谷电量、电费统计分析，日、周、月、季、年电能消耗的分析，指导企业错峰填谷，实现配网经济、可靠、稳定运行的目标。</w:t>
      </w:r>
    </w:p>
    <w:p w14:paraId="0A526A3A">
      <w:pPr>
        <w:pStyle w:val="4"/>
        <w:rPr>
          <w:color w:val="auto"/>
        </w:rPr>
      </w:pPr>
      <w:r>
        <w:rPr>
          <w:rFonts w:hint="eastAsia"/>
          <w:color w:val="auto"/>
        </w:rPr>
        <w:t>2.4.</w:t>
      </w:r>
      <w:r>
        <w:rPr>
          <w:rFonts w:hint="eastAsia"/>
          <w:color w:val="auto"/>
          <w:lang w:val="en-US" w:eastAsia="zh-CN"/>
        </w:rPr>
        <w:t>9</w:t>
      </w:r>
      <w:r>
        <w:rPr>
          <w:rFonts w:hint="eastAsia"/>
          <w:color w:val="auto"/>
        </w:rPr>
        <w:t>防排水与防灭火</w:t>
      </w:r>
      <w:r>
        <w:rPr>
          <w:rFonts w:hint="eastAsia"/>
          <w:color w:val="auto"/>
          <w:lang w:val="en-US" w:eastAsia="zh-CN"/>
        </w:rPr>
        <w:t>系统</w:t>
      </w:r>
    </w:p>
    <w:p w14:paraId="28E09742">
      <w:pPr>
        <w:pStyle w:val="5"/>
        <w:keepNext/>
        <w:keepLines/>
        <w:pageBreakBefore w:val="0"/>
        <w:widowControl w:val="0"/>
        <w:kinsoku/>
        <w:wordWrap/>
        <w:overflowPunct/>
        <w:topLinePunct w:val="0"/>
        <w:autoSpaceDE/>
        <w:autoSpaceDN/>
        <w:bidi w:val="0"/>
        <w:adjustRightInd/>
        <w:snapToGrid/>
        <w:ind w:firstLine="560" w:firstLineChars="200"/>
        <w:textAlignment w:val="auto"/>
        <w:rPr>
          <w:rFonts w:hint="eastAsia"/>
          <w:color w:val="auto"/>
          <w:lang w:val="en-US" w:eastAsia="zh-CN"/>
        </w:rPr>
      </w:pPr>
      <w:r>
        <w:rPr>
          <w:rFonts w:hint="eastAsia"/>
          <w:color w:val="auto"/>
          <w:lang w:val="en-US" w:eastAsia="zh-CN"/>
        </w:rPr>
        <w:t>2.4.9.1防排水</w:t>
      </w:r>
    </w:p>
    <w:p w14:paraId="63542E0D">
      <w:pPr>
        <w:rPr>
          <w:rFonts w:hint="default"/>
          <w:color w:val="auto"/>
          <w:lang w:val="en-US" w:eastAsia="zh-CN"/>
        </w:rPr>
      </w:pPr>
      <w:r>
        <w:rPr>
          <w:rFonts w:hint="default"/>
          <w:color w:val="auto"/>
          <w:lang w:val="en-US" w:eastAsia="zh-CN"/>
        </w:rPr>
        <w:t>(1)</w:t>
      </w:r>
      <w:r>
        <w:rPr>
          <w:rFonts w:hint="eastAsia"/>
          <w:color w:val="auto"/>
          <w:lang w:val="en-US" w:eastAsia="zh-CN"/>
        </w:rPr>
        <w:t>地面排水</w:t>
      </w:r>
    </w:p>
    <w:p w14:paraId="4F4C5768">
      <w:pPr>
        <w:rPr>
          <w:rFonts w:hint="eastAsia"/>
          <w:color w:val="auto"/>
          <w:lang w:val="en-US" w:eastAsia="zh-CN"/>
        </w:rPr>
      </w:pPr>
      <w:r>
        <w:rPr>
          <w:rFonts w:hint="eastAsia"/>
          <w:color w:val="auto"/>
          <w:lang w:val="en-US" w:eastAsia="zh-CN"/>
        </w:rPr>
        <w:t>在采矿工业场地南侧边坡的坡顶外不小于5m处设置截水沟，以防止山坡雨水进入建设场地内，截水沟断面尺寸为0.6m</w:t>
      </w:r>
      <w:r>
        <w:rPr>
          <w:rFonts w:hint="eastAsia" w:ascii="微软雅黑" w:hAnsi="微软雅黑" w:eastAsia="微软雅黑" w:cs="微软雅黑"/>
          <w:color w:val="auto"/>
          <w:lang w:val="en-US" w:eastAsia="zh-CN"/>
        </w:rPr>
        <w:t>×</w:t>
      </w:r>
      <w:r>
        <w:rPr>
          <w:rFonts w:hint="eastAsia"/>
          <w:color w:val="auto"/>
          <w:lang w:val="en-US" w:eastAsia="zh-CN"/>
        </w:rPr>
        <w:t>0.6m，采用水泥混凝土修筑，修建长度270m。在场地周边设置排水沟，场地内地表排雨水采用排水明沟，排水沟断面尺寸为0.4m</w:t>
      </w:r>
      <w:r>
        <w:rPr>
          <w:rFonts w:hint="default" w:ascii="Arial" w:hAnsi="Arial" w:cs="Arial"/>
          <w:color w:val="auto"/>
          <w:lang w:val="en-US" w:eastAsia="zh-CN"/>
        </w:rPr>
        <w:t>×</w:t>
      </w:r>
      <w:r>
        <w:rPr>
          <w:rFonts w:hint="eastAsia"/>
          <w:color w:val="auto"/>
          <w:lang w:val="en-US" w:eastAsia="zh-CN"/>
        </w:rPr>
        <w:t>0.4m，采用水泥混凝土修筑，修建长度600m。新建排水系统将场地雨水就近排至附近无人沟道。</w:t>
      </w:r>
    </w:p>
    <w:p w14:paraId="65BCDB57">
      <w:pPr>
        <w:rPr>
          <w:rFonts w:hint="eastAsia"/>
          <w:color w:val="auto"/>
          <w:lang w:val="en-US" w:eastAsia="zh-CN"/>
        </w:rPr>
      </w:pPr>
      <w:r>
        <w:rPr>
          <w:rFonts w:hint="default"/>
          <w:color w:val="auto"/>
          <w:lang w:val="en-US" w:eastAsia="zh-CN"/>
        </w:rPr>
        <w:t>(</w:t>
      </w:r>
      <w:r>
        <w:rPr>
          <w:rFonts w:hint="eastAsia"/>
          <w:color w:val="auto"/>
          <w:lang w:val="en-US" w:eastAsia="zh-CN"/>
        </w:rPr>
        <w:t>2</w:t>
      </w:r>
      <w:r>
        <w:rPr>
          <w:rFonts w:hint="default"/>
          <w:color w:val="auto"/>
          <w:lang w:val="en-US" w:eastAsia="zh-CN"/>
        </w:rPr>
        <w:t>)</w:t>
      </w:r>
      <w:r>
        <w:rPr>
          <w:rFonts w:hint="eastAsia"/>
          <w:color w:val="auto"/>
          <w:lang w:val="en-US" w:eastAsia="zh-CN"/>
        </w:rPr>
        <w:t>井下排水</w:t>
      </w:r>
    </w:p>
    <w:p w14:paraId="77590B42">
      <w:pPr>
        <w:rPr>
          <w:rFonts w:hint="eastAsia"/>
          <w:color w:val="auto"/>
          <w:lang w:val="en-US" w:eastAsia="zh-CN"/>
        </w:rPr>
      </w:pPr>
      <w:r>
        <w:rPr>
          <w:rFonts w:hint="eastAsia"/>
          <w:color w:val="auto"/>
          <w:lang w:val="en-US" w:eastAsia="zh-CN"/>
        </w:rPr>
        <w:t>根据开拓系统布置，坑内最低中段1230m直通地表，各中段坑内涌水和生产废水，汇集至主平硐1230m中段集水池回用，多余水由主平硐水沟排出地表，至坑口设置的沉淀池，进行沉淀后外排。</w:t>
      </w:r>
    </w:p>
    <w:p w14:paraId="2E54D991">
      <w:pPr>
        <w:pStyle w:val="5"/>
        <w:keepNext/>
        <w:keepLines/>
        <w:pageBreakBefore w:val="0"/>
        <w:widowControl w:val="0"/>
        <w:kinsoku/>
        <w:wordWrap/>
        <w:overflowPunct/>
        <w:topLinePunct w:val="0"/>
        <w:autoSpaceDE/>
        <w:autoSpaceDN/>
        <w:bidi w:val="0"/>
        <w:adjustRightInd/>
        <w:snapToGrid/>
        <w:ind w:firstLine="560" w:firstLineChars="200"/>
        <w:textAlignment w:val="auto"/>
        <w:rPr>
          <w:rFonts w:hint="eastAsia"/>
          <w:color w:val="auto"/>
          <w:lang w:val="en-US" w:eastAsia="zh-CN"/>
        </w:rPr>
      </w:pPr>
      <w:r>
        <w:rPr>
          <w:rFonts w:hint="eastAsia"/>
          <w:color w:val="auto"/>
          <w:lang w:val="en-US" w:eastAsia="zh-CN"/>
        </w:rPr>
        <w:t>2.4.9.2防灭火</w:t>
      </w:r>
    </w:p>
    <w:p w14:paraId="6D593075">
      <w:pPr>
        <w:rPr>
          <w:rFonts w:hint="eastAsia"/>
          <w:color w:val="auto"/>
          <w:lang w:val="en-US" w:eastAsia="zh-CN"/>
        </w:rPr>
      </w:pPr>
      <w:r>
        <w:rPr>
          <w:rFonts w:hint="eastAsia"/>
          <w:color w:val="auto"/>
          <w:lang w:val="en-US" w:eastAsia="zh-CN"/>
        </w:rPr>
        <w:t>井下用水点标高范围1230-1305m,总用水量按167m</w:t>
      </w:r>
      <w:r>
        <w:rPr>
          <w:rFonts w:hint="eastAsia"/>
          <w:color w:val="auto"/>
          <w:vertAlign w:val="superscript"/>
          <w:lang w:val="en-US" w:eastAsia="zh-CN"/>
        </w:rPr>
        <w:t>3</w:t>
      </w:r>
      <w:r>
        <w:rPr>
          <w:rFonts w:hint="eastAsia"/>
          <w:color w:val="auto"/>
          <w:lang w:val="en-US" w:eastAsia="zh-CN"/>
        </w:rPr>
        <w:t>/d。水质要求：水中的固体悬浮物应不大于150mg，PH值应为6.5-8.5之间。供水压力：0.4-0.6MPa。供水管：采用108</w:t>
      </w:r>
      <w:r>
        <w:rPr>
          <w:rFonts w:hint="eastAsia" w:ascii="微软雅黑" w:hAnsi="微软雅黑" w:eastAsia="微软雅黑" w:cs="微软雅黑"/>
          <w:color w:val="auto"/>
          <w:lang w:val="en-US" w:eastAsia="zh-CN"/>
        </w:rPr>
        <w:t>×</w:t>
      </w:r>
      <w:r>
        <w:rPr>
          <w:rFonts w:hint="eastAsia"/>
          <w:color w:val="auto"/>
          <w:lang w:val="en-US" w:eastAsia="zh-CN"/>
        </w:rPr>
        <w:t>5无缝钢管或同等强度的阻燃管。</w:t>
      </w:r>
    </w:p>
    <w:p w14:paraId="7635EB5F">
      <w:pPr>
        <w:rPr>
          <w:rFonts w:hint="eastAsia" w:eastAsia="宋体"/>
          <w:color w:val="auto"/>
          <w:lang w:val="en-US" w:eastAsia="zh-CN"/>
        </w:rPr>
      </w:pPr>
      <w:r>
        <w:rPr>
          <w:rFonts w:hint="eastAsia"/>
          <w:color w:val="auto"/>
          <w:lang w:val="en-US" w:eastAsia="zh-CN"/>
        </w:rPr>
        <w:t>矿山在</w:t>
      </w:r>
      <w:r>
        <w:rPr>
          <w:rFonts w:hint="eastAsia"/>
          <w:color w:val="auto"/>
        </w:rPr>
        <w:t>工业场地南侧山坡</w:t>
      </w:r>
      <w:r>
        <w:rPr>
          <w:rFonts w:hint="eastAsia"/>
          <w:color w:val="auto"/>
          <w:lang w:val="en-US" w:eastAsia="zh-CN"/>
        </w:rPr>
        <w:t>拟建高位水池。供水水源主要为矿区附近的小峪河河水，通过</w:t>
      </w:r>
      <w:r>
        <w:rPr>
          <w:color w:val="auto"/>
          <w:szCs w:val="28"/>
        </w:rPr>
        <w:t>加压泵加压送至</w:t>
      </w:r>
      <w:r>
        <w:rPr>
          <w:rFonts w:hint="eastAsia"/>
          <w:color w:val="auto"/>
          <w:lang w:val="en-US" w:eastAsia="zh-CN"/>
        </w:rPr>
        <w:t>送至高位水池，在高位水池</w:t>
      </w:r>
      <w:r>
        <w:rPr>
          <w:color w:val="auto"/>
          <w:szCs w:val="28"/>
        </w:rPr>
        <w:t>设置潜水泵供水</w:t>
      </w:r>
      <w:r>
        <w:rPr>
          <w:rFonts w:hint="eastAsia"/>
          <w:color w:val="auto"/>
          <w:lang w:val="en-US" w:eastAsia="zh-CN"/>
        </w:rPr>
        <w:t>。由高位水池接管到达各中段后送到各采场工作面。</w:t>
      </w:r>
      <w:r>
        <w:rPr>
          <w:color w:val="auto"/>
          <w:szCs w:val="28"/>
        </w:rPr>
        <w:t>设置潜水泵为其供水</w:t>
      </w:r>
      <w:r>
        <w:rPr>
          <w:rFonts w:hint="eastAsia"/>
          <w:color w:val="auto"/>
          <w:szCs w:val="28"/>
          <w:lang w:eastAsia="zh-CN"/>
        </w:rPr>
        <w:t>。</w:t>
      </w:r>
    </w:p>
    <w:p w14:paraId="3E82A533">
      <w:pPr>
        <w:rPr>
          <w:rFonts w:hint="eastAsia" w:eastAsia="宋体"/>
          <w:color w:val="auto"/>
          <w:lang w:val="en-US" w:eastAsia="zh-CN"/>
        </w:rPr>
      </w:pPr>
      <w:r>
        <w:rPr>
          <w:rFonts w:hint="eastAsia"/>
          <w:color w:val="auto"/>
          <w:lang w:val="en-US" w:eastAsia="zh-CN"/>
        </w:rPr>
        <w:t>拟在中段车场，斜坡道等区域设置消火栓,各主要生产中段的供水管道上每隔100m设消火栓(含水枪、水带)。消火栓栓口处出水压力不小于0.35MPa；消防供水系统采用常高压供水系统，最大运行压力为0.5MPa。</w:t>
      </w:r>
      <w:r>
        <w:rPr>
          <w:color w:val="auto"/>
          <w:szCs w:val="28"/>
        </w:rPr>
        <w:t>出水压力大于0.5MPa时，采用减压稳压</w:t>
      </w:r>
      <w:r>
        <w:rPr>
          <w:rFonts w:hint="eastAsia"/>
          <w:color w:val="auto"/>
          <w:szCs w:val="28"/>
          <w:lang w:val="en-US" w:eastAsia="zh-CN"/>
        </w:rPr>
        <w:t>设施</w:t>
      </w:r>
      <w:r>
        <w:rPr>
          <w:rFonts w:hint="eastAsia"/>
          <w:color w:val="auto"/>
          <w:szCs w:val="28"/>
          <w:lang w:eastAsia="zh-CN"/>
        </w:rPr>
        <w:t>。</w:t>
      </w:r>
    </w:p>
    <w:p w14:paraId="73A7ED48">
      <w:pPr>
        <w:rPr>
          <w:rFonts w:hint="eastAsia"/>
          <w:color w:val="auto"/>
          <w:lang w:val="en-US" w:eastAsia="zh-CN"/>
        </w:rPr>
      </w:pPr>
      <w:r>
        <w:rPr>
          <w:rFonts w:hint="eastAsia"/>
          <w:color w:val="auto"/>
          <w:lang w:val="en-US" w:eastAsia="zh-CN"/>
        </w:rPr>
        <w:t>消防水池与生产水池共用，消防系统井下供水管路由地表高位水池供入坑内，与井下生产用水系统管路共用，沿各中段平巷敷设，延伸到各采掘作业场所。消火栓的安装位置应便于救灾人员使用。</w:t>
      </w:r>
    </w:p>
    <w:p w14:paraId="3BD03EF6">
      <w:pPr>
        <w:rPr>
          <w:rFonts w:hint="default"/>
          <w:color w:val="auto"/>
          <w:lang w:val="en-US" w:eastAsia="zh-CN"/>
        </w:rPr>
      </w:pPr>
      <w:r>
        <w:rPr>
          <w:rFonts w:hint="eastAsia"/>
          <w:color w:val="auto"/>
          <w:lang w:val="en-US" w:eastAsia="zh-CN"/>
        </w:rPr>
        <w:t>矿山空压机站、主通风机房、维修间等主要机电设备场所，配置相应灭火器。每台运输设备配备灭火器，井下电气硐室配备干粉灭火器及消防沙。</w:t>
      </w:r>
    </w:p>
    <w:bookmarkEnd w:id="79"/>
    <w:bookmarkEnd w:id="80"/>
    <w:bookmarkEnd w:id="81"/>
    <w:p w14:paraId="656F43CA">
      <w:pPr>
        <w:pStyle w:val="4"/>
        <w:rPr>
          <w:rFonts w:hint="eastAsia" w:eastAsia="黑体"/>
          <w:color w:val="auto"/>
          <w:lang w:eastAsia="zh-CN"/>
        </w:rPr>
      </w:pPr>
      <w:r>
        <w:rPr>
          <w:rFonts w:hint="eastAsia"/>
          <w:color w:val="auto"/>
        </w:rPr>
        <w:t>2.4.</w:t>
      </w:r>
      <w:r>
        <w:rPr>
          <w:rFonts w:hint="eastAsia"/>
          <w:color w:val="auto"/>
          <w:lang w:val="en-US" w:eastAsia="zh-CN"/>
        </w:rPr>
        <w:t>10废石场</w:t>
      </w:r>
    </w:p>
    <w:p w14:paraId="0A678FA9">
      <w:pPr>
        <w:rPr>
          <w:rFonts w:hint="eastAsia"/>
          <w:color w:val="auto"/>
          <w:lang w:val="en-US" w:eastAsia="zh-CN"/>
        </w:rPr>
      </w:pPr>
      <w:r>
        <w:rPr>
          <w:rFonts w:hint="eastAsia"/>
          <w:color w:val="auto"/>
          <w:lang w:val="en-US" w:eastAsia="zh-CN"/>
        </w:rPr>
        <w:t>矿山不设专用废石堆场，</w:t>
      </w:r>
      <w:r>
        <w:rPr>
          <w:rFonts w:hint="eastAsia" w:ascii="宋体" w:hAnsi="宋体" w:eastAsia="宋体" w:cs="宋体"/>
          <w:b w:val="0"/>
          <w:bCs w:val="0"/>
          <w:color w:val="auto"/>
          <w:kern w:val="2"/>
          <w:sz w:val="28"/>
          <w:szCs w:val="22"/>
          <w:lang w:val="en-US" w:eastAsia="zh-CN" w:bidi="ar-SA"/>
        </w:rPr>
        <w:t>矿石与废石通过斜坡道直接运至主平硐口东侧场地临时堆存后外运。</w:t>
      </w:r>
    </w:p>
    <w:p w14:paraId="301F85D4">
      <w:pPr>
        <w:pStyle w:val="4"/>
        <w:rPr>
          <w:rFonts w:hint="eastAsia" w:ascii="宋体" w:hAnsi="宋体" w:eastAsia="宋体" w:cs="宋体"/>
          <w:b w:val="0"/>
          <w:bCs w:val="0"/>
          <w:color w:val="auto"/>
          <w:kern w:val="2"/>
          <w:sz w:val="28"/>
          <w:szCs w:val="28"/>
          <w:lang w:val="en-US" w:eastAsia="zh-CN" w:bidi="ar"/>
        </w:rPr>
      </w:pPr>
      <w:bookmarkStart w:id="82" w:name="_Toc300484685"/>
      <w:r>
        <w:rPr>
          <w:rFonts w:hint="eastAsia"/>
          <w:color w:val="auto"/>
        </w:rPr>
        <w:t>2.4.1</w:t>
      </w:r>
      <w:r>
        <w:rPr>
          <w:rFonts w:hint="eastAsia"/>
          <w:color w:val="auto"/>
          <w:lang w:val="en-US" w:eastAsia="zh-CN"/>
        </w:rPr>
        <w:t>1</w:t>
      </w:r>
      <w:r>
        <w:rPr>
          <w:rFonts w:hint="eastAsia"/>
          <w:color w:val="auto"/>
        </w:rPr>
        <w:t>地下矿山安全避险“六大系统”</w:t>
      </w:r>
      <w:bookmarkEnd w:id="82"/>
    </w:p>
    <w:p w14:paraId="58B0A3DA">
      <w:pPr>
        <w:pStyle w:val="5"/>
        <w:keepNext/>
        <w:keepLines/>
        <w:pageBreakBefore w:val="0"/>
        <w:widowControl w:val="0"/>
        <w:kinsoku/>
        <w:wordWrap/>
        <w:overflowPunct/>
        <w:topLinePunct w:val="0"/>
        <w:autoSpaceDE/>
        <w:autoSpaceDN/>
        <w:bidi w:val="0"/>
        <w:adjustRightInd/>
        <w:snapToGrid/>
        <w:ind w:firstLine="560" w:firstLineChars="200"/>
        <w:textAlignment w:val="auto"/>
        <w:rPr>
          <w:rFonts w:hint="eastAsia"/>
          <w:color w:val="auto"/>
          <w:lang w:val="en-US" w:eastAsia="zh-CN"/>
        </w:rPr>
      </w:pPr>
      <w:r>
        <w:rPr>
          <w:rFonts w:hint="eastAsia"/>
          <w:color w:val="auto"/>
          <w:lang w:val="en-US" w:eastAsia="zh-CN"/>
        </w:rPr>
        <w:t>2.4.11.1监测监控系统</w:t>
      </w:r>
    </w:p>
    <w:p w14:paraId="2A556949">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520" w:lineRule="exact"/>
        <w:ind w:firstLine="560" w:firstLineChars="200"/>
        <w:jc w:val="both"/>
        <w:textAlignment w:val="auto"/>
        <w:rPr>
          <w:rFonts w:hint="eastAsia" w:ascii="宋体" w:hAnsi="宋体" w:eastAsia="宋体" w:cs="宋体"/>
          <w:color w:val="auto"/>
          <w:sz w:val="28"/>
          <w:szCs w:val="28"/>
        </w:rPr>
      </w:pPr>
      <w:r>
        <w:rPr>
          <w:rFonts w:hint="eastAsia" w:cs="宋体"/>
          <w:color w:val="auto"/>
          <w:sz w:val="28"/>
          <w:szCs w:val="28"/>
          <w:lang w:val="en-US" w:eastAsia="zh-CN"/>
        </w:rPr>
        <w:t>1.</w:t>
      </w:r>
      <w:r>
        <w:rPr>
          <w:rFonts w:hint="eastAsia" w:ascii="宋体" w:hAnsi="宋体" w:eastAsia="宋体" w:cs="宋体"/>
          <w:color w:val="auto"/>
          <w:sz w:val="28"/>
          <w:szCs w:val="28"/>
        </w:rPr>
        <w:t>在1230m主平硐坑口设生产调度站，并安装1套监测监控系统，可以实时进行矿井环境和工况监测。</w:t>
      </w:r>
    </w:p>
    <w:p w14:paraId="0D1301BC">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520" w:lineRule="exact"/>
        <w:ind w:firstLine="560" w:firstLineChars="20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系统采用分布式处理模式，主干连接为树型结构。整个系统由地面主机(共2台，1用1备)、传输接口、传输电缆、井下监测分站、传感器、摄像机等组成。</w:t>
      </w:r>
    </w:p>
    <w:p w14:paraId="28C8D148">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520" w:lineRule="exact"/>
        <w:ind w:firstLine="560" w:firstLineChars="200"/>
        <w:jc w:val="both"/>
        <w:textAlignment w:val="auto"/>
        <w:rPr>
          <w:rFonts w:hint="eastAsia" w:ascii="宋体" w:hAnsi="宋体" w:eastAsia="宋体" w:cs="宋体"/>
          <w:color w:val="auto"/>
          <w:kern w:val="2"/>
          <w:sz w:val="28"/>
          <w:szCs w:val="28"/>
          <w:lang w:eastAsia="zh-CN" w:bidi="ar"/>
        </w:rPr>
      </w:pPr>
      <w:r>
        <w:rPr>
          <w:rFonts w:hint="eastAsia" w:cs="宋体"/>
          <w:color w:val="auto"/>
          <w:kern w:val="2"/>
          <w:sz w:val="28"/>
          <w:szCs w:val="28"/>
          <w:lang w:val="en-US" w:eastAsia="zh-CN" w:bidi="ar"/>
        </w:rPr>
        <w:t>2.</w:t>
      </w:r>
      <w:r>
        <w:rPr>
          <w:rFonts w:hint="eastAsia" w:ascii="宋体" w:hAnsi="宋体" w:eastAsia="宋体" w:cs="宋体"/>
          <w:color w:val="auto"/>
          <w:kern w:val="2"/>
          <w:sz w:val="28"/>
          <w:szCs w:val="28"/>
          <w:lang w:bidi="ar"/>
        </w:rPr>
        <w:t>矿山</w:t>
      </w:r>
      <w:r>
        <w:rPr>
          <w:rFonts w:hint="eastAsia" w:cs="宋体"/>
          <w:color w:val="auto"/>
          <w:kern w:val="2"/>
          <w:sz w:val="28"/>
          <w:szCs w:val="28"/>
          <w:lang w:val="en-US" w:eastAsia="zh-CN" w:bidi="ar"/>
        </w:rPr>
        <w:t>拟</w:t>
      </w:r>
      <w:r>
        <w:rPr>
          <w:rFonts w:hint="eastAsia" w:ascii="宋体" w:hAnsi="宋体" w:eastAsia="宋体" w:cs="宋体"/>
          <w:color w:val="auto"/>
          <w:kern w:val="2"/>
          <w:sz w:val="28"/>
          <w:szCs w:val="28"/>
          <w:lang w:bidi="ar"/>
        </w:rPr>
        <w:t>设置以下监测监控设备</w:t>
      </w:r>
      <w:r>
        <w:rPr>
          <w:rFonts w:hint="eastAsia" w:cs="宋体"/>
          <w:color w:val="auto"/>
          <w:kern w:val="2"/>
          <w:sz w:val="28"/>
          <w:szCs w:val="28"/>
          <w:lang w:eastAsia="zh-CN" w:bidi="ar"/>
        </w:rPr>
        <w:t>：</w:t>
      </w:r>
    </w:p>
    <w:p w14:paraId="008718F1">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520" w:lineRule="exact"/>
        <w:ind w:firstLine="560" w:firstLineChars="200"/>
        <w:jc w:val="both"/>
        <w:textAlignment w:val="auto"/>
        <w:rPr>
          <w:rFonts w:hint="eastAsia" w:ascii="宋体" w:hAnsi="宋体" w:eastAsia="宋体" w:cs="宋体"/>
          <w:color w:val="auto"/>
          <w:kern w:val="2"/>
          <w:sz w:val="28"/>
          <w:szCs w:val="28"/>
          <w:lang w:bidi="ar"/>
        </w:rPr>
      </w:pPr>
      <w:r>
        <w:rPr>
          <w:rFonts w:hint="eastAsia" w:cs="宋体"/>
          <w:color w:val="auto"/>
          <w:kern w:val="2"/>
          <w:sz w:val="28"/>
          <w:szCs w:val="28"/>
          <w:lang w:val="en-US" w:eastAsia="zh-CN" w:bidi="ar"/>
        </w:rPr>
        <w:t>(1)</w:t>
      </w:r>
      <w:r>
        <w:rPr>
          <w:rFonts w:hint="eastAsia" w:ascii="宋体" w:hAnsi="宋体" w:eastAsia="宋体" w:cs="宋体"/>
          <w:color w:val="auto"/>
          <w:kern w:val="2"/>
          <w:sz w:val="28"/>
          <w:szCs w:val="28"/>
          <w:lang w:bidi="ar"/>
        </w:rPr>
        <w:t>井下安装3台智能监测分站(含备用电源)。</w:t>
      </w:r>
    </w:p>
    <w:p w14:paraId="52EBEC2B">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520" w:lineRule="exact"/>
        <w:ind w:firstLine="560" w:firstLineChars="200"/>
        <w:jc w:val="both"/>
        <w:textAlignment w:val="auto"/>
        <w:rPr>
          <w:rFonts w:hint="eastAsia" w:ascii="宋体" w:hAnsi="宋体" w:eastAsia="宋体" w:cs="宋体"/>
          <w:color w:val="auto"/>
          <w:kern w:val="2"/>
          <w:sz w:val="28"/>
          <w:szCs w:val="28"/>
          <w:lang w:bidi="ar"/>
        </w:rPr>
      </w:pPr>
      <w:r>
        <w:rPr>
          <w:rFonts w:hint="eastAsia" w:cs="宋体"/>
          <w:color w:val="auto"/>
          <w:kern w:val="2"/>
          <w:sz w:val="28"/>
          <w:szCs w:val="28"/>
          <w:lang w:val="en-US" w:eastAsia="zh-CN" w:bidi="ar"/>
        </w:rPr>
        <w:t>(2)</w:t>
      </w:r>
      <w:r>
        <w:rPr>
          <w:rFonts w:hint="eastAsia" w:ascii="宋体" w:hAnsi="宋体" w:eastAsia="宋体" w:cs="宋体"/>
          <w:color w:val="auto"/>
          <w:kern w:val="2"/>
          <w:sz w:val="28"/>
          <w:szCs w:val="28"/>
          <w:lang w:bidi="ar"/>
        </w:rPr>
        <w:t>生产中段/分段采、掘工作面各安装1台矿用型一氧化碳传感器，共计5台。</w:t>
      </w:r>
    </w:p>
    <w:p w14:paraId="5F2AD15D">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520" w:lineRule="exact"/>
        <w:ind w:firstLine="560" w:firstLineChars="200"/>
        <w:jc w:val="both"/>
        <w:textAlignment w:val="auto"/>
        <w:rPr>
          <w:rFonts w:hint="eastAsia" w:ascii="宋体" w:hAnsi="宋体" w:eastAsia="宋体" w:cs="宋体"/>
          <w:color w:val="auto"/>
          <w:kern w:val="2"/>
          <w:sz w:val="28"/>
          <w:szCs w:val="28"/>
          <w:lang w:bidi="ar"/>
        </w:rPr>
      </w:pPr>
      <w:r>
        <w:rPr>
          <w:rFonts w:hint="eastAsia" w:cs="宋体"/>
          <w:color w:val="auto"/>
          <w:kern w:val="2"/>
          <w:sz w:val="28"/>
          <w:szCs w:val="28"/>
          <w:lang w:val="en-US" w:eastAsia="zh-CN" w:bidi="ar"/>
        </w:rPr>
        <w:t>(3)</w:t>
      </w:r>
      <w:r>
        <w:rPr>
          <w:rFonts w:hint="eastAsia" w:ascii="宋体" w:hAnsi="宋体" w:eastAsia="宋体" w:cs="宋体"/>
          <w:color w:val="auto"/>
          <w:kern w:val="2"/>
          <w:sz w:val="28"/>
          <w:szCs w:val="28"/>
          <w:lang w:bidi="ar"/>
        </w:rPr>
        <w:t>生产中段/分段回风巷、井下总回风巷各安装1台矿用型风速传感器，共计5台。</w:t>
      </w:r>
    </w:p>
    <w:p w14:paraId="037056EF">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520" w:lineRule="exact"/>
        <w:ind w:firstLine="560" w:firstLineChars="200"/>
        <w:jc w:val="both"/>
        <w:textAlignment w:val="auto"/>
        <w:rPr>
          <w:rFonts w:hint="eastAsia" w:ascii="宋体" w:hAnsi="宋体" w:eastAsia="宋体" w:cs="宋体"/>
          <w:color w:val="auto"/>
          <w:kern w:val="2"/>
          <w:sz w:val="28"/>
          <w:szCs w:val="28"/>
          <w:lang w:bidi="ar"/>
        </w:rPr>
      </w:pPr>
      <w:r>
        <w:rPr>
          <w:rFonts w:hint="eastAsia" w:cs="宋体"/>
          <w:color w:val="auto"/>
          <w:kern w:val="2"/>
          <w:sz w:val="28"/>
          <w:szCs w:val="28"/>
          <w:lang w:val="en-US" w:eastAsia="zh-CN" w:bidi="ar"/>
        </w:rPr>
        <w:t>(4)</w:t>
      </w:r>
      <w:r>
        <w:rPr>
          <w:rFonts w:hint="eastAsia" w:ascii="宋体" w:hAnsi="宋体" w:eastAsia="宋体" w:cs="宋体"/>
          <w:color w:val="auto"/>
          <w:kern w:val="2"/>
          <w:sz w:val="28"/>
          <w:szCs w:val="28"/>
          <w:lang w:bidi="ar"/>
        </w:rPr>
        <w:t>主通风机、局部通风机处各安装1台矿用型设备开停传感器共计6台。</w:t>
      </w:r>
    </w:p>
    <w:p w14:paraId="71328743">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520" w:lineRule="exact"/>
        <w:ind w:firstLine="560" w:firstLineChars="200"/>
        <w:jc w:val="both"/>
        <w:textAlignment w:val="auto"/>
        <w:rPr>
          <w:rFonts w:hint="eastAsia" w:ascii="宋体" w:hAnsi="宋体" w:eastAsia="宋体" w:cs="宋体"/>
          <w:color w:val="auto"/>
          <w:kern w:val="2"/>
          <w:sz w:val="28"/>
          <w:szCs w:val="28"/>
          <w:lang w:bidi="ar"/>
        </w:rPr>
      </w:pPr>
      <w:r>
        <w:rPr>
          <w:rFonts w:hint="eastAsia" w:cs="宋体"/>
          <w:color w:val="auto"/>
          <w:kern w:val="2"/>
          <w:sz w:val="28"/>
          <w:szCs w:val="28"/>
          <w:lang w:val="en-US" w:eastAsia="zh-CN" w:bidi="ar"/>
        </w:rPr>
        <w:t>(5)</w:t>
      </w:r>
      <w:r>
        <w:rPr>
          <w:rFonts w:hint="eastAsia" w:ascii="宋体" w:hAnsi="宋体" w:eastAsia="宋体" w:cs="宋体"/>
          <w:color w:val="auto"/>
          <w:kern w:val="2"/>
          <w:sz w:val="28"/>
          <w:szCs w:val="28"/>
          <w:lang w:bidi="ar"/>
        </w:rPr>
        <w:t>主通风机处安装1台矿用型负压传感器，共计1台。</w:t>
      </w:r>
    </w:p>
    <w:p w14:paraId="1B05C7D4">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520" w:lineRule="exact"/>
        <w:ind w:firstLine="560" w:firstLineChars="200"/>
        <w:jc w:val="both"/>
        <w:textAlignment w:val="auto"/>
        <w:rPr>
          <w:rFonts w:hint="eastAsia" w:ascii="宋体" w:hAnsi="宋体" w:eastAsia="宋体" w:cs="宋体"/>
          <w:color w:val="auto"/>
          <w:kern w:val="2"/>
          <w:sz w:val="28"/>
          <w:szCs w:val="28"/>
          <w:lang w:bidi="ar"/>
        </w:rPr>
      </w:pPr>
      <w:r>
        <w:rPr>
          <w:rFonts w:hint="eastAsia" w:cs="宋体"/>
          <w:color w:val="auto"/>
          <w:kern w:val="2"/>
          <w:sz w:val="28"/>
          <w:szCs w:val="28"/>
          <w:lang w:val="en-US" w:eastAsia="zh-CN" w:bidi="ar"/>
        </w:rPr>
        <w:t>(6)</w:t>
      </w:r>
      <w:r>
        <w:rPr>
          <w:rFonts w:hint="eastAsia" w:ascii="宋体" w:hAnsi="宋体" w:eastAsia="宋体" w:cs="宋体"/>
          <w:color w:val="auto"/>
          <w:kern w:val="2"/>
          <w:sz w:val="28"/>
          <w:szCs w:val="28"/>
          <w:lang w:bidi="ar"/>
        </w:rPr>
        <w:t>为生产中段每班组配置2台矿用型便携式三(CO，NO</w:t>
      </w:r>
      <w:r>
        <w:rPr>
          <w:rFonts w:hint="eastAsia" w:ascii="宋体" w:hAnsi="宋体" w:eastAsia="宋体" w:cs="宋体"/>
          <w:color w:val="auto"/>
          <w:kern w:val="2"/>
          <w:sz w:val="28"/>
          <w:szCs w:val="28"/>
          <w:vertAlign w:val="subscript"/>
          <w:lang w:bidi="ar"/>
        </w:rPr>
        <w:t>2</w:t>
      </w:r>
      <w:r>
        <w:rPr>
          <w:rFonts w:hint="eastAsia" w:ascii="宋体" w:hAnsi="宋体" w:eastAsia="宋体" w:cs="宋体"/>
          <w:color w:val="auto"/>
          <w:kern w:val="2"/>
          <w:sz w:val="28"/>
          <w:szCs w:val="28"/>
          <w:lang w:bidi="ar"/>
        </w:rPr>
        <w:t>，0</w:t>
      </w:r>
      <w:r>
        <w:rPr>
          <w:rFonts w:hint="eastAsia" w:ascii="宋体" w:hAnsi="宋体" w:eastAsia="宋体" w:cs="宋体"/>
          <w:color w:val="auto"/>
          <w:kern w:val="2"/>
          <w:sz w:val="28"/>
          <w:szCs w:val="28"/>
          <w:vertAlign w:val="subscript"/>
          <w:lang w:bidi="ar"/>
        </w:rPr>
        <w:t>2</w:t>
      </w:r>
      <w:r>
        <w:rPr>
          <w:rFonts w:hint="eastAsia" w:ascii="宋体" w:hAnsi="宋体" w:eastAsia="宋体" w:cs="宋体"/>
          <w:color w:val="auto"/>
          <w:kern w:val="2"/>
          <w:sz w:val="28"/>
          <w:szCs w:val="28"/>
          <w:lang w:bidi="ar"/>
        </w:rPr>
        <w:t>)合一气体检测报警仪，共计4台。</w:t>
      </w:r>
    </w:p>
    <w:p w14:paraId="5890BBF8">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520" w:lineRule="exact"/>
        <w:ind w:firstLine="560" w:firstLineChars="200"/>
        <w:jc w:val="both"/>
        <w:textAlignment w:val="auto"/>
        <w:rPr>
          <w:rFonts w:hint="eastAsia" w:ascii="宋体" w:hAnsi="宋体" w:eastAsia="宋体" w:cs="宋体"/>
          <w:color w:val="auto"/>
          <w:kern w:val="2"/>
          <w:sz w:val="28"/>
          <w:szCs w:val="28"/>
          <w:lang w:bidi="ar"/>
        </w:rPr>
      </w:pPr>
      <w:r>
        <w:rPr>
          <w:rFonts w:hint="eastAsia" w:cs="宋体"/>
          <w:color w:val="auto"/>
          <w:kern w:val="2"/>
          <w:sz w:val="28"/>
          <w:szCs w:val="28"/>
          <w:lang w:val="en-US" w:eastAsia="zh-CN" w:bidi="ar"/>
        </w:rPr>
        <w:t>(7)</w:t>
      </w:r>
      <w:r>
        <w:rPr>
          <w:rFonts w:hint="eastAsia" w:ascii="宋体" w:hAnsi="宋体" w:eastAsia="宋体" w:cs="宋体"/>
          <w:color w:val="auto"/>
          <w:kern w:val="2"/>
          <w:sz w:val="28"/>
          <w:szCs w:val="28"/>
          <w:lang w:bidi="ar"/>
        </w:rPr>
        <w:t>在主通风机处、井下各中段的出入口、井下变电硐室处各安装1台矿用型视频监控摄像机，共计7台。</w:t>
      </w:r>
    </w:p>
    <w:p w14:paraId="38EF3D13">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520" w:lineRule="exact"/>
        <w:ind w:firstLine="560" w:firstLineChars="200"/>
        <w:jc w:val="both"/>
        <w:textAlignment w:val="auto"/>
        <w:rPr>
          <w:rFonts w:hint="eastAsia" w:ascii="宋体" w:hAnsi="宋体" w:eastAsia="宋体" w:cs="宋体"/>
          <w:b w:val="0"/>
          <w:bCs w:val="0"/>
          <w:color w:val="auto"/>
          <w:sz w:val="28"/>
          <w:szCs w:val="28"/>
        </w:rPr>
      </w:pPr>
      <w:r>
        <w:rPr>
          <w:rFonts w:hint="eastAsia" w:cs="宋体"/>
          <w:color w:val="auto"/>
          <w:kern w:val="2"/>
          <w:sz w:val="28"/>
          <w:szCs w:val="28"/>
          <w:lang w:val="en-US" w:eastAsia="zh-CN" w:bidi="ar"/>
        </w:rPr>
        <w:t>3.</w:t>
      </w:r>
      <w:r>
        <w:rPr>
          <w:rFonts w:hint="eastAsia" w:ascii="宋体" w:hAnsi="宋体" w:eastAsia="宋体" w:cs="宋体"/>
          <w:color w:val="auto"/>
          <w:kern w:val="2"/>
          <w:sz w:val="28"/>
          <w:szCs w:val="28"/>
          <w:lang w:bidi="ar"/>
        </w:rPr>
        <w:t>监测监控系统电源设备按二级负荷考虑，采用蓄电池(监测监控系统自带)作为备用电源。</w:t>
      </w:r>
    </w:p>
    <w:p w14:paraId="6F78F192">
      <w:pPr>
        <w:pStyle w:val="5"/>
        <w:keepNext/>
        <w:keepLines/>
        <w:pageBreakBefore w:val="0"/>
        <w:widowControl w:val="0"/>
        <w:kinsoku/>
        <w:wordWrap/>
        <w:overflowPunct/>
        <w:topLinePunct w:val="0"/>
        <w:autoSpaceDE/>
        <w:autoSpaceDN/>
        <w:bidi w:val="0"/>
        <w:adjustRightInd/>
        <w:snapToGrid/>
        <w:ind w:firstLine="560" w:firstLineChars="200"/>
        <w:textAlignment w:val="auto"/>
        <w:rPr>
          <w:rFonts w:hint="eastAsia"/>
          <w:color w:val="auto"/>
          <w:lang w:val="en-US" w:eastAsia="zh-CN"/>
        </w:rPr>
      </w:pPr>
      <w:r>
        <w:rPr>
          <w:rFonts w:hint="eastAsia"/>
          <w:color w:val="auto"/>
          <w:lang w:val="en-US" w:eastAsia="zh-CN"/>
        </w:rPr>
        <w:t>2.4.11.2人员定位系统</w:t>
      </w:r>
    </w:p>
    <w:p w14:paraId="4E844DA6">
      <w:pPr>
        <w:pStyle w:val="55"/>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1.矿山拟设置1套KJ349型井下人员定位系统。该系统是一个集出、入井考勤与监控井下各个作业区域人员的动态分布及变化情况综合系统。</w:t>
      </w:r>
    </w:p>
    <w:p w14:paraId="2EBC9E0A">
      <w:pPr>
        <w:pStyle w:val="55"/>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系统基于计算机软硬件、数据库、电子电路、数字通讯、RFID(无线射频)等技术，实现了对井下人员跟踪定位信息的采集、分析处理。</w:t>
      </w:r>
    </w:p>
    <w:p w14:paraId="2F243109">
      <w:pPr>
        <w:pStyle w:val="55"/>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宋体" w:hAnsi="宋体" w:eastAsia="宋体" w:cs="宋体"/>
          <w:b w:val="0"/>
          <w:bCs w:val="0"/>
          <w:color w:val="auto"/>
          <w:sz w:val="28"/>
          <w:szCs w:val="28"/>
          <w:lang w:val="en-US"/>
        </w:rPr>
      </w:pPr>
      <w:r>
        <w:rPr>
          <w:rFonts w:hint="eastAsia" w:ascii="宋体" w:hAnsi="宋体" w:eastAsia="宋体" w:cs="宋体"/>
          <w:b w:val="0"/>
          <w:bCs w:val="0"/>
          <w:color w:val="auto"/>
          <w:sz w:val="28"/>
          <w:szCs w:val="28"/>
          <w:lang w:val="en-US" w:eastAsia="zh-CN"/>
        </w:rPr>
        <w:t>系统由地面主机(共2台，1用1备)、井下传输接口、读卡分站、读卡器、标识卡等组成。</w:t>
      </w:r>
    </w:p>
    <w:p w14:paraId="6ECE65C0">
      <w:pPr>
        <w:pStyle w:val="55"/>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2.矿山拟设置以下人员定位设备：</w:t>
      </w:r>
    </w:p>
    <w:p w14:paraId="218677FF">
      <w:pPr>
        <w:pStyle w:val="55"/>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(1)井下共安装3台智能定位分站(含备用电源)。</w:t>
      </w:r>
    </w:p>
    <w:p w14:paraId="0AB512C6">
      <w:pPr>
        <w:pStyle w:val="55"/>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宋体" w:hAnsi="宋体" w:eastAsia="仿宋_GB2312"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(2)在矿山1230m主平硐口、矿山回风坑口、井下各中段出入口及岔口等重要人员出入口各安装1台矿用型人员定位读卡器，共计9台。下井人员72人，配备72个定位卡，并配备8个备用卡。</w:t>
      </w:r>
    </w:p>
    <w:p w14:paraId="7E23F469">
      <w:pPr>
        <w:pStyle w:val="55"/>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3.人员定位系统电源设备按二级负荷考虑，采用蓄电池(人员定位系统自带)作为备用电源。</w:t>
      </w:r>
    </w:p>
    <w:p w14:paraId="3B04B565">
      <w:pPr>
        <w:pStyle w:val="5"/>
        <w:keepNext/>
        <w:keepLines/>
        <w:pageBreakBefore w:val="0"/>
        <w:widowControl w:val="0"/>
        <w:kinsoku/>
        <w:wordWrap/>
        <w:overflowPunct/>
        <w:topLinePunct w:val="0"/>
        <w:autoSpaceDE/>
        <w:autoSpaceDN/>
        <w:bidi w:val="0"/>
        <w:adjustRightInd/>
        <w:snapToGrid/>
        <w:ind w:firstLine="560" w:firstLineChars="200"/>
        <w:textAlignment w:val="auto"/>
        <w:rPr>
          <w:rFonts w:hint="eastAsia"/>
          <w:color w:val="auto"/>
          <w:lang w:val="en-US" w:eastAsia="zh-CN"/>
        </w:rPr>
      </w:pPr>
      <w:r>
        <w:rPr>
          <w:rFonts w:hint="eastAsia"/>
          <w:color w:val="auto"/>
          <w:lang w:val="en-US" w:eastAsia="zh-CN"/>
        </w:rPr>
        <w:t>2.4.11.3通讯联络系统</w:t>
      </w:r>
    </w:p>
    <w:p w14:paraId="18CE6A00">
      <w:pPr>
        <w:pStyle w:val="55"/>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1.井下有线调度电话系统</w:t>
      </w:r>
    </w:p>
    <w:p w14:paraId="26BC32A7">
      <w:pPr>
        <w:pStyle w:val="55"/>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lang w:val="en-US" w:eastAsia="zh-CN"/>
        </w:rPr>
        <w:t>(1)</w:t>
      </w:r>
      <w:r>
        <w:rPr>
          <w:rFonts w:hint="eastAsia" w:ascii="宋体" w:hAnsi="宋体" w:eastAsia="宋体" w:cs="宋体"/>
          <w:b w:val="0"/>
          <w:bCs w:val="0"/>
          <w:color w:val="auto"/>
          <w:sz w:val="28"/>
          <w:szCs w:val="28"/>
        </w:rPr>
        <w:t>矿山</w:t>
      </w:r>
      <w:r>
        <w:rPr>
          <w:rFonts w:hint="eastAsia" w:ascii="宋体" w:hAnsi="宋体" w:eastAsia="宋体" w:cs="宋体"/>
          <w:b w:val="0"/>
          <w:bCs w:val="0"/>
          <w:color w:val="auto"/>
          <w:sz w:val="28"/>
          <w:szCs w:val="28"/>
          <w:lang w:val="en-US" w:eastAsia="zh-CN"/>
        </w:rPr>
        <w:t>拟</w:t>
      </w:r>
      <w:r>
        <w:rPr>
          <w:rFonts w:hint="eastAsia" w:ascii="宋体" w:hAnsi="宋体" w:eastAsia="宋体" w:cs="宋体"/>
          <w:b w:val="0"/>
          <w:bCs w:val="0"/>
          <w:color w:val="auto"/>
          <w:sz w:val="28"/>
          <w:szCs w:val="28"/>
        </w:rPr>
        <w:t>设置1台30门数字程控交换机,作为矿山有线调度电话系统。系统具有通信、调度、控制及信息采集等功能，应用于矿山的生产调度、指挥和单位内部通信。</w:t>
      </w:r>
    </w:p>
    <w:p w14:paraId="51CC5E13">
      <w:pPr>
        <w:pStyle w:val="55"/>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调度电话系统由程控交换机、电话机、调度台等组成。</w:t>
      </w:r>
    </w:p>
    <w:p w14:paraId="483CEA26">
      <w:pPr>
        <w:pStyle w:val="55"/>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宋体"/>
          <w:b w:val="0"/>
          <w:bCs w:val="0"/>
          <w:color w:val="auto"/>
          <w:sz w:val="28"/>
          <w:szCs w:val="28"/>
          <w:lang w:eastAsia="zh-CN"/>
        </w:rPr>
      </w:pPr>
      <w:r>
        <w:rPr>
          <w:rFonts w:hint="eastAsia" w:ascii="宋体" w:hAnsi="宋体" w:eastAsia="宋体" w:cs="宋体"/>
          <w:b w:val="0"/>
          <w:bCs w:val="0"/>
          <w:color w:val="auto"/>
          <w:sz w:val="28"/>
          <w:szCs w:val="28"/>
          <w:lang w:val="en-US" w:eastAsia="zh-CN"/>
        </w:rPr>
        <w:t>(2)</w:t>
      </w:r>
      <w:r>
        <w:rPr>
          <w:rFonts w:hint="eastAsia" w:ascii="宋体" w:hAnsi="宋体" w:eastAsia="宋体" w:cs="宋体"/>
          <w:b w:val="0"/>
          <w:bCs w:val="0"/>
          <w:color w:val="auto"/>
          <w:sz w:val="28"/>
          <w:szCs w:val="28"/>
        </w:rPr>
        <w:t>井下有线调度电话系统具备以下功能</w:t>
      </w:r>
      <w:r>
        <w:rPr>
          <w:rFonts w:hint="eastAsia" w:ascii="宋体" w:hAnsi="宋体" w:eastAsia="宋体" w:cs="宋体"/>
          <w:b w:val="0"/>
          <w:bCs w:val="0"/>
          <w:color w:val="auto"/>
          <w:sz w:val="28"/>
          <w:szCs w:val="28"/>
          <w:lang w:eastAsia="zh-CN"/>
        </w:rPr>
        <w:t>：</w:t>
      </w:r>
    </w:p>
    <w:p w14:paraId="22CC747C">
      <w:pPr>
        <w:pStyle w:val="55"/>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由控制中心发起的组呼、全呼、选呼、强拆、强插、紧呼及监听功能</w:t>
      </w:r>
      <w:r>
        <w:rPr>
          <w:rFonts w:hint="eastAsia" w:ascii="宋体" w:hAnsi="宋体" w:eastAsia="宋体" w:cs="宋体"/>
          <w:b w:val="0"/>
          <w:bCs w:val="0"/>
          <w:color w:val="auto"/>
          <w:sz w:val="28"/>
          <w:szCs w:val="28"/>
          <w:lang w:eastAsia="zh-CN"/>
        </w:rPr>
        <w:t>；</w:t>
      </w:r>
      <w:r>
        <w:rPr>
          <w:rFonts w:hint="eastAsia" w:ascii="宋体" w:hAnsi="宋体" w:eastAsia="宋体" w:cs="宋体"/>
          <w:b w:val="0"/>
          <w:bCs w:val="0"/>
          <w:color w:val="auto"/>
          <w:sz w:val="28"/>
          <w:szCs w:val="28"/>
        </w:rPr>
        <w:t>由终端设备向控制中心发起的紧急呼叫功能</w:t>
      </w:r>
      <w:r>
        <w:rPr>
          <w:rFonts w:hint="eastAsia" w:ascii="宋体" w:hAnsi="宋体" w:eastAsia="宋体" w:cs="宋体"/>
          <w:b w:val="0"/>
          <w:bCs w:val="0"/>
          <w:color w:val="auto"/>
          <w:sz w:val="28"/>
          <w:szCs w:val="28"/>
          <w:lang w:eastAsia="zh-CN"/>
        </w:rPr>
        <w:t>；</w:t>
      </w:r>
      <w:r>
        <w:rPr>
          <w:rFonts w:hint="eastAsia" w:ascii="宋体" w:hAnsi="宋体" w:eastAsia="宋体" w:cs="宋体"/>
          <w:b w:val="0"/>
          <w:bCs w:val="0"/>
          <w:color w:val="auto"/>
          <w:sz w:val="28"/>
          <w:szCs w:val="28"/>
        </w:rPr>
        <w:t>能够储存备份通信历史记录并可进行查询</w:t>
      </w:r>
      <w:r>
        <w:rPr>
          <w:rFonts w:hint="eastAsia" w:ascii="宋体" w:hAnsi="宋体" w:eastAsia="宋体" w:cs="宋体"/>
          <w:b w:val="0"/>
          <w:bCs w:val="0"/>
          <w:color w:val="auto"/>
          <w:sz w:val="28"/>
          <w:szCs w:val="28"/>
          <w:lang w:eastAsia="zh-CN"/>
        </w:rPr>
        <w:t>；</w:t>
      </w:r>
      <w:r>
        <w:rPr>
          <w:rFonts w:hint="eastAsia" w:ascii="宋体" w:hAnsi="宋体" w:eastAsia="宋体" w:cs="宋体"/>
          <w:b w:val="0"/>
          <w:bCs w:val="0"/>
          <w:color w:val="auto"/>
          <w:sz w:val="28"/>
          <w:szCs w:val="28"/>
        </w:rPr>
        <w:t>自动或手动启动的录音功能等。</w:t>
      </w:r>
    </w:p>
    <w:p w14:paraId="6583A87A">
      <w:pPr>
        <w:pStyle w:val="55"/>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宋体"/>
          <w:b w:val="0"/>
          <w:bCs w:val="0"/>
          <w:color w:val="auto"/>
          <w:sz w:val="28"/>
          <w:szCs w:val="28"/>
          <w:lang w:eastAsia="zh-CN"/>
        </w:rPr>
      </w:pPr>
      <w:r>
        <w:rPr>
          <w:rFonts w:hint="eastAsia" w:ascii="宋体" w:hAnsi="宋体" w:eastAsia="宋体" w:cs="宋体"/>
          <w:b w:val="0"/>
          <w:bCs w:val="0"/>
          <w:color w:val="auto"/>
          <w:sz w:val="28"/>
          <w:szCs w:val="28"/>
          <w:lang w:val="en-US" w:eastAsia="zh-CN"/>
        </w:rPr>
        <w:t>(3)</w:t>
      </w:r>
      <w:r>
        <w:rPr>
          <w:rFonts w:hint="eastAsia" w:ascii="宋体" w:hAnsi="宋体" w:eastAsia="宋体" w:cs="宋体"/>
          <w:b w:val="0"/>
          <w:bCs w:val="0"/>
          <w:color w:val="auto"/>
          <w:sz w:val="28"/>
          <w:szCs w:val="28"/>
        </w:rPr>
        <w:t>本次在矿山设置以下有线调度电话设备</w:t>
      </w:r>
      <w:r>
        <w:rPr>
          <w:rFonts w:hint="eastAsia" w:ascii="宋体" w:hAnsi="宋体" w:eastAsia="宋体" w:cs="宋体"/>
          <w:b w:val="0"/>
          <w:bCs w:val="0"/>
          <w:color w:val="auto"/>
          <w:sz w:val="28"/>
          <w:szCs w:val="28"/>
          <w:lang w:eastAsia="zh-CN"/>
        </w:rPr>
        <w:t>：</w:t>
      </w:r>
    </w:p>
    <w:p w14:paraId="1536FD90">
      <w:pPr>
        <w:pStyle w:val="55"/>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坑口调度室安装2台普通型电话机，空压机站各安装1台普通型电话机，共计3台。</w:t>
      </w:r>
    </w:p>
    <w:p w14:paraId="169696CF">
      <w:pPr>
        <w:pStyle w:val="55"/>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在主通风机处、井下装卸矿点、采掘工作面附近、变电硐室等重要部位各安装1台矿用型电话机，共计15台。</w:t>
      </w:r>
    </w:p>
    <w:p w14:paraId="53A6E766">
      <w:pPr>
        <w:pStyle w:val="55"/>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该系统要求覆盖所有生产部门和指挥管理部门，安装于采掘工作面的电话机跟随生产的变化进行迁移。</w:t>
      </w:r>
    </w:p>
    <w:p w14:paraId="1A5CAD9C">
      <w:pPr>
        <w:pStyle w:val="55"/>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2.应急广播系统</w:t>
      </w:r>
    </w:p>
    <w:p w14:paraId="265CF9F4">
      <w:pPr>
        <w:pStyle w:val="55"/>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(1)为了保证矿井和工作人员的安全，矿山拟设置一套应急广播系统。该系统为全数字型系统，是利用网络技术、以网络为传输平台来实现的数字音频传递。</w:t>
      </w:r>
    </w:p>
    <w:p w14:paraId="2BB1AF70">
      <w:pPr>
        <w:pStyle w:val="55"/>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(2)矿用应急广播系统具有全矿公共广播、紧急广播、定点广播、独立广播、分组广播、紧急呼叫、双向通话、背景音乐播放、录音等功能。</w:t>
      </w:r>
    </w:p>
    <w:p w14:paraId="43100241">
      <w:pPr>
        <w:pStyle w:val="55"/>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(3)本次在矿山设置以下应急广播设备：</w:t>
      </w:r>
    </w:p>
    <w:p w14:paraId="31CFEEF3">
      <w:pPr>
        <w:pStyle w:val="55"/>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1230m主平硐口安装1台室外音响；在矿山主通风机处、井下采掘工作面附近、装卸矿点、变电硐室、重要部位各安装1台矿用广播终端，共计8台。</w:t>
      </w:r>
    </w:p>
    <w:p w14:paraId="6811F3D9">
      <w:pPr>
        <w:pStyle w:val="55"/>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安装于采掘工作面的广播终端跟随生产的变化进行迁移。</w:t>
      </w:r>
    </w:p>
    <w:p w14:paraId="48EBB051">
      <w:pPr>
        <w:pStyle w:val="55"/>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3.通信电缆设双回路，从不同的井简引入井下。其中任何一条通讯电缆发生故障，另一条通讯电缆的容量应能担负井下各通讯终端的通讯能力。</w:t>
      </w:r>
    </w:p>
    <w:p w14:paraId="0DA583A5">
      <w:pPr>
        <w:pStyle w:val="55"/>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4.通信联络系统电源设备按二级负荷考虑，采用蓄电池(通信联络系统自带)作为备用电源。</w:t>
      </w:r>
    </w:p>
    <w:p w14:paraId="1A137594">
      <w:pPr>
        <w:pStyle w:val="5"/>
        <w:keepNext/>
        <w:keepLines/>
        <w:pageBreakBefore w:val="0"/>
        <w:widowControl w:val="0"/>
        <w:kinsoku/>
        <w:wordWrap/>
        <w:overflowPunct/>
        <w:topLinePunct w:val="0"/>
        <w:autoSpaceDE/>
        <w:autoSpaceDN/>
        <w:bidi w:val="0"/>
        <w:adjustRightInd/>
        <w:snapToGrid/>
        <w:ind w:firstLine="560" w:firstLineChars="200"/>
        <w:textAlignment w:val="auto"/>
        <w:rPr>
          <w:rFonts w:hint="eastAsia" w:ascii="宋体" w:hAnsi="宋体" w:eastAsia="宋体" w:cs="宋体"/>
          <w:b w:val="0"/>
          <w:bCs w:val="0"/>
          <w:color w:val="auto"/>
          <w:sz w:val="28"/>
          <w:szCs w:val="28"/>
        </w:rPr>
      </w:pPr>
      <w:r>
        <w:rPr>
          <w:rFonts w:hint="eastAsia"/>
          <w:color w:val="auto"/>
          <w:lang w:val="en-US" w:eastAsia="zh-CN"/>
        </w:rPr>
        <w:t>2.4.11.3紧急避险系统</w:t>
      </w:r>
    </w:p>
    <w:p w14:paraId="3D95E5EC">
      <w:pPr>
        <w:pStyle w:val="65"/>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outlineLvl w:val="9"/>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lang w:val="en-US" w:eastAsia="zh-CN"/>
        </w:rPr>
        <w:t>1、</w:t>
      </w:r>
      <w:r>
        <w:rPr>
          <w:rFonts w:hint="eastAsia" w:ascii="宋体" w:hAnsi="宋体" w:eastAsia="宋体" w:cs="宋体"/>
          <w:b w:val="0"/>
          <w:bCs w:val="0"/>
          <w:color w:val="auto"/>
          <w:sz w:val="28"/>
          <w:szCs w:val="28"/>
        </w:rPr>
        <w:t>自救器配备</w:t>
      </w:r>
    </w:p>
    <w:p w14:paraId="331E0DAC">
      <w:pPr>
        <w:pStyle w:val="55"/>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outlineLvl w:val="9"/>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为入井人员配备额定防护时间不少于30min的自救器，并按入井总人数的10%配备备用自救器。</w:t>
      </w:r>
    </w:p>
    <w:p w14:paraId="418913BE">
      <w:pPr>
        <w:pStyle w:val="65"/>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outlineLvl w:val="9"/>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lang w:val="en-US" w:eastAsia="zh-CN"/>
        </w:rPr>
        <w:t>2、</w:t>
      </w:r>
      <w:r>
        <w:rPr>
          <w:rFonts w:hint="eastAsia" w:ascii="宋体" w:hAnsi="宋体" w:eastAsia="宋体" w:cs="宋体"/>
          <w:b w:val="0"/>
          <w:bCs w:val="0"/>
          <w:color w:val="auto"/>
          <w:sz w:val="28"/>
          <w:szCs w:val="28"/>
        </w:rPr>
        <w:t>紧急避险设施</w:t>
      </w:r>
    </w:p>
    <w:p w14:paraId="26D52704">
      <w:pPr>
        <w:pStyle w:val="55"/>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outlineLvl w:val="9"/>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该矿山水文地质条件</w:t>
      </w:r>
      <w:r>
        <w:rPr>
          <w:rFonts w:hint="eastAsia" w:ascii="宋体" w:hAnsi="宋体" w:eastAsia="宋体" w:cs="宋体"/>
          <w:b w:val="0"/>
          <w:bCs w:val="0"/>
          <w:color w:val="auto"/>
          <w:sz w:val="28"/>
          <w:szCs w:val="28"/>
          <w:lang w:val="en-US" w:eastAsia="zh-CN"/>
        </w:rPr>
        <w:t>简单</w:t>
      </w:r>
      <w:r>
        <w:rPr>
          <w:rFonts w:hint="eastAsia" w:ascii="宋体" w:hAnsi="宋体" w:eastAsia="宋体" w:cs="宋体"/>
          <w:b w:val="0"/>
          <w:bCs w:val="0"/>
          <w:color w:val="auto"/>
          <w:sz w:val="28"/>
          <w:szCs w:val="28"/>
        </w:rPr>
        <w:t>，最低安全出口标高</w:t>
      </w:r>
      <w:r>
        <w:rPr>
          <w:rFonts w:hint="eastAsia" w:ascii="宋体" w:hAnsi="宋体" w:eastAsia="宋体" w:cs="宋体"/>
          <w:b w:val="0"/>
          <w:bCs w:val="0"/>
          <w:color w:val="auto"/>
          <w:sz w:val="28"/>
          <w:szCs w:val="28"/>
          <w:lang w:val="en-US" w:eastAsia="zh-CN"/>
        </w:rPr>
        <w:t>1230</w:t>
      </w:r>
      <w:r>
        <w:rPr>
          <w:rFonts w:hint="eastAsia" w:ascii="宋体" w:hAnsi="宋体" w:eastAsia="宋体" w:cs="宋体"/>
          <w:b w:val="0"/>
          <w:bCs w:val="0"/>
          <w:color w:val="auto"/>
          <w:sz w:val="28"/>
          <w:szCs w:val="28"/>
        </w:rPr>
        <w:t>m，最低生产中段标高</w:t>
      </w:r>
      <w:r>
        <w:rPr>
          <w:rFonts w:hint="eastAsia" w:ascii="宋体" w:hAnsi="宋体" w:eastAsia="宋体" w:cs="宋体"/>
          <w:b w:val="0"/>
          <w:bCs w:val="0"/>
          <w:color w:val="auto"/>
          <w:sz w:val="28"/>
          <w:szCs w:val="28"/>
          <w:lang w:val="en-US" w:eastAsia="zh-CN"/>
        </w:rPr>
        <w:t>1230</w:t>
      </w:r>
      <w:r>
        <w:rPr>
          <w:rFonts w:hint="eastAsia" w:ascii="宋体" w:hAnsi="宋体" w:eastAsia="宋体" w:cs="宋体"/>
          <w:b w:val="0"/>
          <w:bCs w:val="0"/>
          <w:color w:val="auto"/>
          <w:sz w:val="28"/>
          <w:szCs w:val="28"/>
        </w:rPr>
        <w:t>m，因此，不设置紧急避险设施。</w:t>
      </w:r>
    </w:p>
    <w:p w14:paraId="40F1DC3B">
      <w:pPr>
        <w:pStyle w:val="65"/>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outlineLvl w:val="9"/>
        <w:rPr>
          <w:rFonts w:hint="eastAsia" w:ascii="宋体" w:hAnsi="宋体" w:eastAsia="宋体" w:cs="宋体"/>
          <w:b w:val="0"/>
          <w:bCs w:val="0"/>
          <w:color w:val="auto"/>
          <w:kern w:val="0"/>
          <w:sz w:val="28"/>
          <w:szCs w:val="28"/>
          <w:lang w:val="en-US" w:eastAsia="zh-CN" w:bidi="ar-SA"/>
        </w:rPr>
      </w:pPr>
      <w:r>
        <w:rPr>
          <w:rFonts w:hint="eastAsia" w:ascii="宋体" w:hAnsi="宋体" w:eastAsia="宋体" w:cs="宋体"/>
          <w:b w:val="0"/>
          <w:bCs w:val="0"/>
          <w:color w:val="auto"/>
          <w:kern w:val="0"/>
          <w:sz w:val="28"/>
          <w:szCs w:val="28"/>
          <w:lang w:val="en-US" w:eastAsia="zh-CN" w:bidi="ar-SA"/>
        </w:rPr>
        <w:t>3、安全出口</w:t>
      </w:r>
    </w:p>
    <w:p w14:paraId="6FD681BC">
      <w:pPr>
        <w:ind w:firstLine="560"/>
        <w:rPr>
          <w:rFonts w:hint="eastAsia" w:ascii="宋体" w:hAnsi="宋体" w:eastAsia="宋体" w:cs="宋体"/>
          <w:b w:val="0"/>
          <w:bCs w:val="0"/>
          <w:color w:val="auto"/>
          <w:sz w:val="28"/>
          <w:szCs w:val="28"/>
        </w:rPr>
      </w:pPr>
      <w:r>
        <w:rPr>
          <w:rFonts w:hint="eastAsia" w:ascii="宋体" w:hAnsi="宋体" w:eastAsia="宋体" w:cs="宋体"/>
          <w:color w:val="auto"/>
          <w:szCs w:val="28"/>
        </w:rPr>
        <w:t>该矿山主平硐为正常安全出口，回风平硐为应急安全出口，</w:t>
      </w:r>
      <w:r>
        <w:rPr>
          <w:rFonts w:hint="eastAsia" w:cs="宋体"/>
          <w:color w:val="auto"/>
          <w:szCs w:val="28"/>
          <w:lang w:val="en-US" w:eastAsia="zh-CN"/>
        </w:rPr>
        <w:t>井口</w:t>
      </w:r>
      <w:r>
        <w:rPr>
          <w:rFonts w:hint="eastAsia" w:ascii="宋体" w:hAnsi="宋体" w:eastAsia="宋体" w:cs="宋体"/>
          <w:color w:val="auto"/>
          <w:szCs w:val="28"/>
        </w:rPr>
        <w:t>及行人巷道有明显的安全出口标志</w:t>
      </w:r>
      <w:r>
        <w:rPr>
          <w:rFonts w:hint="eastAsia" w:cs="宋体"/>
          <w:color w:val="auto"/>
          <w:szCs w:val="28"/>
          <w:lang w:eastAsia="zh-CN"/>
        </w:rPr>
        <w:t>；</w:t>
      </w:r>
      <w:r>
        <w:rPr>
          <w:rFonts w:hint="eastAsia" w:ascii="宋体" w:hAnsi="宋体" w:eastAsia="宋体" w:cs="宋体"/>
          <w:color w:val="auto"/>
          <w:szCs w:val="28"/>
        </w:rPr>
        <w:t>各生产中段通过斜坡道设有两个便于行人直通地表的安全出口，并保证各出口畅通，以保障人员迅速疏散</w:t>
      </w:r>
      <w:r>
        <w:rPr>
          <w:rFonts w:hint="eastAsia" w:cs="宋体"/>
          <w:color w:val="auto"/>
          <w:szCs w:val="28"/>
          <w:lang w:eastAsia="zh-CN"/>
        </w:rPr>
        <w:t>；</w:t>
      </w:r>
      <w:r>
        <w:rPr>
          <w:rFonts w:hint="eastAsia" w:ascii="宋体" w:hAnsi="宋体" w:eastAsia="宋体" w:cs="宋体"/>
          <w:color w:val="auto"/>
          <w:szCs w:val="28"/>
        </w:rPr>
        <w:t>每个采场(矿块)都有两个出口、连通生产与回风中段巷道。</w:t>
      </w:r>
    </w:p>
    <w:p w14:paraId="3E72E0D4">
      <w:pPr>
        <w:pStyle w:val="65"/>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outlineLvl w:val="9"/>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lang w:val="en-US" w:eastAsia="zh-CN"/>
        </w:rPr>
        <w:t>4</w:t>
      </w:r>
      <w:r>
        <w:rPr>
          <w:rFonts w:hint="eastAsia" w:ascii="宋体" w:hAnsi="宋体" w:eastAsia="宋体" w:cs="宋体"/>
          <w:b w:val="0"/>
          <w:bCs w:val="0"/>
          <w:color w:val="auto"/>
          <w:sz w:val="28"/>
          <w:szCs w:val="28"/>
          <w:lang w:eastAsia="zh-CN"/>
        </w:rPr>
        <w:t>、</w:t>
      </w:r>
      <w:r>
        <w:rPr>
          <w:rFonts w:hint="eastAsia" w:ascii="宋体" w:hAnsi="宋体" w:eastAsia="宋体" w:cs="宋体"/>
          <w:b w:val="0"/>
          <w:bCs w:val="0"/>
          <w:color w:val="auto"/>
          <w:sz w:val="28"/>
          <w:szCs w:val="28"/>
        </w:rPr>
        <w:t>应急预案编制</w:t>
      </w:r>
    </w:p>
    <w:p w14:paraId="1125D315">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rPr>
      </w:pPr>
      <w:r>
        <w:rPr>
          <w:rFonts w:hint="eastAsia" w:ascii="宋体" w:hAnsi="宋体" w:eastAsia="宋体" w:cs="宋体"/>
          <w:b w:val="0"/>
          <w:bCs w:val="0"/>
          <w:color w:val="auto"/>
          <w:kern w:val="0"/>
          <w:sz w:val="28"/>
          <w:szCs w:val="28"/>
        </w:rPr>
        <w:t>矿山</w:t>
      </w:r>
      <w:r>
        <w:rPr>
          <w:rFonts w:hint="eastAsia" w:cs="宋体"/>
          <w:b w:val="0"/>
          <w:bCs w:val="0"/>
          <w:color w:val="auto"/>
          <w:kern w:val="0"/>
          <w:sz w:val="28"/>
          <w:szCs w:val="28"/>
          <w:lang w:eastAsia="zh-CN"/>
        </w:rPr>
        <w:t>拟</w:t>
      </w:r>
      <w:r>
        <w:rPr>
          <w:rFonts w:hint="eastAsia" w:ascii="宋体" w:hAnsi="宋体" w:eastAsia="宋体" w:cs="宋体"/>
          <w:b w:val="0"/>
          <w:bCs w:val="0"/>
          <w:color w:val="auto"/>
          <w:kern w:val="0"/>
          <w:sz w:val="28"/>
          <w:szCs w:val="28"/>
        </w:rPr>
        <w:t>按照《生产安全事故应急预案管理办法》等相关要求，结合矿山安全避险“六大系统”，科学合理的编制事故应急预案，并按规定组织预案的评审、培训和演练。</w:t>
      </w:r>
    </w:p>
    <w:p w14:paraId="04D7808D">
      <w:pPr>
        <w:pStyle w:val="5"/>
        <w:keepNext/>
        <w:keepLines/>
        <w:pageBreakBefore w:val="0"/>
        <w:widowControl w:val="0"/>
        <w:kinsoku/>
        <w:wordWrap/>
        <w:overflowPunct/>
        <w:topLinePunct w:val="0"/>
        <w:autoSpaceDE/>
        <w:autoSpaceDN/>
        <w:bidi w:val="0"/>
        <w:adjustRightInd/>
        <w:snapToGrid/>
        <w:ind w:firstLine="560" w:firstLineChars="200"/>
        <w:textAlignment w:val="auto"/>
        <w:rPr>
          <w:rFonts w:hint="eastAsia"/>
          <w:color w:val="auto"/>
          <w:lang w:val="en-US" w:eastAsia="zh-CN"/>
        </w:rPr>
      </w:pPr>
      <w:bookmarkStart w:id="83" w:name="_Toc303872302"/>
      <w:bookmarkStart w:id="84" w:name="_Toc225062571"/>
      <w:bookmarkStart w:id="85" w:name="_Toc225062044"/>
      <w:r>
        <w:rPr>
          <w:rFonts w:hint="eastAsia"/>
          <w:color w:val="auto"/>
          <w:lang w:val="en-US" w:eastAsia="zh-CN"/>
        </w:rPr>
        <w:t>2.4.11.4压风自救系统</w:t>
      </w:r>
    </w:p>
    <w:p w14:paraId="12A88B90">
      <w:pPr>
        <w:ind w:firstLine="560"/>
        <w:rPr>
          <w:rFonts w:hint="eastAsia"/>
          <w:color w:val="auto"/>
          <w:szCs w:val="21"/>
          <w:lang w:val="en-US" w:eastAsia="zh-CN"/>
        </w:rPr>
      </w:pPr>
      <w:r>
        <w:rPr>
          <w:rFonts w:hint="eastAsia" w:cs="宋体"/>
          <w:b w:val="0"/>
          <w:bCs w:val="0"/>
          <w:color w:val="auto"/>
          <w:sz w:val="28"/>
          <w:szCs w:val="28"/>
          <w:lang w:val="en-US" w:eastAsia="zh-CN"/>
        </w:rPr>
        <w:t>1</w:t>
      </w:r>
      <w:r>
        <w:rPr>
          <w:rFonts w:hint="eastAsia" w:ascii="宋体" w:hAnsi="宋体" w:eastAsia="宋体" w:cs="宋体"/>
          <w:b w:val="0"/>
          <w:bCs w:val="0"/>
          <w:color w:val="auto"/>
          <w:sz w:val="28"/>
          <w:szCs w:val="28"/>
          <w:lang w:val="en-US" w:eastAsia="zh-CN"/>
        </w:rPr>
        <w:t>、</w:t>
      </w:r>
      <w:r>
        <w:rPr>
          <w:rFonts w:hint="eastAsia" w:ascii="宋体" w:hAnsi="宋体" w:eastAsia="宋体" w:cs="宋体"/>
          <w:b w:val="0"/>
          <w:bCs w:val="0"/>
          <w:color w:val="auto"/>
          <w:sz w:val="28"/>
          <w:szCs w:val="28"/>
          <w:lang w:eastAsia="zh-CN"/>
        </w:rPr>
        <w:t>压风系统</w:t>
      </w:r>
    </w:p>
    <w:p w14:paraId="5E53FE0C">
      <w:pPr>
        <w:ind w:firstLine="560"/>
        <w:rPr>
          <w:rFonts w:hint="eastAsia"/>
          <w:color w:val="auto"/>
          <w:szCs w:val="21"/>
          <w:lang w:val="en-US" w:eastAsia="zh-CN"/>
        </w:rPr>
      </w:pPr>
      <w:r>
        <w:rPr>
          <w:rFonts w:hint="eastAsia"/>
          <w:color w:val="auto"/>
          <w:szCs w:val="21"/>
          <w:lang w:val="en-US" w:eastAsia="zh-CN"/>
        </w:rPr>
        <w:t>井下最大班生产人员31人/班，每人需用气按0.3m/min考虑，压风自救系统最大用气量9.37m³/min。空压机站设LG-30/8G型固定式单螺杆风冷空气压缩机2台(1用1备)，备用空压机同时作为压风自救系统气源。空压机总供气量70m³大于压风自救系统最大用气量，满足供气要求。</w:t>
      </w:r>
    </w:p>
    <w:p w14:paraId="431DB4CB">
      <w:pPr>
        <w:ind w:firstLine="560"/>
        <w:rPr>
          <w:rFonts w:hint="eastAsia" w:ascii="宋体" w:hAnsi="宋体" w:eastAsia="宋体" w:cs="宋体"/>
          <w:b w:val="0"/>
          <w:bCs w:val="0"/>
          <w:color w:val="auto"/>
          <w:sz w:val="28"/>
          <w:szCs w:val="28"/>
        </w:rPr>
      </w:pPr>
      <w:r>
        <w:rPr>
          <w:rFonts w:hint="eastAsia"/>
          <w:color w:val="auto"/>
          <w:szCs w:val="21"/>
          <w:lang w:val="en-US" w:eastAsia="zh-CN"/>
        </w:rPr>
        <w:t>供风管</w:t>
      </w:r>
      <w:r>
        <w:rPr>
          <w:rFonts w:hint="eastAsia" w:ascii="宋体" w:hAnsi="宋体" w:eastAsia="宋体" w:cs="宋体"/>
          <w:color w:val="auto"/>
          <w:sz w:val="28"/>
          <w:szCs w:val="28"/>
          <w:lang w:val="en-US" w:eastAsia="zh-CN"/>
        </w:rPr>
        <w:t>沿各中段平巷敷设，延伸到各采掘作业场所</w:t>
      </w:r>
      <w:r>
        <w:rPr>
          <w:rFonts w:hint="eastAsia"/>
          <w:color w:val="auto"/>
          <w:szCs w:val="21"/>
          <w:lang w:val="en-US" w:eastAsia="zh-CN"/>
        </w:rPr>
        <w:t>，安装压风自救装置以供灾变时使用。</w:t>
      </w:r>
    </w:p>
    <w:p w14:paraId="11457EAB">
      <w:pPr>
        <w:pStyle w:val="55"/>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宋体" w:hAnsi="宋体" w:eastAsia="宋体" w:cs="宋体"/>
          <w:b w:val="0"/>
          <w:bCs w:val="0"/>
          <w:color w:val="auto"/>
          <w:sz w:val="28"/>
          <w:szCs w:val="28"/>
          <w:lang w:val="en-US"/>
        </w:rPr>
      </w:pPr>
      <w:r>
        <w:rPr>
          <w:rFonts w:hint="eastAsia" w:ascii="宋体" w:hAnsi="宋体" w:eastAsia="宋体" w:cs="宋体"/>
          <w:b w:val="0"/>
          <w:bCs w:val="0"/>
          <w:color w:val="auto"/>
          <w:sz w:val="28"/>
          <w:szCs w:val="28"/>
          <w:lang w:val="en-US" w:eastAsia="zh-CN"/>
        </w:rPr>
        <w:t>2、压风自动化</w:t>
      </w:r>
    </w:p>
    <w:p w14:paraId="56EF4E6E">
      <w:pPr>
        <w:pStyle w:val="55"/>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zh-CN"/>
        </w:rPr>
      </w:pPr>
      <w:r>
        <w:rPr>
          <w:rFonts w:hint="eastAsia" w:ascii="宋体" w:hAnsi="宋体" w:eastAsia="宋体" w:cs="宋体"/>
          <w:color w:val="auto"/>
          <w:sz w:val="28"/>
          <w:szCs w:val="28"/>
          <w:lang w:val="zh-CN"/>
        </w:rPr>
        <w:t>地表设有1处空压机站，各设置1台集中控制柜，用于采集压风机运行数据、状态情况、能耗情况等，用于控制压风机运行，报警显示等，每台集中控制柜通过以太网接入调度中心。</w:t>
      </w:r>
    </w:p>
    <w:p w14:paraId="1850C7FB">
      <w:pPr>
        <w:pStyle w:val="55"/>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lang w:val="zh-CN"/>
        </w:rPr>
        <w:t>井下监测点设计压力变送器，通过数采终端实时采集各中段压力数据，并通过井下环网接入上位机，便于及时查找跑漏原因。</w:t>
      </w:r>
    </w:p>
    <w:p w14:paraId="64C1982D">
      <w:pPr>
        <w:pStyle w:val="5"/>
        <w:keepNext/>
        <w:keepLines/>
        <w:pageBreakBefore w:val="0"/>
        <w:widowControl w:val="0"/>
        <w:kinsoku/>
        <w:wordWrap/>
        <w:overflowPunct/>
        <w:topLinePunct w:val="0"/>
        <w:autoSpaceDE/>
        <w:autoSpaceDN/>
        <w:bidi w:val="0"/>
        <w:adjustRightInd/>
        <w:snapToGrid/>
        <w:ind w:firstLine="560" w:firstLineChars="200"/>
        <w:textAlignment w:val="auto"/>
        <w:rPr>
          <w:rFonts w:hint="eastAsia"/>
          <w:color w:val="auto"/>
          <w:lang w:val="en-US" w:eastAsia="zh-CN"/>
        </w:rPr>
      </w:pPr>
      <w:r>
        <w:rPr>
          <w:rFonts w:hint="eastAsia"/>
          <w:color w:val="auto"/>
          <w:lang w:val="en-US" w:eastAsia="zh-CN"/>
        </w:rPr>
        <w:t>2.4.11.5供水施救系统</w:t>
      </w:r>
    </w:p>
    <w:p w14:paraId="531787A1">
      <w:pPr>
        <w:pStyle w:val="55"/>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本项目供水施救系统与生产供水系统共用，在主管上安装三通和阀门，以便施救时切换到生活饮用供水水源上，施救时的供水水质应满足生活饮用水水质卫生要求。</w:t>
      </w:r>
    </w:p>
    <w:p w14:paraId="5E26921A">
      <w:pPr>
        <w:pStyle w:val="55"/>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施救系统井下供水管路由地表供入坑内，与井下生产用水系统管路共用，沿各中段平巷敷设，延伸到各采掘作业场所。各主要生产中段的供水管道上每隔200m设一组三通及阀门。三通及阀门的安装位置应便于避灾人员使用。</w:t>
      </w:r>
    </w:p>
    <w:p w14:paraId="1063FD93">
      <w:pPr>
        <w:pStyle w:val="4"/>
        <w:rPr>
          <w:color w:val="auto"/>
        </w:rPr>
      </w:pPr>
      <w:r>
        <w:rPr>
          <w:rFonts w:hint="eastAsia"/>
          <w:color w:val="auto"/>
        </w:rPr>
        <w:t>2.4.1</w:t>
      </w:r>
      <w:r>
        <w:rPr>
          <w:rFonts w:hint="eastAsia"/>
          <w:color w:val="auto"/>
          <w:lang w:val="en-US" w:eastAsia="zh-CN"/>
        </w:rPr>
        <w:t>2</w:t>
      </w:r>
      <w:r>
        <w:rPr>
          <w:rFonts w:hint="eastAsia"/>
          <w:color w:val="auto"/>
        </w:rPr>
        <w:t>安全管理及其他</w:t>
      </w:r>
    </w:p>
    <w:p w14:paraId="2670ACB4">
      <w:pPr>
        <w:pStyle w:val="5"/>
        <w:keepNext/>
        <w:keepLines/>
        <w:pageBreakBefore w:val="0"/>
        <w:widowControl w:val="0"/>
        <w:kinsoku/>
        <w:wordWrap/>
        <w:overflowPunct/>
        <w:topLinePunct w:val="0"/>
        <w:autoSpaceDE/>
        <w:autoSpaceDN/>
        <w:bidi w:val="0"/>
        <w:adjustRightInd/>
        <w:snapToGrid/>
        <w:ind w:firstLine="560" w:firstLineChars="200"/>
        <w:textAlignment w:val="auto"/>
        <w:rPr>
          <w:rFonts w:hint="eastAsia"/>
          <w:color w:val="auto"/>
          <w:lang w:val="en-GB" w:eastAsia="zh-CN"/>
        </w:rPr>
      </w:pPr>
      <w:r>
        <w:rPr>
          <w:rFonts w:hint="eastAsia"/>
          <w:color w:val="auto"/>
          <w:lang w:val="en-GB" w:eastAsia="zh-CN"/>
        </w:rPr>
        <w:t>2.4.1</w:t>
      </w:r>
      <w:r>
        <w:rPr>
          <w:rFonts w:hint="eastAsia"/>
          <w:color w:val="auto"/>
          <w:lang w:val="en-US" w:eastAsia="zh-CN"/>
        </w:rPr>
        <w:t>2</w:t>
      </w:r>
      <w:r>
        <w:rPr>
          <w:rFonts w:hint="eastAsia"/>
          <w:color w:val="auto"/>
          <w:lang w:val="en-GB" w:eastAsia="zh-CN"/>
        </w:rPr>
        <w:t xml:space="preserve">.1 </w:t>
      </w:r>
      <w:bookmarkStart w:id="86" w:name="_Toc527012244"/>
      <w:bookmarkStart w:id="87" w:name="_Toc471736567"/>
      <w:bookmarkStart w:id="88" w:name="_Toc514593886"/>
      <w:bookmarkStart w:id="89" w:name="_Toc472068315"/>
      <w:bookmarkStart w:id="90" w:name="_Toc517966382"/>
      <w:r>
        <w:rPr>
          <w:rFonts w:hint="eastAsia"/>
          <w:color w:val="auto"/>
          <w:lang w:val="en-GB" w:eastAsia="zh-CN"/>
        </w:rPr>
        <w:t>安全管理</w:t>
      </w:r>
    </w:p>
    <w:bookmarkEnd w:id="86"/>
    <w:bookmarkEnd w:id="87"/>
    <w:bookmarkEnd w:id="88"/>
    <w:bookmarkEnd w:id="89"/>
    <w:bookmarkEnd w:id="90"/>
    <w:p w14:paraId="4615AEC4">
      <w:pPr>
        <w:keepNext/>
        <w:keepLines/>
        <w:pageBreakBefore w:val="0"/>
        <w:widowControl w:val="0"/>
        <w:kinsoku/>
        <w:wordWrap/>
        <w:overflowPunct/>
        <w:topLinePunct w:val="0"/>
        <w:autoSpaceDE/>
        <w:autoSpaceDN/>
        <w:bidi w:val="0"/>
        <w:adjustRightInd/>
        <w:snapToGrid/>
        <w:ind w:firstLine="560" w:firstLineChars="200"/>
        <w:textAlignment w:val="auto"/>
        <w:outlineLvl w:val="9"/>
        <w:rPr>
          <w:rFonts w:hint="eastAsia"/>
          <w:color w:val="auto"/>
          <w:szCs w:val="28"/>
        </w:rPr>
      </w:pPr>
      <w:r>
        <w:rPr>
          <w:rFonts w:hint="eastAsia"/>
          <w:color w:val="auto"/>
          <w:szCs w:val="28"/>
        </w:rPr>
        <w:t>企业</w:t>
      </w:r>
      <w:r>
        <w:rPr>
          <w:rFonts w:hint="eastAsia"/>
          <w:color w:val="auto"/>
          <w:szCs w:val="28"/>
          <w:lang w:val="en-US" w:eastAsia="zh-CN"/>
        </w:rPr>
        <w:t>拟</w:t>
      </w:r>
      <w:r>
        <w:rPr>
          <w:rFonts w:hint="eastAsia"/>
          <w:color w:val="auto"/>
          <w:szCs w:val="28"/>
        </w:rPr>
        <w:t>建立安全管理机构，成立安全生产委员会，配备相应的矿山安全管理人员,制定相应的安全管理制度、岗位安全责任制及操作规程。安全生产委员会由</w:t>
      </w:r>
      <w:r>
        <w:rPr>
          <w:rFonts w:hint="eastAsia"/>
          <w:color w:val="auto"/>
          <w:szCs w:val="28"/>
          <w:lang w:val="en-US" w:eastAsia="zh-CN"/>
        </w:rPr>
        <w:t>凤县绿能诚睿矿业有限公司总经理、副总经理、</w:t>
      </w:r>
      <w:r>
        <w:rPr>
          <w:rFonts w:hint="eastAsia"/>
          <w:color w:val="auto"/>
          <w:szCs w:val="28"/>
        </w:rPr>
        <w:t>机关各部室和</w:t>
      </w:r>
      <w:r>
        <w:rPr>
          <w:rFonts w:hint="eastAsia"/>
          <w:color w:val="auto"/>
          <w:szCs w:val="28"/>
          <w:lang w:val="en-US" w:eastAsia="zh-CN"/>
        </w:rPr>
        <w:t>矿山</w:t>
      </w:r>
      <w:r>
        <w:rPr>
          <w:rFonts w:hint="eastAsia"/>
          <w:color w:val="auto"/>
          <w:szCs w:val="28"/>
        </w:rPr>
        <w:t>主要负责人和员工</w:t>
      </w:r>
      <w:r>
        <w:rPr>
          <w:rFonts w:hint="eastAsia"/>
          <w:color w:val="auto"/>
          <w:szCs w:val="28"/>
          <w:lang w:val="en-US" w:eastAsia="zh-CN"/>
        </w:rPr>
        <w:t>组成</w:t>
      </w:r>
      <w:r>
        <w:rPr>
          <w:rFonts w:hint="eastAsia"/>
          <w:color w:val="auto"/>
          <w:szCs w:val="28"/>
        </w:rPr>
        <w:t>。</w:t>
      </w:r>
    </w:p>
    <w:p w14:paraId="5A91034A">
      <w:pPr>
        <w:keepNext/>
        <w:keepLines/>
        <w:pageBreakBefore w:val="0"/>
        <w:widowControl w:val="0"/>
        <w:kinsoku/>
        <w:wordWrap/>
        <w:overflowPunct/>
        <w:topLinePunct w:val="0"/>
        <w:autoSpaceDE/>
        <w:autoSpaceDN/>
        <w:bidi w:val="0"/>
        <w:adjustRightInd/>
        <w:snapToGrid/>
        <w:ind w:firstLine="560" w:firstLineChars="200"/>
        <w:textAlignment w:val="auto"/>
        <w:outlineLvl w:val="9"/>
        <w:rPr>
          <w:rFonts w:hint="eastAsia"/>
          <w:color w:val="auto"/>
          <w:szCs w:val="28"/>
        </w:rPr>
      </w:pPr>
      <w:r>
        <w:rPr>
          <w:rFonts w:hint="eastAsia"/>
          <w:color w:val="auto"/>
          <w:szCs w:val="28"/>
        </w:rPr>
        <w:t>企业设安全科，负责全矿的安全生产管理工作。根据本矿山生产规模和工艺特点安全科定员5人，其中正、副科长各一人，专职安全员3名。</w:t>
      </w:r>
    </w:p>
    <w:p w14:paraId="0E00AAC6">
      <w:pPr>
        <w:keepNext/>
        <w:keepLines/>
        <w:pageBreakBefore w:val="0"/>
        <w:widowControl w:val="0"/>
        <w:kinsoku/>
        <w:wordWrap/>
        <w:overflowPunct/>
        <w:topLinePunct w:val="0"/>
        <w:autoSpaceDE/>
        <w:autoSpaceDN/>
        <w:bidi w:val="0"/>
        <w:adjustRightInd/>
        <w:snapToGrid/>
        <w:ind w:firstLine="560" w:firstLineChars="200"/>
        <w:textAlignment w:val="auto"/>
        <w:outlineLvl w:val="9"/>
        <w:rPr>
          <w:rFonts w:hint="eastAsia"/>
          <w:color w:val="auto"/>
          <w:szCs w:val="28"/>
        </w:rPr>
      </w:pPr>
      <w:r>
        <w:rPr>
          <w:rFonts w:hint="eastAsia"/>
          <w:color w:val="auto"/>
          <w:szCs w:val="28"/>
        </w:rPr>
        <w:t>生产每班必须要有专职安全员负责监督、检查各车间作业情况。专职安全生产管理人员应由不低于中等专业学校毕业(或具有中等学历)、具有必要的安全生产专业知识和安全生产工作经验、从事矿山专业工作5年以上并能适应现场工作环境的人员担任。</w:t>
      </w:r>
    </w:p>
    <w:p w14:paraId="2A163D8D">
      <w:pPr>
        <w:keepNext/>
        <w:keepLines/>
        <w:pageBreakBefore w:val="0"/>
        <w:widowControl w:val="0"/>
        <w:kinsoku/>
        <w:wordWrap/>
        <w:overflowPunct/>
        <w:topLinePunct w:val="0"/>
        <w:autoSpaceDE/>
        <w:autoSpaceDN/>
        <w:bidi w:val="0"/>
        <w:adjustRightInd/>
        <w:snapToGrid/>
        <w:ind w:firstLine="560" w:firstLineChars="200"/>
        <w:textAlignment w:val="auto"/>
        <w:outlineLvl w:val="9"/>
        <w:rPr>
          <w:rFonts w:hint="eastAsia"/>
          <w:color w:val="auto"/>
          <w:szCs w:val="28"/>
          <w:lang w:eastAsia="zh-CN"/>
        </w:rPr>
      </w:pPr>
      <w:r>
        <w:rPr>
          <w:rFonts w:hint="eastAsia"/>
          <w:color w:val="auto"/>
          <w:szCs w:val="28"/>
        </w:rPr>
        <w:t>矿山</w:t>
      </w:r>
      <w:r>
        <w:rPr>
          <w:rFonts w:hint="eastAsia"/>
          <w:color w:val="auto"/>
          <w:szCs w:val="28"/>
          <w:lang w:val="en-US" w:eastAsia="zh-CN"/>
        </w:rPr>
        <w:t>拟</w:t>
      </w:r>
      <w:r>
        <w:rPr>
          <w:rFonts w:hint="eastAsia"/>
          <w:color w:val="auto"/>
          <w:szCs w:val="28"/>
        </w:rPr>
        <w:t>设专职矿长、总工程师和分管安全、生产、机电的副矿长各1人</w:t>
      </w:r>
      <w:r>
        <w:rPr>
          <w:rFonts w:hint="eastAsia"/>
          <w:color w:val="auto"/>
          <w:szCs w:val="28"/>
          <w:lang w:eastAsia="zh-CN"/>
        </w:rPr>
        <w:t>；</w:t>
      </w:r>
      <w:r>
        <w:rPr>
          <w:rFonts w:hint="eastAsia"/>
          <w:color w:val="auto"/>
          <w:szCs w:val="28"/>
        </w:rPr>
        <w:t>以上人员应当具有采矿、地质、测量、机电、安全等矿山相关专业大专及以上学历或者中级及以上技术职称。矿山配备具有采矿、地质、机电等矿山相关专业中专及以上学历或者中级及以上技术职称的专职技术人员，每个专业至少配备1人</w:t>
      </w:r>
      <w:r>
        <w:rPr>
          <w:rFonts w:hint="eastAsia"/>
          <w:color w:val="auto"/>
          <w:szCs w:val="28"/>
          <w:lang w:eastAsia="zh-CN"/>
        </w:rPr>
        <w:t>。</w:t>
      </w:r>
    </w:p>
    <w:p w14:paraId="216E8687">
      <w:pPr>
        <w:keepNext/>
        <w:keepLines/>
        <w:pageBreakBefore w:val="0"/>
        <w:widowControl w:val="0"/>
        <w:kinsoku/>
        <w:wordWrap/>
        <w:overflowPunct/>
        <w:topLinePunct w:val="0"/>
        <w:autoSpaceDE/>
        <w:autoSpaceDN/>
        <w:bidi w:val="0"/>
        <w:adjustRightInd/>
        <w:snapToGrid/>
        <w:ind w:firstLine="560" w:firstLineChars="200"/>
        <w:textAlignment w:val="auto"/>
        <w:outlineLvl w:val="9"/>
        <w:rPr>
          <w:color w:val="auto"/>
        </w:rPr>
      </w:pPr>
      <w:r>
        <w:rPr>
          <w:rFonts w:hint="eastAsia"/>
          <w:color w:val="auto"/>
          <w:szCs w:val="28"/>
          <w:lang w:val="en-GB" w:eastAsia="zh-CN"/>
        </w:rPr>
        <w:t>企业定员按照设计人员根据项目规模及采矿方法等方面确定，项目为新建采矿工程。项目总人数为72人，其中生产人员46人，占总人员数的63.89%，辅助人员15人，占总人员数的20.83%，技术及管理人员共计11人，占总人员数的15.28%。</w:t>
      </w:r>
    </w:p>
    <w:p w14:paraId="3CEC1319">
      <w:pPr>
        <w:keepNext/>
        <w:keepLines/>
        <w:pageBreakBefore w:val="0"/>
        <w:widowControl w:val="0"/>
        <w:kinsoku/>
        <w:wordWrap/>
        <w:overflowPunct/>
        <w:topLinePunct w:val="0"/>
        <w:autoSpaceDE/>
        <w:autoSpaceDN/>
        <w:bidi w:val="0"/>
        <w:adjustRightInd/>
        <w:snapToGrid/>
        <w:ind w:left="0" w:leftChars="0" w:firstLine="0" w:firstLineChars="0"/>
        <w:jc w:val="center"/>
        <w:textAlignment w:val="auto"/>
        <w:outlineLvl w:val="9"/>
        <w:rPr>
          <w:rFonts w:hint="eastAsia"/>
          <w:b/>
          <w:bCs/>
          <w:color w:val="auto"/>
          <w:lang w:val="en-US" w:eastAsia="zh-CN"/>
        </w:rPr>
      </w:pPr>
      <w:r>
        <w:rPr>
          <w:rFonts w:hint="eastAsia"/>
          <w:b/>
          <w:bCs/>
          <w:color w:val="auto"/>
          <w:lang w:val="en-US" w:eastAsia="zh-CN"/>
        </w:rPr>
        <w:t>表2.4.12 人员定员表</w:t>
      </w:r>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9"/>
        <w:gridCol w:w="2379"/>
        <w:gridCol w:w="1586"/>
        <w:gridCol w:w="1588"/>
        <w:gridCol w:w="1586"/>
        <w:gridCol w:w="1586"/>
      </w:tblGrid>
      <w:tr w14:paraId="24F4C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415" w:type="pct"/>
            <w:vMerge w:val="restart"/>
            <w:vAlign w:val="center"/>
          </w:tcPr>
          <w:p w14:paraId="39CBCEDC">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Theme="minorEastAsia" w:hAnsiTheme="minorEastAsia" w:eastAsiaTheme="minorEastAsia" w:cstheme="minorEastAsia"/>
                <w:b/>
                <w:bCs/>
                <w:color w:val="auto"/>
                <w:sz w:val="21"/>
                <w:szCs w:val="21"/>
                <w:vertAlign w:val="baseline"/>
                <w:lang w:val="en-US" w:eastAsia="zh-CN"/>
              </w:rPr>
            </w:pPr>
            <w:r>
              <w:rPr>
                <w:rFonts w:hint="eastAsia" w:asciiTheme="minorEastAsia" w:hAnsiTheme="minorEastAsia" w:eastAsiaTheme="minorEastAsia" w:cstheme="minorEastAsia"/>
                <w:b/>
                <w:bCs/>
                <w:color w:val="auto"/>
                <w:sz w:val="21"/>
                <w:szCs w:val="21"/>
                <w:vertAlign w:val="baseline"/>
                <w:lang w:val="en-US" w:eastAsia="zh-CN"/>
              </w:rPr>
              <w:t>序号</w:t>
            </w:r>
          </w:p>
        </w:tc>
        <w:tc>
          <w:tcPr>
            <w:tcW w:w="1250" w:type="pct"/>
            <w:vMerge w:val="restart"/>
            <w:vAlign w:val="center"/>
          </w:tcPr>
          <w:p w14:paraId="06AA6292">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Theme="minorEastAsia" w:hAnsiTheme="minorEastAsia" w:eastAsiaTheme="minorEastAsia" w:cstheme="minorEastAsia"/>
                <w:b/>
                <w:bCs/>
                <w:color w:val="auto"/>
                <w:sz w:val="21"/>
                <w:szCs w:val="21"/>
                <w:vertAlign w:val="baseline"/>
                <w:lang w:val="en-US" w:eastAsia="zh-CN"/>
              </w:rPr>
            </w:pPr>
            <w:r>
              <w:rPr>
                <w:rFonts w:hint="eastAsia" w:asciiTheme="minorEastAsia" w:hAnsiTheme="minorEastAsia" w:eastAsiaTheme="minorEastAsia" w:cstheme="minorEastAsia"/>
                <w:b/>
                <w:bCs/>
                <w:color w:val="auto"/>
                <w:sz w:val="21"/>
                <w:szCs w:val="21"/>
                <w:vertAlign w:val="baseline"/>
                <w:lang w:val="en-US" w:eastAsia="zh-CN"/>
              </w:rPr>
              <w:t>职别</w:t>
            </w:r>
          </w:p>
        </w:tc>
        <w:tc>
          <w:tcPr>
            <w:tcW w:w="1667" w:type="pct"/>
            <w:gridSpan w:val="2"/>
            <w:vAlign w:val="center"/>
          </w:tcPr>
          <w:p w14:paraId="3DF5669E">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Theme="minorEastAsia" w:hAnsiTheme="minorEastAsia" w:eastAsiaTheme="minorEastAsia" w:cstheme="minorEastAsia"/>
                <w:b/>
                <w:bCs/>
                <w:color w:val="auto"/>
                <w:sz w:val="21"/>
                <w:szCs w:val="21"/>
                <w:vertAlign w:val="baseline"/>
                <w:lang w:val="en-US" w:eastAsia="zh-CN"/>
              </w:rPr>
            </w:pPr>
            <w:r>
              <w:rPr>
                <w:rFonts w:hint="eastAsia" w:asciiTheme="minorEastAsia" w:hAnsiTheme="minorEastAsia" w:eastAsiaTheme="minorEastAsia" w:cstheme="minorEastAsia"/>
                <w:b/>
                <w:bCs/>
                <w:color w:val="auto"/>
                <w:sz w:val="21"/>
                <w:szCs w:val="21"/>
                <w:vertAlign w:val="baseline"/>
                <w:lang w:val="en-US" w:eastAsia="zh-CN"/>
              </w:rPr>
              <w:t>工作人数</w:t>
            </w:r>
          </w:p>
        </w:tc>
        <w:tc>
          <w:tcPr>
            <w:tcW w:w="833" w:type="pct"/>
            <w:vMerge w:val="restart"/>
            <w:vAlign w:val="center"/>
          </w:tcPr>
          <w:p w14:paraId="6F9DC699">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Theme="minorEastAsia" w:hAnsiTheme="minorEastAsia" w:eastAsiaTheme="minorEastAsia" w:cstheme="minorEastAsia"/>
                <w:b/>
                <w:bCs/>
                <w:color w:val="auto"/>
                <w:sz w:val="21"/>
                <w:szCs w:val="21"/>
                <w:vertAlign w:val="baseline"/>
                <w:lang w:val="en-US" w:eastAsia="zh-CN"/>
              </w:rPr>
            </w:pPr>
            <w:r>
              <w:rPr>
                <w:rFonts w:hint="eastAsia" w:asciiTheme="minorEastAsia" w:hAnsiTheme="minorEastAsia" w:eastAsiaTheme="minorEastAsia" w:cstheme="minorEastAsia"/>
                <w:b/>
                <w:bCs/>
                <w:color w:val="auto"/>
                <w:sz w:val="21"/>
                <w:szCs w:val="21"/>
                <w:vertAlign w:val="baseline"/>
                <w:lang w:val="en-US" w:eastAsia="zh-CN"/>
              </w:rPr>
              <w:t>在册人员系数</w:t>
            </w:r>
          </w:p>
        </w:tc>
        <w:tc>
          <w:tcPr>
            <w:tcW w:w="833" w:type="pct"/>
            <w:vMerge w:val="restart"/>
            <w:vAlign w:val="center"/>
          </w:tcPr>
          <w:p w14:paraId="6C3CCA30">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Theme="minorEastAsia" w:hAnsiTheme="minorEastAsia" w:eastAsiaTheme="minorEastAsia" w:cstheme="minorEastAsia"/>
                <w:b/>
                <w:bCs/>
                <w:color w:val="auto"/>
                <w:sz w:val="21"/>
                <w:szCs w:val="21"/>
                <w:vertAlign w:val="baseline"/>
                <w:lang w:val="en-US" w:eastAsia="zh-CN"/>
              </w:rPr>
            </w:pPr>
            <w:r>
              <w:rPr>
                <w:rFonts w:hint="eastAsia" w:asciiTheme="minorEastAsia" w:hAnsiTheme="minorEastAsia" w:eastAsiaTheme="minorEastAsia" w:cstheme="minorEastAsia"/>
                <w:b/>
                <w:bCs/>
                <w:color w:val="auto"/>
                <w:sz w:val="21"/>
                <w:szCs w:val="21"/>
                <w:vertAlign w:val="baseline"/>
                <w:lang w:val="en-US" w:eastAsia="zh-CN"/>
              </w:rPr>
              <w:t>在册人员总数</w:t>
            </w:r>
          </w:p>
        </w:tc>
      </w:tr>
      <w:tr w14:paraId="22624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 w:type="pct"/>
            <w:vMerge w:val="continue"/>
            <w:vAlign w:val="center"/>
          </w:tcPr>
          <w:p w14:paraId="10C2D13C">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Theme="minorEastAsia" w:hAnsiTheme="minorEastAsia" w:eastAsiaTheme="minorEastAsia" w:cstheme="minorEastAsia"/>
                <w:color w:val="auto"/>
                <w:sz w:val="21"/>
                <w:szCs w:val="21"/>
                <w:vertAlign w:val="baseline"/>
                <w:lang w:val="en-US" w:eastAsia="zh-CN"/>
              </w:rPr>
            </w:pPr>
          </w:p>
        </w:tc>
        <w:tc>
          <w:tcPr>
            <w:tcW w:w="1250" w:type="pct"/>
            <w:vMerge w:val="continue"/>
            <w:vAlign w:val="center"/>
          </w:tcPr>
          <w:p w14:paraId="3CEB02A6">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textAlignment w:val="auto"/>
              <w:outlineLvl w:val="9"/>
              <w:rPr>
                <w:rFonts w:hint="eastAsia" w:asciiTheme="minorEastAsia" w:hAnsiTheme="minorEastAsia" w:eastAsiaTheme="minorEastAsia" w:cstheme="minorEastAsia"/>
                <w:color w:val="auto"/>
                <w:sz w:val="21"/>
                <w:szCs w:val="21"/>
                <w:vertAlign w:val="baseline"/>
                <w:lang w:val="en-US" w:eastAsia="zh-CN"/>
              </w:rPr>
            </w:pPr>
          </w:p>
        </w:tc>
        <w:tc>
          <w:tcPr>
            <w:tcW w:w="833" w:type="pct"/>
            <w:vAlign w:val="center"/>
          </w:tcPr>
          <w:p w14:paraId="3763802C">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Theme="minorEastAsia" w:hAnsiTheme="minorEastAsia" w:eastAsiaTheme="minorEastAsia" w:cstheme="minorEastAsia"/>
                <w:b/>
                <w:bCs/>
                <w:color w:val="auto"/>
                <w:sz w:val="21"/>
                <w:szCs w:val="21"/>
                <w:vertAlign w:val="baseline"/>
                <w:lang w:val="en-US" w:eastAsia="zh-CN"/>
              </w:rPr>
            </w:pPr>
            <w:r>
              <w:rPr>
                <w:rFonts w:hint="eastAsia" w:asciiTheme="minorEastAsia" w:hAnsiTheme="minorEastAsia" w:eastAsiaTheme="minorEastAsia" w:cstheme="minorEastAsia"/>
                <w:b/>
                <w:bCs/>
                <w:color w:val="auto"/>
                <w:sz w:val="21"/>
                <w:szCs w:val="21"/>
                <w:vertAlign w:val="baseline"/>
                <w:lang w:val="en-US" w:eastAsia="zh-CN"/>
              </w:rPr>
              <w:t>一班</w:t>
            </w:r>
          </w:p>
        </w:tc>
        <w:tc>
          <w:tcPr>
            <w:tcW w:w="833" w:type="pct"/>
            <w:vAlign w:val="center"/>
          </w:tcPr>
          <w:p w14:paraId="34A9A5AD">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Theme="minorEastAsia" w:hAnsiTheme="minorEastAsia" w:eastAsiaTheme="minorEastAsia" w:cstheme="minorEastAsia"/>
                <w:b/>
                <w:bCs/>
                <w:color w:val="auto"/>
                <w:sz w:val="21"/>
                <w:szCs w:val="21"/>
                <w:vertAlign w:val="baseline"/>
                <w:lang w:val="en-US" w:eastAsia="zh-CN"/>
              </w:rPr>
            </w:pPr>
            <w:r>
              <w:rPr>
                <w:rFonts w:hint="eastAsia" w:asciiTheme="minorEastAsia" w:hAnsiTheme="minorEastAsia" w:eastAsiaTheme="minorEastAsia" w:cstheme="minorEastAsia"/>
                <w:b/>
                <w:bCs/>
                <w:color w:val="auto"/>
                <w:sz w:val="21"/>
                <w:szCs w:val="21"/>
                <w:vertAlign w:val="baseline"/>
                <w:lang w:val="en-US" w:eastAsia="zh-CN"/>
              </w:rPr>
              <w:t>二班</w:t>
            </w:r>
          </w:p>
        </w:tc>
        <w:tc>
          <w:tcPr>
            <w:tcW w:w="833" w:type="pct"/>
            <w:vMerge w:val="continue"/>
            <w:vAlign w:val="center"/>
          </w:tcPr>
          <w:p w14:paraId="311F982A">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textAlignment w:val="auto"/>
              <w:outlineLvl w:val="9"/>
              <w:rPr>
                <w:rFonts w:hint="eastAsia" w:asciiTheme="minorEastAsia" w:hAnsiTheme="minorEastAsia" w:eastAsiaTheme="minorEastAsia" w:cstheme="minorEastAsia"/>
                <w:color w:val="auto"/>
                <w:sz w:val="21"/>
                <w:szCs w:val="21"/>
                <w:vertAlign w:val="baseline"/>
                <w:lang w:val="en-US" w:eastAsia="zh-CN"/>
              </w:rPr>
            </w:pPr>
          </w:p>
        </w:tc>
        <w:tc>
          <w:tcPr>
            <w:tcW w:w="833" w:type="pct"/>
            <w:vMerge w:val="continue"/>
            <w:vAlign w:val="center"/>
          </w:tcPr>
          <w:p w14:paraId="1DB92CC8">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textAlignment w:val="auto"/>
              <w:outlineLvl w:val="9"/>
              <w:rPr>
                <w:rFonts w:hint="eastAsia" w:asciiTheme="minorEastAsia" w:hAnsiTheme="minorEastAsia" w:eastAsiaTheme="minorEastAsia" w:cstheme="minorEastAsia"/>
                <w:color w:val="auto"/>
                <w:sz w:val="21"/>
                <w:szCs w:val="21"/>
                <w:vertAlign w:val="baseline"/>
                <w:lang w:val="en-US" w:eastAsia="zh-CN"/>
              </w:rPr>
            </w:pPr>
          </w:p>
        </w:tc>
      </w:tr>
      <w:tr w14:paraId="3C11A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 w:type="pct"/>
            <w:vAlign w:val="center"/>
          </w:tcPr>
          <w:p w14:paraId="41A2A9D1">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1</w:t>
            </w:r>
          </w:p>
        </w:tc>
        <w:tc>
          <w:tcPr>
            <w:tcW w:w="1250" w:type="pct"/>
            <w:vAlign w:val="center"/>
          </w:tcPr>
          <w:p w14:paraId="0E36AAFC">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生产部门</w:t>
            </w:r>
          </w:p>
        </w:tc>
        <w:tc>
          <w:tcPr>
            <w:tcW w:w="833" w:type="pct"/>
            <w:vAlign w:val="center"/>
          </w:tcPr>
          <w:p w14:paraId="1C165605">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Theme="minorEastAsia" w:hAnsiTheme="minorEastAsia" w:eastAsiaTheme="minorEastAsia" w:cstheme="minorEastAsia"/>
                <w:color w:val="auto"/>
                <w:sz w:val="21"/>
                <w:szCs w:val="21"/>
                <w:vertAlign w:val="baseline"/>
                <w:lang w:val="en-US" w:eastAsia="zh-CN"/>
              </w:rPr>
            </w:pPr>
          </w:p>
        </w:tc>
        <w:tc>
          <w:tcPr>
            <w:tcW w:w="833" w:type="pct"/>
            <w:vAlign w:val="center"/>
          </w:tcPr>
          <w:p w14:paraId="32406EB2">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Theme="minorEastAsia" w:hAnsiTheme="minorEastAsia" w:eastAsiaTheme="minorEastAsia" w:cstheme="minorEastAsia"/>
                <w:color w:val="auto"/>
                <w:sz w:val="21"/>
                <w:szCs w:val="21"/>
                <w:vertAlign w:val="baseline"/>
                <w:lang w:val="en-US" w:eastAsia="zh-CN"/>
              </w:rPr>
            </w:pPr>
          </w:p>
        </w:tc>
        <w:tc>
          <w:tcPr>
            <w:tcW w:w="833" w:type="pct"/>
            <w:vAlign w:val="center"/>
          </w:tcPr>
          <w:p w14:paraId="6FB26282">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Theme="minorEastAsia" w:hAnsiTheme="minorEastAsia" w:eastAsiaTheme="minorEastAsia" w:cstheme="minorEastAsia"/>
                <w:color w:val="auto"/>
                <w:sz w:val="21"/>
                <w:szCs w:val="21"/>
                <w:vertAlign w:val="baseline"/>
                <w:lang w:val="en-US" w:eastAsia="zh-CN"/>
              </w:rPr>
            </w:pPr>
          </w:p>
        </w:tc>
        <w:tc>
          <w:tcPr>
            <w:tcW w:w="833" w:type="pct"/>
            <w:vAlign w:val="center"/>
          </w:tcPr>
          <w:p w14:paraId="567CF260">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Theme="minorEastAsia" w:hAnsiTheme="minorEastAsia" w:eastAsiaTheme="minorEastAsia" w:cstheme="minorEastAsia"/>
                <w:color w:val="auto"/>
                <w:sz w:val="21"/>
                <w:szCs w:val="21"/>
                <w:vertAlign w:val="baseline"/>
                <w:lang w:val="en-US" w:eastAsia="zh-CN"/>
              </w:rPr>
            </w:pPr>
          </w:p>
        </w:tc>
      </w:tr>
      <w:tr w14:paraId="5A210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 w:type="pct"/>
            <w:vAlign w:val="center"/>
          </w:tcPr>
          <w:p w14:paraId="5D66E67C">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Theme="minorEastAsia" w:hAnsiTheme="minorEastAsia" w:eastAsiaTheme="minorEastAsia" w:cstheme="minorEastAsia"/>
                <w:color w:val="auto"/>
                <w:sz w:val="21"/>
                <w:szCs w:val="21"/>
                <w:vertAlign w:val="baseline"/>
                <w:lang w:val="en-US" w:eastAsia="zh-CN"/>
              </w:rPr>
            </w:pPr>
          </w:p>
        </w:tc>
        <w:tc>
          <w:tcPr>
            <w:tcW w:w="1250" w:type="pct"/>
            <w:vAlign w:val="center"/>
          </w:tcPr>
          <w:p w14:paraId="5285047A">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掘进工</w:t>
            </w:r>
          </w:p>
        </w:tc>
        <w:tc>
          <w:tcPr>
            <w:tcW w:w="833" w:type="pct"/>
            <w:vAlign w:val="center"/>
          </w:tcPr>
          <w:p w14:paraId="40B88635">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6</w:t>
            </w:r>
          </w:p>
        </w:tc>
        <w:tc>
          <w:tcPr>
            <w:tcW w:w="833" w:type="pct"/>
            <w:vAlign w:val="center"/>
          </w:tcPr>
          <w:p w14:paraId="7D34D948">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6</w:t>
            </w:r>
          </w:p>
        </w:tc>
        <w:tc>
          <w:tcPr>
            <w:tcW w:w="833" w:type="pct"/>
            <w:vAlign w:val="center"/>
          </w:tcPr>
          <w:p w14:paraId="1900145D">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1</w:t>
            </w:r>
          </w:p>
        </w:tc>
        <w:tc>
          <w:tcPr>
            <w:tcW w:w="833" w:type="pct"/>
            <w:vAlign w:val="center"/>
          </w:tcPr>
          <w:p w14:paraId="5F4B48F0">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12</w:t>
            </w:r>
          </w:p>
        </w:tc>
      </w:tr>
      <w:tr w14:paraId="3959E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 w:type="pct"/>
            <w:vAlign w:val="center"/>
          </w:tcPr>
          <w:p w14:paraId="0B14946E">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Theme="minorEastAsia" w:hAnsiTheme="minorEastAsia" w:eastAsiaTheme="minorEastAsia" w:cstheme="minorEastAsia"/>
                <w:color w:val="auto"/>
                <w:sz w:val="21"/>
                <w:szCs w:val="21"/>
                <w:vertAlign w:val="baseline"/>
                <w:lang w:val="en-US" w:eastAsia="zh-CN"/>
              </w:rPr>
            </w:pPr>
          </w:p>
        </w:tc>
        <w:tc>
          <w:tcPr>
            <w:tcW w:w="1250" w:type="pct"/>
            <w:vAlign w:val="center"/>
          </w:tcPr>
          <w:p w14:paraId="6E53C56E">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回采工</w:t>
            </w:r>
          </w:p>
        </w:tc>
        <w:tc>
          <w:tcPr>
            <w:tcW w:w="833" w:type="pct"/>
            <w:vAlign w:val="center"/>
          </w:tcPr>
          <w:p w14:paraId="6EEB7542">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8</w:t>
            </w:r>
          </w:p>
        </w:tc>
        <w:tc>
          <w:tcPr>
            <w:tcW w:w="833" w:type="pct"/>
            <w:vAlign w:val="center"/>
          </w:tcPr>
          <w:p w14:paraId="10CFE95F">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8</w:t>
            </w:r>
          </w:p>
        </w:tc>
        <w:tc>
          <w:tcPr>
            <w:tcW w:w="833" w:type="pct"/>
            <w:vAlign w:val="center"/>
          </w:tcPr>
          <w:p w14:paraId="15191B6D">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1</w:t>
            </w:r>
          </w:p>
        </w:tc>
        <w:tc>
          <w:tcPr>
            <w:tcW w:w="833" w:type="pct"/>
            <w:vAlign w:val="center"/>
          </w:tcPr>
          <w:p w14:paraId="2F3B78FA">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16</w:t>
            </w:r>
          </w:p>
        </w:tc>
      </w:tr>
      <w:tr w14:paraId="20382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 w:type="pct"/>
            <w:vAlign w:val="center"/>
          </w:tcPr>
          <w:p w14:paraId="05BC2590">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Theme="minorEastAsia" w:hAnsiTheme="minorEastAsia" w:eastAsiaTheme="minorEastAsia" w:cstheme="minorEastAsia"/>
                <w:color w:val="auto"/>
                <w:sz w:val="21"/>
                <w:szCs w:val="21"/>
                <w:vertAlign w:val="baseline"/>
                <w:lang w:val="en-US" w:eastAsia="zh-CN"/>
              </w:rPr>
            </w:pPr>
          </w:p>
        </w:tc>
        <w:tc>
          <w:tcPr>
            <w:tcW w:w="1250" w:type="pct"/>
            <w:vAlign w:val="center"/>
          </w:tcPr>
          <w:p w14:paraId="2D867467">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出渣、出矿工</w:t>
            </w:r>
          </w:p>
        </w:tc>
        <w:tc>
          <w:tcPr>
            <w:tcW w:w="833" w:type="pct"/>
            <w:vAlign w:val="center"/>
          </w:tcPr>
          <w:p w14:paraId="777C3956">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3</w:t>
            </w:r>
          </w:p>
        </w:tc>
        <w:tc>
          <w:tcPr>
            <w:tcW w:w="833" w:type="pct"/>
            <w:vAlign w:val="center"/>
          </w:tcPr>
          <w:p w14:paraId="664E50FF">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3</w:t>
            </w:r>
          </w:p>
        </w:tc>
        <w:tc>
          <w:tcPr>
            <w:tcW w:w="833" w:type="pct"/>
            <w:vAlign w:val="center"/>
          </w:tcPr>
          <w:p w14:paraId="557AEE58">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1</w:t>
            </w:r>
          </w:p>
        </w:tc>
        <w:tc>
          <w:tcPr>
            <w:tcW w:w="833" w:type="pct"/>
            <w:vAlign w:val="center"/>
          </w:tcPr>
          <w:p w14:paraId="1A2C2BD2">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6</w:t>
            </w:r>
          </w:p>
        </w:tc>
      </w:tr>
      <w:tr w14:paraId="330D6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 w:type="pct"/>
            <w:vAlign w:val="center"/>
          </w:tcPr>
          <w:p w14:paraId="51173EAD">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Theme="minorEastAsia" w:hAnsiTheme="minorEastAsia" w:eastAsiaTheme="minorEastAsia" w:cstheme="minorEastAsia"/>
                <w:color w:val="auto"/>
                <w:sz w:val="21"/>
                <w:szCs w:val="21"/>
                <w:vertAlign w:val="baseline"/>
                <w:lang w:val="en-US" w:eastAsia="zh-CN"/>
              </w:rPr>
            </w:pPr>
          </w:p>
        </w:tc>
        <w:tc>
          <w:tcPr>
            <w:tcW w:w="1250" w:type="pct"/>
            <w:vAlign w:val="center"/>
          </w:tcPr>
          <w:p w14:paraId="2FEB0A7F">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机动车司机</w:t>
            </w:r>
          </w:p>
        </w:tc>
        <w:tc>
          <w:tcPr>
            <w:tcW w:w="833" w:type="pct"/>
            <w:vAlign w:val="center"/>
          </w:tcPr>
          <w:p w14:paraId="19D842A4">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4</w:t>
            </w:r>
          </w:p>
        </w:tc>
        <w:tc>
          <w:tcPr>
            <w:tcW w:w="833" w:type="pct"/>
            <w:vAlign w:val="center"/>
          </w:tcPr>
          <w:p w14:paraId="2724BA62">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4</w:t>
            </w:r>
          </w:p>
        </w:tc>
        <w:tc>
          <w:tcPr>
            <w:tcW w:w="833" w:type="pct"/>
            <w:vAlign w:val="center"/>
          </w:tcPr>
          <w:p w14:paraId="08C24ADE">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1</w:t>
            </w:r>
          </w:p>
        </w:tc>
        <w:tc>
          <w:tcPr>
            <w:tcW w:w="833" w:type="pct"/>
            <w:vAlign w:val="center"/>
          </w:tcPr>
          <w:p w14:paraId="69F5303E">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8</w:t>
            </w:r>
          </w:p>
        </w:tc>
      </w:tr>
      <w:tr w14:paraId="3A8AC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 w:type="pct"/>
            <w:vAlign w:val="center"/>
          </w:tcPr>
          <w:p w14:paraId="75AEB2CA">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Theme="minorEastAsia" w:hAnsiTheme="minorEastAsia" w:eastAsiaTheme="minorEastAsia" w:cstheme="minorEastAsia"/>
                <w:color w:val="auto"/>
                <w:sz w:val="21"/>
                <w:szCs w:val="21"/>
                <w:vertAlign w:val="baseline"/>
                <w:lang w:val="en-US" w:eastAsia="zh-CN"/>
              </w:rPr>
            </w:pPr>
          </w:p>
        </w:tc>
        <w:tc>
          <w:tcPr>
            <w:tcW w:w="1250" w:type="pct"/>
            <w:vAlign w:val="center"/>
          </w:tcPr>
          <w:p w14:paraId="3D324A25">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通风、维修工</w:t>
            </w:r>
          </w:p>
        </w:tc>
        <w:tc>
          <w:tcPr>
            <w:tcW w:w="833" w:type="pct"/>
            <w:vAlign w:val="center"/>
          </w:tcPr>
          <w:p w14:paraId="7C3FD888">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2</w:t>
            </w:r>
          </w:p>
        </w:tc>
        <w:tc>
          <w:tcPr>
            <w:tcW w:w="833" w:type="pct"/>
            <w:vAlign w:val="center"/>
          </w:tcPr>
          <w:p w14:paraId="5CF0AE5F">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2</w:t>
            </w:r>
          </w:p>
        </w:tc>
        <w:tc>
          <w:tcPr>
            <w:tcW w:w="833" w:type="pct"/>
            <w:vAlign w:val="center"/>
          </w:tcPr>
          <w:p w14:paraId="19EC0EB7">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1</w:t>
            </w:r>
          </w:p>
        </w:tc>
        <w:tc>
          <w:tcPr>
            <w:tcW w:w="833" w:type="pct"/>
            <w:vAlign w:val="center"/>
          </w:tcPr>
          <w:p w14:paraId="2E6DB5F8">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4</w:t>
            </w:r>
          </w:p>
        </w:tc>
      </w:tr>
      <w:tr w14:paraId="24151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 w:type="pct"/>
            <w:vAlign w:val="center"/>
          </w:tcPr>
          <w:p w14:paraId="57DD63F5">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Theme="minorEastAsia" w:hAnsiTheme="minorEastAsia" w:eastAsiaTheme="minorEastAsia" w:cstheme="minorEastAsia"/>
                <w:color w:val="auto"/>
                <w:sz w:val="21"/>
                <w:szCs w:val="21"/>
                <w:vertAlign w:val="baseline"/>
                <w:lang w:val="en-US" w:eastAsia="zh-CN"/>
              </w:rPr>
            </w:pPr>
          </w:p>
        </w:tc>
        <w:tc>
          <w:tcPr>
            <w:tcW w:w="1250" w:type="pct"/>
            <w:vAlign w:val="center"/>
          </w:tcPr>
          <w:p w14:paraId="23E01686">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小计</w:t>
            </w:r>
          </w:p>
        </w:tc>
        <w:tc>
          <w:tcPr>
            <w:tcW w:w="833" w:type="pct"/>
            <w:vAlign w:val="center"/>
          </w:tcPr>
          <w:p w14:paraId="164E79D7">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23</w:t>
            </w:r>
          </w:p>
        </w:tc>
        <w:tc>
          <w:tcPr>
            <w:tcW w:w="833" w:type="pct"/>
            <w:vAlign w:val="center"/>
          </w:tcPr>
          <w:p w14:paraId="78D20FC1">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23</w:t>
            </w:r>
          </w:p>
        </w:tc>
        <w:tc>
          <w:tcPr>
            <w:tcW w:w="833" w:type="pct"/>
            <w:vAlign w:val="center"/>
          </w:tcPr>
          <w:p w14:paraId="06A8BE27">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heme="minorEastAsia" w:hAnsiTheme="minorEastAsia" w:eastAsiaTheme="minorEastAsia" w:cstheme="minorEastAsia"/>
                <w:color w:val="auto"/>
                <w:sz w:val="21"/>
                <w:szCs w:val="21"/>
                <w:vertAlign w:val="baseline"/>
                <w:lang w:val="en-US" w:eastAsia="zh-CN"/>
              </w:rPr>
            </w:pPr>
          </w:p>
        </w:tc>
        <w:tc>
          <w:tcPr>
            <w:tcW w:w="833" w:type="pct"/>
            <w:vAlign w:val="center"/>
          </w:tcPr>
          <w:p w14:paraId="4681C5A3">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46</w:t>
            </w:r>
          </w:p>
        </w:tc>
      </w:tr>
      <w:tr w14:paraId="1EB1C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 w:type="pct"/>
            <w:vAlign w:val="center"/>
          </w:tcPr>
          <w:p w14:paraId="12023464">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2</w:t>
            </w:r>
          </w:p>
        </w:tc>
        <w:tc>
          <w:tcPr>
            <w:tcW w:w="1250" w:type="pct"/>
            <w:vAlign w:val="center"/>
          </w:tcPr>
          <w:p w14:paraId="4AF30FE5">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辅助工作人员</w:t>
            </w:r>
          </w:p>
        </w:tc>
        <w:tc>
          <w:tcPr>
            <w:tcW w:w="833" w:type="pct"/>
            <w:vAlign w:val="center"/>
          </w:tcPr>
          <w:p w14:paraId="13C4130F">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Theme="minorEastAsia" w:hAnsiTheme="minorEastAsia" w:eastAsiaTheme="minorEastAsia" w:cstheme="minorEastAsia"/>
                <w:color w:val="auto"/>
                <w:sz w:val="21"/>
                <w:szCs w:val="21"/>
                <w:vertAlign w:val="baseline"/>
                <w:lang w:val="en-US" w:eastAsia="zh-CN"/>
              </w:rPr>
            </w:pPr>
          </w:p>
        </w:tc>
        <w:tc>
          <w:tcPr>
            <w:tcW w:w="833" w:type="pct"/>
            <w:vAlign w:val="center"/>
          </w:tcPr>
          <w:p w14:paraId="7B15C236">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Theme="minorEastAsia" w:hAnsiTheme="minorEastAsia" w:eastAsiaTheme="minorEastAsia" w:cstheme="minorEastAsia"/>
                <w:color w:val="auto"/>
                <w:sz w:val="21"/>
                <w:szCs w:val="21"/>
                <w:vertAlign w:val="baseline"/>
                <w:lang w:val="en-US" w:eastAsia="zh-CN"/>
              </w:rPr>
            </w:pPr>
          </w:p>
        </w:tc>
        <w:tc>
          <w:tcPr>
            <w:tcW w:w="833" w:type="pct"/>
            <w:vAlign w:val="center"/>
          </w:tcPr>
          <w:p w14:paraId="18DC5B2D">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Theme="minorEastAsia" w:hAnsiTheme="minorEastAsia" w:eastAsiaTheme="minorEastAsia" w:cstheme="minorEastAsia"/>
                <w:color w:val="auto"/>
                <w:sz w:val="21"/>
                <w:szCs w:val="21"/>
                <w:vertAlign w:val="baseline"/>
                <w:lang w:val="en-US" w:eastAsia="zh-CN"/>
              </w:rPr>
            </w:pPr>
          </w:p>
        </w:tc>
        <w:tc>
          <w:tcPr>
            <w:tcW w:w="833" w:type="pct"/>
            <w:vAlign w:val="center"/>
          </w:tcPr>
          <w:p w14:paraId="06FC4E3F">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Theme="minorEastAsia" w:hAnsiTheme="minorEastAsia" w:eastAsiaTheme="minorEastAsia" w:cstheme="minorEastAsia"/>
                <w:color w:val="auto"/>
                <w:sz w:val="21"/>
                <w:szCs w:val="21"/>
                <w:vertAlign w:val="baseline"/>
                <w:lang w:val="en-US" w:eastAsia="zh-CN"/>
              </w:rPr>
            </w:pPr>
          </w:p>
        </w:tc>
      </w:tr>
      <w:tr w14:paraId="2837A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 w:type="pct"/>
            <w:vAlign w:val="center"/>
          </w:tcPr>
          <w:p w14:paraId="191EB2A9">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Theme="minorEastAsia" w:hAnsiTheme="minorEastAsia" w:eastAsiaTheme="minorEastAsia" w:cstheme="minorEastAsia"/>
                <w:color w:val="auto"/>
                <w:sz w:val="21"/>
                <w:szCs w:val="21"/>
                <w:vertAlign w:val="baseline"/>
                <w:lang w:val="en-US" w:eastAsia="zh-CN"/>
              </w:rPr>
            </w:pPr>
          </w:p>
        </w:tc>
        <w:tc>
          <w:tcPr>
            <w:tcW w:w="1250" w:type="pct"/>
            <w:vAlign w:val="center"/>
          </w:tcPr>
          <w:p w14:paraId="44EEF8E2">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支护、杂勤工</w:t>
            </w:r>
          </w:p>
        </w:tc>
        <w:tc>
          <w:tcPr>
            <w:tcW w:w="833" w:type="pct"/>
            <w:vAlign w:val="center"/>
          </w:tcPr>
          <w:p w14:paraId="732112FE">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3</w:t>
            </w:r>
          </w:p>
        </w:tc>
        <w:tc>
          <w:tcPr>
            <w:tcW w:w="833" w:type="pct"/>
            <w:vAlign w:val="center"/>
          </w:tcPr>
          <w:p w14:paraId="69C41CE7">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3</w:t>
            </w:r>
          </w:p>
        </w:tc>
        <w:tc>
          <w:tcPr>
            <w:tcW w:w="833" w:type="pct"/>
            <w:vAlign w:val="center"/>
          </w:tcPr>
          <w:p w14:paraId="2B4F88AA">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1</w:t>
            </w:r>
          </w:p>
        </w:tc>
        <w:tc>
          <w:tcPr>
            <w:tcW w:w="833" w:type="pct"/>
            <w:vAlign w:val="center"/>
          </w:tcPr>
          <w:p w14:paraId="692791A1">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6</w:t>
            </w:r>
          </w:p>
        </w:tc>
      </w:tr>
      <w:tr w14:paraId="18FDF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 w:type="pct"/>
            <w:vAlign w:val="center"/>
          </w:tcPr>
          <w:p w14:paraId="7EC6E6A3">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Theme="minorEastAsia" w:hAnsiTheme="minorEastAsia" w:eastAsiaTheme="minorEastAsia" w:cstheme="minorEastAsia"/>
                <w:color w:val="auto"/>
                <w:sz w:val="21"/>
                <w:szCs w:val="21"/>
                <w:vertAlign w:val="baseline"/>
                <w:lang w:val="en-US" w:eastAsia="zh-CN"/>
              </w:rPr>
            </w:pPr>
          </w:p>
        </w:tc>
        <w:tc>
          <w:tcPr>
            <w:tcW w:w="1250" w:type="pct"/>
            <w:vAlign w:val="center"/>
          </w:tcPr>
          <w:p w14:paraId="78712FB1">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空压机站</w:t>
            </w:r>
          </w:p>
        </w:tc>
        <w:tc>
          <w:tcPr>
            <w:tcW w:w="833" w:type="pct"/>
            <w:vAlign w:val="center"/>
          </w:tcPr>
          <w:p w14:paraId="7E51AC4C">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1</w:t>
            </w:r>
          </w:p>
        </w:tc>
        <w:tc>
          <w:tcPr>
            <w:tcW w:w="833" w:type="pct"/>
            <w:vAlign w:val="center"/>
          </w:tcPr>
          <w:p w14:paraId="52056F8F">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1</w:t>
            </w:r>
          </w:p>
        </w:tc>
        <w:tc>
          <w:tcPr>
            <w:tcW w:w="833" w:type="pct"/>
            <w:vAlign w:val="center"/>
          </w:tcPr>
          <w:p w14:paraId="6D234910">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1</w:t>
            </w:r>
          </w:p>
        </w:tc>
        <w:tc>
          <w:tcPr>
            <w:tcW w:w="833" w:type="pct"/>
            <w:vAlign w:val="center"/>
          </w:tcPr>
          <w:p w14:paraId="1933B50F">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2</w:t>
            </w:r>
          </w:p>
        </w:tc>
      </w:tr>
      <w:tr w14:paraId="35A01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 w:type="pct"/>
            <w:vAlign w:val="center"/>
          </w:tcPr>
          <w:p w14:paraId="6599F3D8">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Theme="minorEastAsia" w:hAnsiTheme="minorEastAsia" w:eastAsiaTheme="minorEastAsia" w:cstheme="minorEastAsia"/>
                <w:color w:val="auto"/>
                <w:sz w:val="21"/>
                <w:szCs w:val="21"/>
                <w:vertAlign w:val="baseline"/>
                <w:lang w:val="en-US" w:eastAsia="zh-CN"/>
              </w:rPr>
            </w:pPr>
          </w:p>
        </w:tc>
        <w:tc>
          <w:tcPr>
            <w:tcW w:w="1250" w:type="pct"/>
            <w:vAlign w:val="center"/>
          </w:tcPr>
          <w:p w14:paraId="5ADF5447">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电工</w:t>
            </w:r>
          </w:p>
        </w:tc>
        <w:tc>
          <w:tcPr>
            <w:tcW w:w="833" w:type="pct"/>
            <w:vAlign w:val="center"/>
          </w:tcPr>
          <w:p w14:paraId="17DBFCF0">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3</w:t>
            </w:r>
          </w:p>
        </w:tc>
        <w:tc>
          <w:tcPr>
            <w:tcW w:w="833" w:type="pct"/>
            <w:vAlign w:val="center"/>
          </w:tcPr>
          <w:p w14:paraId="25C7FB81">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3</w:t>
            </w:r>
          </w:p>
        </w:tc>
        <w:tc>
          <w:tcPr>
            <w:tcW w:w="833" w:type="pct"/>
            <w:vAlign w:val="center"/>
          </w:tcPr>
          <w:p w14:paraId="056B0EB1">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1.2</w:t>
            </w:r>
          </w:p>
        </w:tc>
        <w:tc>
          <w:tcPr>
            <w:tcW w:w="833" w:type="pct"/>
            <w:vAlign w:val="center"/>
          </w:tcPr>
          <w:p w14:paraId="0497E8D1">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7</w:t>
            </w:r>
          </w:p>
        </w:tc>
      </w:tr>
      <w:tr w14:paraId="66CD4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 w:type="pct"/>
            <w:vAlign w:val="center"/>
          </w:tcPr>
          <w:p w14:paraId="5375B562">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Theme="minorEastAsia" w:hAnsiTheme="minorEastAsia" w:eastAsiaTheme="minorEastAsia" w:cstheme="minorEastAsia"/>
                <w:color w:val="auto"/>
                <w:sz w:val="21"/>
                <w:szCs w:val="21"/>
                <w:vertAlign w:val="baseline"/>
                <w:lang w:val="en-US" w:eastAsia="zh-CN"/>
              </w:rPr>
            </w:pPr>
          </w:p>
        </w:tc>
        <w:tc>
          <w:tcPr>
            <w:tcW w:w="1250" w:type="pct"/>
            <w:vAlign w:val="center"/>
          </w:tcPr>
          <w:p w14:paraId="220CC9B1">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小计</w:t>
            </w:r>
          </w:p>
        </w:tc>
        <w:tc>
          <w:tcPr>
            <w:tcW w:w="833" w:type="pct"/>
            <w:vAlign w:val="center"/>
          </w:tcPr>
          <w:p w14:paraId="4798D391">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7</w:t>
            </w:r>
          </w:p>
        </w:tc>
        <w:tc>
          <w:tcPr>
            <w:tcW w:w="833" w:type="pct"/>
            <w:vAlign w:val="center"/>
          </w:tcPr>
          <w:p w14:paraId="2AFD2C0E">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7</w:t>
            </w:r>
          </w:p>
        </w:tc>
        <w:tc>
          <w:tcPr>
            <w:tcW w:w="833" w:type="pct"/>
            <w:vAlign w:val="center"/>
          </w:tcPr>
          <w:p w14:paraId="76956455">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Theme="minorEastAsia" w:hAnsiTheme="minorEastAsia" w:eastAsiaTheme="minorEastAsia" w:cstheme="minorEastAsia"/>
                <w:color w:val="auto"/>
                <w:sz w:val="21"/>
                <w:szCs w:val="21"/>
                <w:vertAlign w:val="baseline"/>
                <w:lang w:val="en-US" w:eastAsia="zh-CN"/>
              </w:rPr>
            </w:pPr>
          </w:p>
        </w:tc>
        <w:tc>
          <w:tcPr>
            <w:tcW w:w="833" w:type="pct"/>
            <w:vAlign w:val="center"/>
          </w:tcPr>
          <w:p w14:paraId="2BBE1884">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15</w:t>
            </w:r>
          </w:p>
        </w:tc>
      </w:tr>
      <w:tr w14:paraId="77BB1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 w:type="pct"/>
            <w:vAlign w:val="center"/>
          </w:tcPr>
          <w:p w14:paraId="4121E251">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3</w:t>
            </w:r>
          </w:p>
        </w:tc>
        <w:tc>
          <w:tcPr>
            <w:tcW w:w="1250" w:type="pct"/>
            <w:vAlign w:val="center"/>
          </w:tcPr>
          <w:p w14:paraId="6214194A">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技术、管理人员</w:t>
            </w:r>
          </w:p>
        </w:tc>
        <w:tc>
          <w:tcPr>
            <w:tcW w:w="833" w:type="pct"/>
            <w:vAlign w:val="center"/>
          </w:tcPr>
          <w:p w14:paraId="5A01BD49">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11</w:t>
            </w:r>
          </w:p>
        </w:tc>
        <w:tc>
          <w:tcPr>
            <w:tcW w:w="833" w:type="pct"/>
            <w:vAlign w:val="center"/>
          </w:tcPr>
          <w:p w14:paraId="697B4F4F">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Theme="minorEastAsia" w:hAnsiTheme="minorEastAsia" w:eastAsiaTheme="minorEastAsia" w:cstheme="minorEastAsia"/>
                <w:color w:val="auto"/>
                <w:sz w:val="21"/>
                <w:szCs w:val="21"/>
                <w:vertAlign w:val="baseline"/>
                <w:lang w:val="en-US" w:eastAsia="zh-CN"/>
              </w:rPr>
            </w:pPr>
          </w:p>
        </w:tc>
        <w:tc>
          <w:tcPr>
            <w:tcW w:w="833" w:type="pct"/>
            <w:vAlign w:val="center"/>
          </w:tcPr>
          <w:p w14:paraId="1009B2F4">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Theme="minorEastAsia" w:hAnsiTheme="minorEastAsia" w:eastAsiaTheme="minorEastAsia" w:cstheme="minorEastAsia"/>
                <w:color w:val="auto"/>
                <w:sz w:val="21"/>
                <w:szCs w:val="21"/>
                <w:vertAlign w:val="baseline"/>
                <w:lang w:val="en-US" w:eastAsia="zh-CN"/>
              </w:rPr>
            </w:pPr>
          </w:p>
        </w:tc>
        <w:tc>
          <w:tcPr>
            <w:tcW w:w="833" w:type="pct"/>
            <w:vAlign w:val="center"/>
          </w:tcPr>
          <w:p w14:paraId="6E613D27">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11</w:t>
            </w:r>
          </w:p>
        </w:tc>
      </w:tr>
      <w:tr w14:paraId="5C630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 w:type="pct"/>
            <w:vAlign w:val="center"/>
          </w:tcPr>
          <w:p w14:paraId="24CD85A4">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Theme="minorEastAsia" w:hAnsiTheme="minorEastAsia" w:eastAsiaTheme="minorEastAsia" w:cstheme="minorEastAsia"/>
                <w:color w:val="auto"/>
                <w:sz w:val="21"/>
                <w:szCs w:val="21"/>
                <w:vertAlign w:val="baseline"/>
                <w:lang w:val="en-US" w:eastAsia="zh-CN"/>
              </w:rPr>
            </w:pPr>
          </w:p>
        </w:tc>
        <w:tc>
          <w:tcPr>
            <w:tcW w:w="1250" w:type="pct"/>
            <w:vAlign w:val="center"/>
          </w:tcPr>
          <w:p w14:paraId="5FAE65D7">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合计</w:t>
            </w:r>
          </w:p>
        </w:tc>
        <w:tc>
          <w:tcPr>
            <w:tcW w:w="833" w:type="pct"/>
            <w:vAlign w:val="center"/>
          </w:tcPr>
          <w:p w14:paraId="7A2C0907">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Theme="minorEastAsia" w:hAnsiTheme="minorEastAsia" w:eastAsiaTheme="minorEastAsia" w:cstheme="minorEastAsia"/>
                <w:color w:val="auto"/>
                <w:sz w:val="21"/>
                <w:szCs w:val="21"/>
                <w:vertAlign w:val="baseline"/>
                <w:lang w:val="en-US" w:eastAsia="zh-CN"/>
              </w:rPr>
            </w:pPr>
          </w:p>
        </w:tc>
        <w:tc>
          <w:tcPr>
            <w:tcW w:w="833" w:type="pct"/>
            <w:vAlign w:val="center"/>
          </w:tcPr>
          <w:p w14:paraId="62B5963F">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Theme="minorEastAsia" w:hAnsiTheme="minorEastAsia" w:eastAsiaTheme="minorEastAsia" w:cstheme="minorEastAsia"/>
                <w:color w:val="auto"/>
                <w:sz w:val="21"/>
                <w:szCs w:val="21"/>
                <w:vertAlign w:val="baseline"/>
                <w:lang w:val="en-US" w:eastAsia="zh-CN"/>
              </w:rPr>
            </w:pPr>
          </w:p>
        </w:tc>
        <w:tc>
          <w:tcPr>
            <w:tcW w:w="833" w:type="pct"/>
            <w:vAlign w:val="center"/>
          </w:tcPr>
          <w:p w14:paraId="15749D56">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Theme="minorEastAsia" w:hAnsiTheme="minorEastAsia" w:eastAsiaTheme="minorEastAsia" w:cstheme="minorEastAsia"/>
                <w:color w:val="auto"/>
                <w:sz w:val="21"/>
                <w:szCs w:val="21"/>
                <w:vertAlign w:val="baseline"/>
                <w:lang w:val="en-US" w:eastAsia="zh-CN"/>
              </w:rPr>
            </w:pPr>
          </w:p>
        </w:tc>
        <w:tc>
          <w:tcPr>
            <w:tcW w:w="833" w:type="pct"/>
            <w:vAlign w:val="center"/>
          </w:tcPr>
          <w:p w14:paraId="35DED486">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72</w:t>
            </w:r>
          </w:p>
        </w:tc>
      </w:tr>
    </w:tbl>
    <w:p w14:paraId="718F5C59">
      <w:pPr>
        <w:pStyle w:val="5"/>
        <w:keepNext/>
        <w:keepLines/>
        <w:pageBreakBefore w:val="0"/>
        <w:widowControl w:val="0"/>
        <w:kinsoku/>
        <w:wordWrap/>
        <w:overflowPunct/>
        <w:topLinePunct w:val="0"/>
        <w:autoSpaceDE/>
        <w:autoSpaceDN/>
        <w:bidi w:val="0"/>
        <w:adjustRightInd/>
        <w:snapToGrid/>
        <w:ind w:firstLine="560" w:firstLineChars="200"/>
        <w:textAlignment w:val="auto"/>
        <w:rPr>
          <w:rFonts w:hint="eastAsia"/>
          <w:color w:val="auto"/>
          <w:lang w:val="en-GB" w:eastAsia="zh-CN"/>
        </w:rPr>
      </w:pPr>
      <w:bookmarkStart w:id="91" w:name="_Toc427032770"/>
      <w:r>
        <w:rPr>
          <w:rFonts w:hint="eastAsia"/>
          <w:color w:val="auto"/>
          <w:lang w:val="en-GB" w:eastAsia="zh-CN"/>
        </w:rPr>
        <w:t>2.4.1</w:t>
      </w:r>
      <w:r>
        <w:rPr>
          <w:rFonts w:hint="eastAsia"/>
          <w:color w:val="auto"/>
          <w:lang w:val="en-US" w:eastAsia="zh-CN"/>
        </w:rPr>
        <w:t>2</w:t>
      </w:r>
      <w:r>
        <w:rPr>
          <w:rFonts w:hint="eastAsia"/>
          <w:color w:val="auto"/>
          <w:lang w:val="en-GB" w:eastAsia="zh-CN"/>
        </w:rPr>
        <w:t>.</w:t>
      </w:r>
      <w:r>
        <w:rPr>
          <w:rFonts w:hint="eastAsia"/>
          <w:color w:val="auto"/>
          <w:lang w:val="en-US" w:eastAsia="zh-CN"/>
        </w:rPr>
        <w:t>2</w:t>
      </w:r>
      <w:r>
        <w:rPr>
          <w:rFonts w:hint="eastAsia"/>
          <w:color w:val="auto"/>
          <w:lang w:val="en-GB" w:eastAsia="zh-CN"/>
        </w:rPr>
        <w:t>投资</w:t>
      </w:r>
      <w:bookmarkEnd w:id="91"/>
      <w:r>
        <w:rPr>
          <w:rFonts w:hint="eastAsia"/>
          <w:color w:val="auto"/>
          <w:lang w:val="en-US" w:eastAsia="zh-CN"/>
        </w:rPr>
        <w:t>估算</w:t>
      </w:r>
    </w:p>
    <w:bookmarkEnd w:id="83"/>
    <w:bookmarkEnd w:id="84"/>
    <w:bookmarkEnd w:id="85"/>
    <w:p w14:paraId="5C386343">
      <w:pPr>
        <w:pageBreakBefore w:val="0"/>
        <w:widowControl w:val="0"/>
        <w:kinsoku/>
        <w:wordWrap/>
        <w:overflowPunct/>
        <w:topLinePunct w:val="0"/>
        <w:autoSpaceDE/>
        <w:autoSpaceDN/>
        <w:bidi w:val="0"/>
        <w:adjustRightInd/>
        <w:snapToGrid w:val="0"/>
        <w:spacing w:line="480" w:lineRule="exact"/>
        <w:ind w:firstLine="560" w:firstLineChars="200"/>
        <w:textAlignment w:val="auto"/>
        <w:rPr>
          <w:rFonts w:hint="eastAsia"/>
          <w:color w:val="auto"/>
          <w:lang w:val="en-US" w:eastAsia="zh-CN"/>
        </w:rPr>
      </w:pPr>
      <w:bookmarkStart w:id="92" w:name="_Toc85188015"/>
      <w:bookmarkStart w:id="93" w:name="_Toc225062584"/>
      <w:bookmarkStart w:id="94" w:name="_Toc225062056"/>
      <w:bookmarkStart w:id="95" w:name="_Toc338762967"/>
      <w:bookmarkStart w:id="96" w:name="_Toc85101971"/>
      <w:r>
        <w:rPr>
          <w:color w:val="auto"/>
        </w:rPr>
        <w:t>工程建设投资</w:t>
      </w:r>
      <w:r>
        <w:rPr>
          <w:rFonts w:hint="eastAsia"/>
          <w:color w:val="auto"/>
          <w:lang w:val="en-US" w:eastAsia="zh-CN"/>
        </w:rPr>
        <w:t>4144.72</w:t>
      </w:r>
      <w:r>
        <w:rPr>
          <w:color w:val="auto"/>
        </w:rPr>
        <w:t>万元</w:t>
      </w:r>
      <w:r>
        <w:rPr>
          <w:rFonts w:hint="eastAsia"/>
          <w:color w:val="auto"/>
          <w:lang w:eastAsia="zh-CN"/>
        </w:rPr>
        <w:t>。</w:t>
      </w:r>
      <w:r>
        <w:rPr>
          <w:rFonts w:hint="eastAsia"/>
          <w:color w:val="auto"/>
          <w:lang w:val="en-US" w:eastAsia="zh-CN"/>
        </w:rPr>
        <w:t>构成如下：</w:t>
      </w:r>
    </w:p>
    <w:p w14:paraId="2BD9A411">
      <w:pPr>
        <w:pageBreakBefore w:val="0"/>
        <w:widowControl w:val="0"/>
        <w:kinsoku/>
        <w:wordWrap/>
        <w:overflowPunct/>
        <w:topLinePunct w:val="0"/>
        <w:autoSpaceDE/>
        <w:autoSpaceDN/>
        <w:bidi w:val="0"/>
        <w:adjustRightInd/>
        <w:snapToGrid w:val="0"/>
        <w:spacing w:line="480" w:lineRule="exact"/>
        <w:ind w:firstLine="560" w:firstLineChars="200"/>
        <w:textAlignment w:val="auto"/>
        <w:rPr>
          <w:rFonts w:hint="eastAsia"/>
          <w:color w:val="auto"/>
          <w:lang w:eastAsia="zh-CN"/>
        </w:rPr>
      </w:pPr>
      <w:r>
        <w:rPr>
          <w:rFonts w:hint="eastAsia"/>
          <w:color w:val="auto"/>
          <w:lang w:eastAsia="zh-CN"/>
        </w:rPr>
        <w:t>(</w:t>
      </w:r>
      <w:r>
        <w:rPr>
          <w:rFonts w:hint="eastAsia"/>
          <w:color w:val="auto"/>
          <w:lang w:val="en-US" w:eastAsia="zh-CN"/>
        </w:rPr>
        <w:t>1</w:t>
      </w:r>
      <w:r>
        <w:rPr>
          <w:rFonts w:hint="eastAsia"/>
          <w:color w:val="auto"/>
          <w:lang w:eastAsia="zh-CN"/>
        </w:rPr>
        <w:t>)</w:t>
      </w:r>
      <w:r>
        <w:rPr>
          <w:rFonts w:hint="eastAsia"/>
          <w:color w:val="auto"/>
        </w:rPr>
        <w:t>工程费用3141.67万元，其中采矿工程2267.84万元，矿机工程150.65万元，供配电工程397.08万元，总图工程326.10万元</w:t>
      </w:r>
      <w:r>
        <w:rPr>
          <w:rFonts w:hint="eastAsia"/>
          <w:color w:val="auto"/>
          <w:lang w:eastAsia="zh-CN"/>
        </w:rPr>
        <w:t>；</w:t>
      </w:r>
    </w:p>
    <w:p w14:paraId="241101C4">
      <w:pPr>
        <w:pageBreakBefore w:val="0"/>
        <w:widowControl w:val="0"/>
        <w:kinsoku/>
        <w:wordWrap/>
        <w:overflowPunct/>
        <w:topLinePunct w:val="0"/>
        <w:autoSpaceDE/>
        <w:autoSpaceDN/>
        <w:bidi w:val="0"/>
        <w:adjustRightInd/>
        <w:snapToGrid w:val="0"/>
        <w:spacing w:line="480" w:lineRule="exact"/>
        <w:ind w:firstLine="560" w:firstLineChars="200"/>
        <w:textAlignment w:val="auto"/>
        <w:rPr>
          <w:rFonts w:hint="eastAsia"/>
          <w:color w:val="auto"/>
          <w:lang w:eastAsia="zh-CN"/>
        </w:rPr>
      </w:pPr>
      <w:r>
        <w:rPr>
          <w:rFonts w:hint="eastAsia"/>
          <w:color w:val="auto"/>
          <w:lang w:eastAsia="zh-CN"/>
        </w:rPr>
        <w:t>(2)工程建设其他费用558.97万元。</w:t>
      </w:r>
    </w:p>
    <w:p w14:paraId="47ECD2F7">
      <w:pPr>
        <w:pageBreakBefore w:val="0"/>
        <w:widowControl w:val="0"/>
        <w:kinsoku/>
        <w:wordWrap/>
        <w:overflowPunct/>
        <w:topLinePunct w:val="0"/>
        <w:autoSpaceDE/>
        <w:autoSpaceDN/>
        <w:bidi w:val="0"/>
        <w:adjustRightInd/>
        <w:snapToGrid w:val="0"/>
        <w:spacing w:line="480" w:lineRule="exact"/>
        <w:ind w:firstLine="560" w:firstLineChars="200"/>
        <w:textAlignment w:val="auto"/>
        <w:rPr>
          <w:rFonts w:hint="eastAsia"/>
          <w:color w:val="auto"/>
          <w:lang w:eastAsia="zh-CN"/>
        </w:rPr>
      </w:pPr>
      <w:r>
        <w:rPr>
          <w:rFonts w:hint="eastAsia"/>
          <w:color w:val="auto"/>
          <w:lang w:eastAsia="zh-CN"/>
        </w:rPr>
        <w:t>(3)工程预备费444.08万元。</w:t>
      </w:r>
    </w:p>
    <w:p w14:paraId="7B7ECF8A">
      <w:pPr>
        <w:pageBreakBefore w:val="0"/>
        <w:widowControl w:val="0"/>
        <w:kinsoku/>
        <w:wordWrap/>
        <w:overflowPunct/>
        <w:topLinePunct w:val="0"/>
        <w:autoSpaceDE/>
        <w:autoSpaceDN/>
        <w:bidi w:val="0"/>
        <w:adjustRightInd/>
        <w:snapToGrid w:val="0"/>
        <w:spacing w:line="480" w:lineRule="exact"/>
        <w:ind w:firstLine="560" w:firstLineChars="200"/>
        <w:textAlignment w:val="auto"/>
        <w:rPr>
          <w:rFonts w:hint="default"/>
          <w:color w:val="auto"/>
          <w:lang w:val="en-US" w:eastAsia="zh-CN"/>
        </w:rPr>
      </w:pPr>
      <w:r>
        <w:rPr>
          <w:rFonts w:hint="eastAsia"/>
          <w:color w:val="auto"/>
          <w:lang w:eastAsia="zh-CN"/>
        </w:rPr>
        <w:t>(</w:t>
      </w:r>
      <w:r>
        <w:rPr>
          <w:rFonts w:hint="eastAsia"/>
          <w:color w:val="auto"/>
          <w:lang w:val="en-US" w:eastAsia="zh-CN"/>
        </w:rPr>
        <w:t>4</w:t>
      </w:r>
      <w:r>
        <w:rPr>
          <w:rFonts w:hint="eastAsia"/>
          <w:color w:val="auto"/>
          <w:lang w:eastAsia="zh-CN"/>
        </w:rPr>
        <w:t>)</w:t>
      </w:r>
      <w:r>
        <w:rPr>
          <w:rFonts w:hint="eastAsia"/>
          <w:color w:val="auto"/>
          <w:lang w:val="en-US" w:eastAsia="zh-CN"/>
        </w:rPr>
        <w:t>安全设施投资207.72万元，占建设投资比例的5.01%。</w:t>
      </w:r>
    </w:p>
    <w:p w14:paraId="082F80EA">
      <w:pPr>
        <w:ind w:firstLine="560"/>
        <w:rPr>
          <w:color w:val="auto"/>
        </w:rPr>
      </w:pPr>
      <w:r>
        <w:rPr>
          <w:rFonts w:hint="eastAsia"/>
          <w:color w:val="auto"/>
        </w:rPr>
        <w:br w:type="page"/>
      </w:r>
    </w:p>
    <w:p w14:paraId="7E55E089">
      <w:pPr>
        <w:pStyle w:val="2"/>
        <w:rPr>
          <w:color w:val="auto"/>
        </w:rPr>
      </w:pPr>
      <w:bookmarkStart w:id="97" w:name="_Toc7330"/>
      <w:r>
        <w:rPr>
          <w:rFonts w:hint="eastAsia"/>
          <w:color w:val="auto"/>
        </w:rPr>
        <w:t>3 定性、定量评价</w:t>
      </w:r>
      <w:bookmarkEnd w:id="92"/>
      <w:bookmarkEnd w:id="93"/>
      <w:bookmarkEnd w:id="94"/>
      <w:bookmarkEnd w:id="95"/>
      <w:bookmarkEnd w:id="96"/>
      <w:bookmarkEnd w:id="97"/>
    </w:p>
    <w:p w14:paraId="0F1C2138">
      <w:pPr>
        <w:ind w:firstLine="560"/>
        <w:rPr>
          <w:color w:val="auto"/>
        </w:rPr>
      </w:pPr>
      <w:bookmarkStart w:id="98" w:name="_Toc339375109"/>
      <w:bookmarkStart w:id="99" w:name="_Toc271360620"/>
      <w:bookmarkStart w:id="100" w:name="_Toc339373891"/>
      <w:bookmarkStart w:id="101" w:name="_Toc281565994"/>
      <w:bookmarkStart w:id="102" w:name="_Toc323806749"/>
      <w:bookmarkStart w:id="103" w:name="_Toc281566237"/>
      <w:bookmarkStart w:id="104" w:name="_Toc301536680"/>
      <w:bookmarkStart w:id="105" w:name="_Toc338762969"/>
      <w:r>
        <w:rPr>
          <w:rFonts w:hint="eastAsia"/>
          <w:color w:val="auto"/>
        </w:rPr>
        <w:t>根据有关法律、法规、标准和规范的相关规定，借鉴同类矿山事故经验教训，针对建设项目建设方案(生产工艺、生产流程、作业场所)特点，划分评价单元，对每一单元按所选用的评价方法进行定性、定量分析评价。主要针对</w:t>
      </w:r>
      <w:r>
        <w:rPr>
          <w:color w:val="auto"/>
        </w:rPr>
        <w:t>建设项目潜在的危险、有害因素，</w:t>
      </w:r>
      <w:r>
        <w:rPr>
          <w:rFonts w:hint="eastAsia"/>
          <w:color w:val="auto"/>
        </w:rPr>
        <w:t>分析和预测可能发生事故后果和危险等级；分析评价建设方案的符合性及其合理性，对每一单元进行评价总结。</w:t>
      </w:r>
      <w:bookmarkEnd w:id="98"/>
      <w:bookmarkEnd w:id="99"/>
      <w:bookmarkEnd w:id="100"/>
      <w:bookmarkEnd w:id="101"/>
      <w:bookmarkEnd w:id="102"/>
      <w:bookmarkEnd w:id="103"/>
      <w:bookmarkEnd w:id="104"/>
    </w:p>
    <w:p w14:paraId="6701C027">
      <w:pPr>
        <w:ind w:firstLine="560"/>
        <w:rPr>
          <w:color w:val="auto"/>
        </w:rPr>
      </w:pPr>
      <w:r>
        <w:rPr>
          <w:rFonts w:hint="eastAsia"/>
          <w:color w:val="auto"/>
        </w:rPr>
        <w:t>本次评价共划分以下评价单元：</w:t>
      </w:r>
    </w:p>
    <w:tbl>
      <w:tblPr>
        <w:tblStyle w:val="2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6"/>
        <w:gridCol w:w="3727"/>
        <w:gridCol w:w="4801"/>
      </w:tblGrid>
      <w:tr w14:paraId="2B0C5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6" w:type="pct"/>
          </w:tcPr>
          <w:p w14:paraId="333CFCA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firstLine="0" w:firstLineChars="0"/>
              <w:jc w:val="center"/>
              <w:textAlignment w:val="auto"/>
              <w:rPr>
                <w:rFonts w:hint="eastAsia" w:eastAsia="宋体"/>
                <w:b/>
                <w:bCs/>
                <w:color w:val="auto"/>
                <w:sz w:val="21"/>
                <w:szCs w:val="21"/>
                <w:vertAlign w:val="baseline"/>
                <w:lang w:val="en-US" w:eastAsia="zh-CN"/>
              </w:rPr>
            </w:pPr>
            <w:r>
              <w:rPr>
                <w:rFonts w:hint="eastAsia"/>
                <w:b/>
                <w:bCs/>
                <w:color w:val="auto"/>
                <w:sz w:val="21"/>
                <w:szCs w:val="21"/>
                <w:vertAlign w:val="baseline"/>
                <w:lang w:val="en-US" w:eastAsia="zh-CN"/>
              </w:rPr>
              <w:t>序号</w:t>
            </w:r>
          </w:p>
        </w:tc>
        <w:tc>
          <w:tcPr>
            <w:tcW w:w="1984" w:type="pct"/>
          </w:tcPr>
          <w:p w14:paraId="375A204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eastAsia="宋体"/>
                <w:b/>
                <w:bCs/>
                <w:color w:val="auto"/>
                <w:sz w:val="21"/>
                <w:szCs w:val="21"/>
                <w:vertAlign w:val="baseline"/>
                <w:lang w:val="en-US" w:eastAsia="zh-CN"/>
              </w:rPr>
            </w:pPr>
            <w:r>
              <w:rPr>
                <w:rFonts w:hint="eastAsia"/>
                <w:b/>
                <w:bCs/>
                <w:color w:val="auto"/>
                <w:sz w:val="21"/>
                <w:szCs w:val="21"/>
                <w:vertAlign w:val="baseline"/>
                <w:lang w:val="en-US" w:eastAsia="zh-CN"/>
              </w:rPr>
              <w:t>评价单元</w:t>
            </w:r>
          </w:p>
        </w:tc>
        <w:tc>
          <w:tcPr>
            <w:tcW w:w="2548" w:type="pct"/>
          </w:tcPr>
          <w:p w14:paraId="007E075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eastAsia="宋体"/>
                <w:b/>
                <w:bCs/>
                <w:color w:val="auto"/>
                <w:sz w:val="21"/>
                <w:szCs w:val="21"/>
                <w:vertAlign w:val="baseline"/>
                <w:lang w:val="en-US" w:eastAsia="zh-CN"/>
              </w:rPr>
            </w:pPr>
            <w:r>
              <w:rPr>
                <w:rFonts w:hint="eastAsia"/>
                <w:b/>
                <w:bCs/>
                <w:color w:val="auto"/>
                <w:sz w:val="21"/>
                <w:szCs w:val="21"/>
                <w:vertAlign w:val="baseline"/>
                <w:lang w:val="en-US" w:eastAsia="zh-CN"/>
              </w:rPr>
              <w:t>采用的评价方法</w:t>
            </w:r>
          </w:p>
        </w:tc>
      </w:tr>
      <w:tr w14:paraId="7C385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6" w:type="pct"/>
          </w:tcPr>
          <w:p w14:paraId="373DDD3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eastAsia="宋体"/>
                <w:color w:val="auto"/>
                <w:sz w:val="21"/>
                <w:szCs w:val="21"/>
                <w:vertAlign w:val="baseline"/>
                <w:lang w:val="en-US" w:eastAsia="zh-CN"/>
              </w:rPr>
            </w:pPr>
            <w:r>
              <w:rPr>
                <w:rFonts w:hint="eastAsia"/>
                <w:color w:val="auto"/>
                <w:sz w:val="21"/>
                <w:szCs w:val="21"/>
                <w:vertAlign w:val="baseline"/>
                <w:lang w:val="en-US" w:eastAsia="zh-CN"/>
              </w:rPr>
              <w:t>1</w:t>
            </w:r>
          </w:p>
        </w:tc>
        <w:tc>
          <w:tcPr>
            <w:tcW w:w="1984" w:type="pct"/>
          </w:tcPr>
          <w:p w14:paraId="45B2C93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color w:val="auto"/>
                <w:sz w:val="21"/>
                <w:szCs w:val="21"/>
                <w:vertAlign w:val="baseline"/>
              </w:rPr>
            </w:pPr>
            <w:r>
              <w:rPr>
                <w:rFonts w:hint="eastAsia"/>
                <w:color w:val="auto"/>
                <w:sz w:val="21"/>
                <w:szCs w:val="21"/>
              </w:rPr>
              <w:t>总平面布置单元</w:t>
            </w:r>
          </w:p>
        </w:tc>
        <w:tc>
          <w:tcPr>
            <w:tcW w:w="2548" w:type="pct"/>
          </w:tcPr>
          <w:p w14:paraId="6306AF7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安全检查表</w:t>
            </w:r>
          </w:p>
        </w:tc>
      </w:tr>
      <w:tr w14:paraId="27DB4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6" w:type="pct"/>
          </w:tcPr>
          <w:p w14:paraId="5B40DCC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eastAsia="宋体"/>
                <w:color w:val="auto"/>
                <w:sz w:val="21"/>
                <w:szCs w:val="21"/>
                <w:vertAlign w:val="baseline"/>
                <w:lang w:val="en-US" w:eastAsia="zh-CN"/>
              </w:rPr>
            </w:pPr>
            <w:r>
              <w:rPr>
                <w:rFonts w:hint="eastAsia"/>
                <w:color w:val="auto"/>
                <w:sz w:val="21"/>
                <w:szCs w:val="21"/>
                <w:vertAlign w:val="baseline"/>
                <w:lang w:val="en-US" w:eastAsia="zh-CN"/>
              </w:rPr>
              <w:t>2</w:t>
            </w:r>
          </w:p>
        </w:tc>
        <w:tc>
          <w:tcPr>
            <w:tcW w:w="1984" w:type="pct"/>
          </w:tcPr>
          <w:p w14:paraId="66B2CFF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color w:val="auto"/>
                <w:sz w:val="21"/>
                <w:szCs w:val="21"/>
                <w:vertAlign w:val="baseline"/>
              </w:rPr>
            </w:pPr>
            <w:r>
              <w:rPr>
                <w:rFonts w:hint="eastAsia"/>
                <w:color w:val="auto"/>
                <w:sz w:val="21"/>
                <w:szCs w:val="21"/>
              </w:rPr>
              <w:t>开拓单元</w:t>
            </w:r>
          </w:p>
        </w:tc>
        <w:tc>
          <w:tcPr>
            <w:tcW w:w="2548" w:type="pct"/>
          </w:tcPr>
          <w:p w14:paraId="464F719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color w:val="auto"/>
                <w:sz w:val="21"/>
                <w:szCs w:val="21"/>
                <w:vertAlign w:val="baseline"/>
              </w:rPr>
            </w:pPr>
            <w:r>
              <w:rPr>
                <w:rFonts w:hint="eastAsia"/>
                <w:color w:val="auto"/>
                <w:sz w:val="21"/>
                <w:szCs w:val="21"/>
                <w:vertAlign w:val="baseline"/>
                <w:lang w:val="en-US" w:eastAsia="zh-CN"/>
              </w:rPr>
              <w:t>预先危险性分析、安全检查表</w:t>
            </w:r>
          </w:p>
        </w:tc>
      </w:tr>
      <w:tr w14:paraId="38AC9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6" w:type="pct"/>
          </w:tcPr>
          <w:p w14:paraId="0FAB037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eastAsia="宋体"/>
                <w:color w:val="auto"/>
                <w:sz w:val="21"/>
                <w:szCs w:val="21"/>
                <w:vertAlign w:val="baseline"/>
                <w:lang w:val="en-US" w:eastAsia="zh-CN"/>
              </w:rPr>
            </w:pPr>
            <w:r>
              <w:rPr>
                <w:rFonts w:hint="eastAsia"/>
                <w:color w:val="auto"/>
                <w:sz w:val="21"/>
                <w:szCs w:val="21"/>
                <w:vertAlign w:val="baseline"/>
                <w:lang w:val="en-US" w:eastAsia="zh-CN"/>
              </w:rPr>
              <w:t>3</w:t>
            </w:r>
          </w:p>
        </w:tc>
        <w:tc>
          <w:tcPr>
            <w:tcW w:w="1984" w:type="pct"/>
          </w:tcPr>
          <w:p w14:paraId="2CF28CA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color w:val="auto"/>
                <w:sz w:val="21"/>
                <w:szCs w:val="21"/>
                <w:vertAlign w:val="baseline"/>
              </w:rPr>
            </w:pPr>
            <w:r>
              <w:rPr>
                <w:rFonts w:hint="eastAsia"/>
                <w:color w:val="auto"/>
                <w:sz w:val="21"/>
                <w:szCs w:val="21"/>
              </w:rPr>
              <w:t>运输单元</w:t>
            </w:r>
          </w:p>
        </w:tc>
        <w:tc>
          <w:tcPr>
            <w:tcW w:w="2548" w:type="pct"/>
          </w:tcPr>
          <w:p w14:paraId="6D00A8A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color w:val="auto"/>
                <w:sz w:val="21"/>
                <w:szCs w:val="21"/>
                <w:vertAlign w:val="baseline"/>
              </w:rPr>
            </w:pPr>
            <w:r>
              <w:rPr>
                <w:rFonts w:hint="eastAsia"/>
                <w:color w:val="auto"/>
                <w:sz w:val="21"/>
                <w:szCs w:val="21"/>
                <w:vertAlign w:val="baseline"/>
                <w:lang w:val="en-US" w:eastAsia="zh-CN"/>
              </w:rPr>
              <w:t>预先危险性分析、安全检查表</w:t>
            </w:r>
          </w:p>
        </w:tc>
      </w:tr>
      <w:tr w14:paraId="20CFD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6" w:type="pct"/>
          </w:tcPr>
          <w:p w14:paraId="6A48F1D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eastAsia="宋体"/>
                <w:color w:val="auto"/>
                <w:sz w:val="21"/>
                <w:szCs w:val="21"/>
                <w:vertAlign w:val="baseline"/>
                <w:lang w:val="en-US" w:eastAsia="zh-CN"/>
              </w:rPr>
            </w:pPr>
            <w:r>
              <w:rPr>
                <w:rFonts w:hint="eastAsia"/>
                <w:color w:val="auto"/>
                <w:sz w:val="21"/>
                <w:szCs w:val="21"/>
                <w:vertAlign w:val="baseline"/>
                <w:lang w:val="en-US" w:eastAsia="zh-CN"/>
              </w:rPr>
              <w:t>4</w:t>
            </w:r>
          </w:p>
        </w:tc>
        <w:tc>
          <w:tcPr>
            <w:tcW w:w="1984" w:type="pct"/>
          </w:tcPr>
          <w:p w14:paraId="2F3BCED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color w:val="auto"/>
                <w:sz w:val="21"/>
                <w:szCs w:val="21"/>
                <w:vertAlign w:val="baseline"/>
              </w:rPr>
            </w:pPr>
            <w:r>
              <w:rPr>
                <w:rFonts w:hint="eastAsia"/>
                <w:color w:val="auto"/>
                <w:sz w:val="21"/>
                <w:szCs w:val="21"/>
              </w:rPr>
              <w:t>采掘单元</w:t>
            </w:r>
          </w:p>
        </w:tc>
        <w:tc>
          <w:tcPr>
            <w:tcW w:w="2548" w:type="pct"/>
          </w:tcPr>
          <w:p w14:paraId="1AD55D4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color w:val="auto"/>
                <w:sz w:val="21"/>
                <w:szCs w:val="21"/>
                <w:vertAlign w:val="baseline"/>
              </w:rPr>
            </w:pPr>
            <w:r>
              <w:rPr>
                <w:rFonts w:hint="eastAsia"/>
                <w:color w:val="auto"/>
                <w:sz w:val="21"/>
                <w:szCs w:val="21"/>
                <w:vertAlign w:val="baseline"/>
                <w:lang w:val="en-US" w:eastAsia="zh-CN"/>
              </w:rPr>
              <w:t>预先危险性分析、安全检查表</w:t>
            </w:r>
          </w:p>
        </w:tc>
      </w:tr>
      <w:tr w14:paraId="62E29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6" w:type="pct"/>
          </w:tcPr>
          <w:p w14:paraId="6ECAE4D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eastAsia="宋体"/>
                <w:color w:val="auto"/>
                <w:sz w:val="21"/>
                <w:szCs w:val="21"/>
                <w:vertAlign w:val="baseline"/>
                <w:lang w:val="en-US" w:eastAsia="zh-CN"/>
              </w:rPr>
            </w:pPr>
            <w:r>
              <w:rPr>
                <w:rFonts w:hint="eastAsia"/>
                <w:color w:val="auto"/>
                <w:sz w:val="21"/>
                <w:szCs w:val="21"/>
                <w:vertAlign w:val="baseline"/>
                <w:lang w:val="en-US" w:eastAsia="zh-CN"/>
              </w:rPr>
              <w:t>5</w:t>
            </w:r>
          </w:p>
        </w:tc>
        <w:tc>
          <w:tcPr>
            <w:tcW w:w="1984" w:type="pct"/>
          </w:tcPr>
          <w:p w14:paraId="44C4A67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color w:val="auto"/>
                <w:sz w:val="21"/>
                <w:szCs w:val="21"/>
                <w:vertAlign w:val="baseline"/>
              </w:rPr>
            </w:pPr>
            <w:r>
              <w:rPr>
                <w:rFonts w:hint="eastAsia"/>
                <w:color w:val="auto"/>
                <w:sz w:val="21"/>
                <w:szCs w:val="21"/>
              </w:rPr>
              <w:t>通风单元</w:t>
            </w:r>
          </w:p>
        </w:tc>
        <w:tc>
          <w:tcPr>
            <w:tcW w:w="2548" w:type="pct"/>
          </w:tcPr>
          <w:p w14:paraId="68DCA34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color w:val="auto"/>
                <w:sz w:val="21"/>
                <w:szCs w:val="21"/>
                <w:vertAlign w:val="baseline"/>
              </w:rPr>
            </w:pPr>
            <w:r>
              <w:rPr>
                <w:rFonts w:hint="eastAsia"/>
                <w:color w:val="auto"/>
                <w:sz w:val="21"/>
                <w:szCs w:val="21"/>
                <w:vertAlign w:val="baseline"/>
                <w:lang w:val="en-US" w:eastAsia="zh-CN"/>
              </w:rPr>
              <w:t>预先危险性分析、安全检查表</w:t>
            </w:r>
          </w:p>
        </w:tc>
      </w:tr>
      <w:tr w14:paraId="0F96F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6" w:type="pct"/>
          </w:tcPr>
          <w:p w14:paraId="5E20CFB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eastAsia="宋体"/>
                <w:color w:val="auto"/>
                <w:sz w:val="21"/>
                <w:szCs w:val="21"/>
                <w:vertAlign w:val="baseline"/>
                <w:lang w:val="en-US" w:eastAsia="zh-CN"/>
              </w:rPr>
            </w:pPr>
            <w:r>
              <w:rPr>
                <w:rFonts w:hint="eastAsia"/>
                <w:color w:val="auto"/>
                <w:sz w:val="21"/>
                <w:szCs w:val="21"/>
                <w:vertAlign w:val="baseline"/>
                <w:lang w:val="en-US" w:eastAsia="zh-CN"/>
              </w:rPr>
              <w:t>6</w:t>
            </w:r>
          </w:p>
        </w:tc>
        <w:tc>
          <w:tcPr>
            <w:tcW w:w="1984" w:type="pct"/>
          </w:tcPr>
          <w:p w14:paraId="33C0C5A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color w:val="auto"/>
                <w:sz w:val="21"/>
                <w:szCs w:val="21"/>
                <w:vertAlign w:val="baseline"/>
              </w:rPr>
            </w:pPr>
            <w:r>
              <w:rPr>
                <w:rFonts w:hint="eastAsia"/>
                <w:color w:val="auto"/>
                <w:sz w:val="21"/>
                <w:szCs w:val="21"/>
              </w:rPr>
              <w:t>供配电设施单元</w:t>
            </w:r>
          </w:p>
        </w:tc>
        <w:tc>
          <w:tcPr>
            <w:tcW w:w="2548" w:type="pct"/>
          </w:tcPr>
          <w:p w14:paraId="2CD9E8D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color w:val="auto"/>
                <w:sz w:val="21"/>
                <w:szCs w:val="21"/>
                <w:vertAlign w:val="baseline"/>
              </w:rPr>
            </w:pPr>
            <w:r>
              <w:rPr>
                <w:rFonts w:hint="eastAsia"/>
                <w:color w:val="auto"/>
                <w:sz w:val="21"/>
                <w:szCs w:val="21"/>
                <w:vertAlign w:val="baseline"/>
                <w:lang w:val="en-US" w:eastAsia="zh-CN"/>
              </w:rPr>
              <w:t>预先危险性分析、安全检查表</w:t>
            </w:r>
          </w:p>
        </w:tc>
      </w:tr>
      <w:tr w14:paraId="21707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6" w:type="pct"/>
          </w:tcPr>
          <w:p w14:paraId="215DB97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eastAsia="宋体"/>
                <w:color w:val="auto"/>
                <w:sz w:val="21"/>
                <w:szCs w:val="21"/>
                <w:vertAlign w:val="baseline"/>
                <w:lang w:val="en-US" w:eastAsia="zh-CN"/>
              </w:rPr>
            </w:pPr>
            <w:r>
              <w:rPr>
                <w:rFonts w:hint="eastAsia"/>
                <w:color w:val="auto"/>
                <w:sz w:val="21"/>
                <w:szCs w:val="21"/>
                <w:vertAlign w:val="baseline"/>
                <w:lang w:val="en-US" w:eastAsia="zh-CN"/>
              </w:rPr>
              <w:t>7</w:t>
            </w:r>
          </w:p>
        </w:tc>
        <w:tc>
          <w:tcPr>
            <w:tcW w:w="1984" w:type="pct"/>
          </w:tcPr>
          <w:p w14:paraId="16BF8C6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color w:val="auto"/>
                <w:sz w:val="21"/>
                <w:szCs w:val="21"/>
                <w:vertAlign w:val="baseline"/>
              </w:rPr>
            </w:pPr>
            <w:r>
              <w:rPr>
                <w:rFonts w:hint="eastAsia"/>
                <w:color w:val="auto"/>
                <w:sz w:val="21"/>
                <w:szCs w:val="21"/>
              </w:rPr>
              <w:t>防排水与防灭火单元</w:t>
            </w:r>
          </w:p>
        </w:tc>
        <w:tc>
          <w:tcPr>
            <w:tcW w:w="2548" w:type="pct"/>
          </w:tcPr>
          <w:p w14:paraId="257EE4D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color w:val="auto"/>
                <w:sz w:val="21"/>
                <w:szCs w:val="21"/>
                <w:vertAlign w:val="baseline"/>
              </w:rPr>
            </w:pPr>
            <w:r>
              <w:rPr>
                <w:rFonts w:hint="eastAsia"/>
                <w:color w:val="auto"/>
                <w:sz w:val="21"/>
                <w:szCs w:val="21"/>
                <w:vertAlign w:val="baseline"/>
                <w:lang w:val="en-US" w:eastAsia="zh-CN"/>
              </w:rPr>
              <w:t>预先危险性分析、安全检查表</w:t>
            </w:r>
          </w:p>
        </w:tc>
      </w:tr>
      <w:tr w14:paraId="44239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6" w:type="pct"/>
          </w:tcPr>
          <w:p w14:paraId="37EE465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eastAsia="宋体"/>
                <w:color w:val="auto"/>
                <w:sz w:val="21"/>
                <w:szCs w:val="21"/>
                <w:vertAlign w:val="baseline"/>
                <w:lang w:val="en-US" w:eastAsia="zh-CN"/>
              </w:rPr>
            </w:pPr>
            <w:r>
              <w:rPr>
                <w:rFonts w:hint="eastAsia"/>
                <w:color w:val="auto"/>
                <w:sz w:val="21"/>
                <w:szCs w:val="21"/>
                <w:vertAlign w:val="baseline"/>
                <w:lang w:val="en-US" w:eastAsia="zh-CN"/>
              </w:rPr>
              <w:t>8</w:t>
            </w:r>
          </w:p>
        </w:tc>
        <w:tc>
          <w:tcPr>
            <w:tcW w:w="1984" w:type="pct"/>
          </w:tcPr>
          <w:p w14:paraId="213ADBB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color w:val="auto"/>
                <w:sz w:val="21"/>
                <w:szCs w:val="21"/>
              </w:rPr>
            </w:pPr>
            <w:r>
              <w:rPr>
                <w:rFonts w:hint="eastAsia"/>
                <w:color w:val="auto"/>
                <w:sz w:val="21"/>
                <w:szCs w:val="21"/>
              </w:rPr>
              <w:t>安全避险“六大系统”单元</w:t>
            </w:r>
          </w:p>
        </w:tc>
        <w:tc>
          <w:tcPr>
            <w:tcW w:w="2548" w:type="pct"/>
          </w:tcPr>
          <w:p w14:paraId="790FF9B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color w:val="auto"/>
                <w:sz w:val="21"/>
                <w:szCs w:val="21"/>
                <w:vertAlign w:val="baseline"/>
              </w:rPr>
            </w:pPr>
            <w:r>
              <w:rPr>
                <w:rFonts w:hint="eastAsia"/>
                <w:color w:val="auto"/>
                <w:sz w:val="21"/>
                <w:szCs w:val="21"/>
                <w:vertAlign w:val="baseline"/>
                <w:lang w:val="en-US" w:eastAsia="zh-CN"/>
              </w:rPr>
              <w:t>安全检查表</w:t>
            </w:r>
          </w:p>
        </w:tc>
      </w:tr>
      <w:tr w14:paraId="15233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6" w:type="pct"/>
          </w:tcPr>
          <w:p w14:paraId="35147D0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eastAsia="宋体"/>
                <w:color w:val="auto"/>
                <w:sz w:val="21"/>
                <w:szCs w:val="21"/>
                <w:vertAlign w:val="baseline"/>
                <w:lang w:val="en-US" w:eastAsia="zh-CN"/>
              </w:rPr>
            </w:pPr>
            <w:r>
              <w:rPr>
                <w:rFonts w:hint="eastAsia"/>
                <w:color w:val="auto"/>
                <w:sz w:val="21"/>
                <w:szCs w:val="21"/>
                <w:vertAlign w:val="baseline"/>
                <w:lang w:val="en-US" w:eastAsia="zh-CN"/>
              </w:rPr>
              <w:t>9</w:t>
            </w:r>
          </w:p>
        </w:tc>
        <w:tc>
          <w:tcPr>
            <w:tcW w:w="1984" w:type="pct"/>
          </w:tcPr>
          <w:p w14:paraId="6273596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color w:val="auto"/>
                <w:sz w:val="21"/>
                <w:szCs w:val="21"/>
              </w:rPr>
            </w:pPr>
            <w:r>
              <w:rPr>
                <w:rFonts w:hint="eastAsia"/>
                <w:color w:val="auto"/>
                <w:sz w:val="21"/>
                <w:szCs w:val="21"/>
              </w:rPr>
              <w:t>安全管理单元</w:t>
            </w:r>
          </w:p>
        </w:tc>
        <w:tc>
          <w:tcPr>
            <w:tcW w:w="2548" w:type="pct"/>
          </w:tcPr>
          <w:p w14:paraId="4283D4A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color w:val="auto"/>
                <w:sz w:val="21"/>
                <w:szCs w:val="21"/>
                <w:vertAlign w:val="baseline"/>
              </w:rPr>
            </w:pPr>
            <w:r>
              <w:rPr>
                <w:rFonts w:hint="eastAsia"/>
                <w:color w:val="auto"/>
                <w:sz w:val="21"/>
                <w:szCs w:val="21"/>
                <w:vertAlign w:val="baseline"/>
                <w:lang w:val="en-US" w:eastAsia="zh-CN"/>
              </w:rPr>
              <w:t>安全检查表</w:t>
            </w:r>
          </w:p>
        </w:tc>
      </w:tr>
      <w:tr w14:paraId="14232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6" w:type="pct"/>
          </w:tcPr>
          <w:p w14:paraId="225D265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10</w:t>
            </w:r>
          </w:p>
        </w:tc>
        <w:tc>
          <w:tcPr>
            <w:tcW w:w="1984" w:type="pct"/>
          </w:tcPr>
          <w:p w14:paraId="4177BDE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color w:val="auto"/>
                <w:sz w:val="21"/>
                <w:szCs w:val="21"/>
              </w:rPr>
            </w:pPr>
            <w:r>
              <w:rPr>
                <w:rFonts w:hint="eastAsia"/>
                <w:color w:val="auto"/>
                <w:sz w:val="21"/>
                <w:szCs w:val="21"/>
              </w:rPr>
              <w:t>重大危险源辨识单元</w:t>
            </w:r>
          </w:p>
        </w:tc>
        <w:tc>
          <w:tcPr>
            <w:tcW w:w="2548" w:type="pct"/>
          </w:tcPr>
          <w:p w14:paraId="01549D7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eastAsia="宋体"/>
                <w:color w:val="auto"/>
                <w:sz w:val="21"/>
                <w:szCs w:val="21"/>
                <w:vertAlign w:val="baseline"/>
                <w:lang w:val="en-US" w:eastAsia="zh-CN"/>
              </w:rPr>
            </w:pPr>
            <w:r>
              <w:rPr>
                <w:rFonts w:hint="eastAsia"/>
                <w:color w:val="auto"/>
                <w:sz w:val="21"/>
                <w:szCs w:val="21"/>
                <w:vertAlign w:val="baseline"/>
                <w:lang w:val="en-US" w:eastAsia="zh-CN"/>
              </w:rPr>
              <w:t>对标法</w:t>
            </w:r>
          </w:p>
        </w:tc>
      </w:tr>
    </w:tbl>
    <w:p w14:paraId="67230765">
      <w:pPr>
        <w:pStyle w:val="3"/>
        <w:rPr>
          <w:color w:val="auto"/>
        </w:rPr>
      </w:pPr>
      <w:bookmarkStart w:id="106" w:name="_Toc12225"/>
      <w:r>
        <w:rPr>
          <w:rFonts w:hint="eastAsia"/>
          <w:color w:val="auto"/>
        </w:rPr>
        <w:t>3.</w:t>
      </w:r>
      <w:r>
        <w:rPr>
          <w:rFonts w:hint="eastAsia"/>
          <w:color w:val="auto"/>
          <w:lang w:val="en-US" w:eastAsia="zh-CN"/>
        </w:rPr>
        <w:t>1</w:t>
      </w:r>
      <w:r>
        <w:rPr>
          <w:rFonts w:hint="eastAsia"/>
          <w:color w:val="auto"/>
        </w:rPr>
        <w:t>总平面布置单元</w:t>
      </w:r>
      <w:bookmarkEnd w:id="105"/>
      <w:bookmarkEnd w:id="106"/>
    </w:p>
    <w:p w14:paraId="115EC7FA">
      <w:pPr>
        <w:pStyle w:val="4"/>
        <w:rPr>
          <w:color w:val="auto"/>
        </w:rPr>
      </w:pPr>
      <w:r>
        <w:rPr>
          <w:rFonts w:hint="eastAsia"/>
          <w:color w:val="auto"/>
        </w:rPr>
        <w:t>3.</w:t>
      </w:r>
      <w:r>
        <w:rPr>
          <w:rFonts w:hint="eastAsia"/>
          <w:color w:val="auto"/>
          <w:lang w:val="en-US" w:eastAsia="zh-CN"/>
        </w:rPr>
        <w:t>1</w:t>
      </w:r>
      <w:r>
        <w:rPr>
          <w:rFonts w:hint="eastAsia"/>
          <w:color w:val="auto"/>
        </w:rPr>
        <w:t>.1矿山总平面布置安全检查表评价</w:t>
      </w:r>
    </w:p>
    <w:p w14:paraId="2EBF1F9E">
      <w:pPr>
        <w:ind w:firstLine="560"/>
        <w:rPr>
          <w:color w:val="auto"/>
        </w:rPr>
      </w:pPr>
      <w:r>
        <w:rPr>
          <w:color w:val="auto"/>
        </w:rPr>
        <w:t>本</w:t>
      </w:r>
      <w:r>
        <w:rPr>
          <w:rFonts w:hint="eastAsia"/>
          <w:color w:val="auto"/>
        </w:rPr>
        <w:t>节</w:t>
      </w:r>
      <w:r>
        <w:rPr>
          <w:color w:val="auto"/>
        </w:rPr>
        <w:t>采用检查表法</w:t>
      </w:r>
      <w:r>
        <w:rPr>
          <w:rFonts w:hint="eastAsia"/>
          <w:color w:val="auto"/>
        </w:rPr>
        <w:t>对矿山总平面布置</w:t>
      </w:r>
      <w:r>
        <w:rPr>
          <w:color w:val="auto"/>
        </w:rPr>
        <w:t>进行安全分析与评价</w:t>
      </w:r>
      <w:r>
        <w:rPr>
          <w:rFonts w:hint="eastAsia"/>
          <w:color w:val="auto"/>
        </w:rPr>
        <w:t>，具体见下表：</w:t>
      </w:r>
    </w:p>
    <w:p w14:paraId="606F21E9">
      <w:pPr>
        <w:pStyle w:val="36"/>
        <w:rPr>
          <w:color w:val="auto"/>
          <w:lang w:val="zh-CN"/>
        </w:rPr>
      </w:pPr>
      <w:r>
        <w:rPr>
          <w:rFonts w:hint="eastAsia"/>
          <w:color w:val="auto"/>
          <w:lang w:val="zh-CN"/>
        </w:rPr>
        <w:t>表3-</w:t>
      </w:r>
      <w:r>
        <w:rPr>
          <w:rFonts w:hint="eastAsia"/>
          <w:color w:val="auto"/>
          <w:lang w:val="en-US" w:eastAsia="zh-CN"/>
        </w:rPr>
        <w:t>1</w:t>
      </w:r>
      <w:r>
        <w:rPr>
          <w:rFonts w:hint="eastAsia"/>
          <w:color w:val="auto"/>
          <w:lang w:val="zh-CN"/>
        </w:rPr>
        <w:t xml:space="preserve"> 矿山总平面布置安全检查表</w:t>
      </w:r>
    </w:p>
    <w:tbl>
      <w:tblPr>
        <w:tblStyle w:val="24"/>
        <w:tblW w:w="4999"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813"/>
        <w:gridCol w:w="3368"/>
        <w:gridCol w:w="1883"/>
        <w:gridCol w:w="2694"/>
        <w:gridCol w:w="754"/>
      </w:tblGrid>
      <w:tr w14:paraId="218EE20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40" w:hRule="atLeast"/>
          <w:tblHeader/>
          <w:jc w:val="center"/>
        </w:trPr>
        <w:tc>
          <w:tcPr>
            <w:tcW w:w="427" w:type="pct"/>
            <w:tcBorders>
              <w:tl2br w:val="nil"/>
              <w:tr2bl w:val="nil"/>
            </w:tcBorders>
            <w:vAlign w:val="center"/>
          </w:tcPr>
          <w:p w14:paraId="7EBD010C">
            <w:pPr>
              <w:pStyle w:val="34"/>
              <w:keepNext w:val="0"/>
              <w:keepLines w:val="0"/>
              <w:pageBreakBefore w:val="0"/>
              <w:widowControl w:val="0"/>
              <w:suppressLineNumbers w:val="0"/>
              <w:kinsoku/>
              <w:wordWrap/>
              <w:overflowPunct/>
              <w:topLinePunct w:val="0"/>
              <w:autoSpaceDE/>
              <w:autoSpaceDN/>
              <w:bidi w:val="0"/>
              <w:spacing w:before="0" w:beforeAutospacing="0" w:after="0" w:afterAutospacing="0" w:line="320" w:lineRule="exact"/>
              <w:ind w:left="0" w:right="0"/>
              <w:jc w:val="center"/>
              <w:textAlignment w:val="auto"/>
              <w:rPr>
                <w:rFonts w:hint="default"/>
                <w:b/>
                <w:bCs/>
                <w:color w:val="auto"/>
              </w:rPr>
            </w:pPr>
            <w:r>
              <w:rPr>
                <w:rFonts w:hint="eastAsia"/>
                <w:b/>
                <w:bCs/>
                <w:color w:val="auto"/>
              </w:rPr>
              <w:t>序号</w:t>
            </w:r>
          </w:p>
        </w:tc>
        <w:tc>
          <w:tcPr>
            <w:tcW w:w="1769" w:type="pct"/>
            <w:tcBorders>
              <w:tl2br w:val="nil"/>
              <w:tr2bl w:val="nil"/>
            </w:tcBorders>
            <w:vAlign w:val="center"/>
          </w:tcPr>
          <w:p w14:paraId="3B0316E6">
            <w:pPr>
              <w:pStyle w:val="34"/>
              <w:keepNext w:val="0"/>
              <w:keepLines w:val="0"/>
              <w:pageBreakBefore w:val="0"/>
              <w:widowControl w:val="0"/>
              <w:suppressLineNumbers w:val="0"/>
              <w:kinsoku/>
              <w:wordWrap/>
              <w:overflowPunct/>
              <w:topLinePunct w:val="0"/>
              <w:autoSpaceDE/>
              <w:autoSpaceDN/>
              <w:bidi w:val="0"/>
              <w:spacing w:before="0" w:beforeAutospacing="0" w:after="0" w:afterAutospacing="0" w:line="320" w:lineRule="exact"/>
              <w:ind w:left="0" w:right="0"/>
              <w:jc w:val="center"/>
              <w:textAlignment w:val="auto"/>
              <w:rPr>
                <w:rFonts w:hint="default"/>
                <w:b/>
                <w:bCs/>
                <w:color w:val="auto"/>
              </w:rPr>
            </w:pPr>
            <w:r>
              <w:rPr>
                <w:rFonts w:hint="eastAsia"/>
                <w:b/>
                <w:bCs/>
                <w:color w:val="auto"/>
              </w:rPr>
              <w:t>检查内容</w:t>
            </w:r>
          </w:p>
        </w:tc>
        <w:tc>
          <w:tcPr>
            <w:tcW w:w="989" w:type="pct"/>
            <w:tcBorders>
              <w:tl2br w:val="nil"/>
              <w:tr2bl w:val="nil"/>
            </w:tcBorders>
            <w:vAlign w:val="center"/>
          </w:tcPr>
          <w:p w14:paraId="0D5A7CBD">
            <w:pPr>
              <w:pStyle w:val="34"/>
              <w:keepNext w:val="0"/>
              <w:keepLines w:val="0"/>
              <w:pageBreakBefore w:val="0"/>
              <w:widowControl w:val="0"/>
              <w:suppressLineNumbers w:val="0"/>
              <w:kinsoku/>
              <w:wordWrap/>
              <w:overflowPunct/>
              <w:topLinePunct w:val="0"/>
              <w:autoSpaceDE/>
              <w:autoSpaceDN/>
              <w:bidi w:val="0"/>
              <w:spacing w:before="0" w:beforeAutospacing="0" w:after="0" w:afterAutospacing="0" w:line="320" w:lineRule="exact"/>
              <w:ind w:left="0" w:right="0"/>
              <w:jc w:val="center"/>
              <w:textAlignment w:val="auto"/>
              <w:rPr>
                <w:rFonts w:hint="default"/>
                <w:b/>
                <w:bCs/>
                <w:color w:val="auto"/>
              </w:rPr>
            </w:pPr>
            <w:r>
              <w:rPr>
                <w:rFonts w:hint="eastAsia"/>
                <w:b/>
                <w:bCs/>
                <w:color w:val="auto"/>
              </w:rPr>
              <w:t>检查依据</w:t>
            </w:r>
          </w:p>
        </w:tc>
        <w:tc>
          <w:tcPr>
            <w:tcW w:w="1415" w:type="pct"/>
            <w:tcBorders>
              <w:tl2br w:val="nil"/>
              <w:tr2bl w:val="nil"/>
            </w:tcBorders>
            <w:vAlign w:val="center"/>
          </w:tcPr>
          <w:p w14:paraId="7EFA7FB0">
            <w:pPr>
              <w:pStyle w:val="34"/>
              <w:keepNext w:val="0"/>
              <w:keepLines w:val="0"/>
              <w:pageBreakBefore w:val="0"/>
              <w:widowControl w:val="0"/>
              <w:suppressLineNumbers w:val="0"/>
              <w:kinsoku/>
              <w:wordWrap/>
              <w:overflowPunct/>
              <w:topLinePunct w:val="0"/>
              <w:autoSpaceDE/>
              <w:autoSpaceDN/>
              <w:bidi w:val="0"/>
              <w:spacing w:before="0" w:beforeAutospacing="0" w:after="0" w:afterAutospacing="0" w:line="320" w:lineRule="exact"/>
              <w:ind w:left="0" w:right="0"/>
              <w:jc w:val="center"/>
              <w:textAlignment w:val="auto"/>
              <w:rPr>
                <w:rFonts w:hint="default"/>
                <w:b/>
                <w:bCs/>
                <w:color w:val="auto"/>
              </w:rPr>
            </w:pPr>
            <w:r>
              <w:rPr>
                <w:rFonts w:hint="eastAsia"/>
                <w:b/>
                <w:bCs/>
                <w:color w:val="auto"/>
              </w:rPr>
              <w:t>检查情况</w:t>
            </w:r>
          </w:p>
        </w:tc>
        <w:tc>
          <w:tcPr>
            <w:tcW w:w="396" w:type="pct"/>
            <w:tcBorders>
              <w:tl2br w:val="nil"/>
              <w:tr2bl w:val="nil"/>
            </w:tcBorders>
            <w:vAlign w:val="center"/>
          </w:tcPr>
          <w:p w14:paraId="379A579E">
            <w:pPr>
              <w:pStyle w:val="34"/>
              <w:keepNext w:val="0"/>
              <w:keepLines w:val="0"/>
              <w:pageBreakBefore w:val="0"/>
              <w:widowControl w:val="0"/>
              <w:suppressLineNumbers w:val="0"/>
              <w:kinsoku/>
              <w:wordWrap/>
              <w:overflowPunct/>
              <w:topLinePunct w:val="0"/>
              <w:autoSpaceDE/>
              <w:autoSpaceDN/>
              <w:bidi w:val="0"/>
              <w:spacing w:before="0" w:beforeAutospacing="0" w:after="0" w:afterAutospacing="0" w:line="320" w:lineRule="exact"/>
              <w:ind w:left="0" w:right="0"/>
              <w:jc w:val="center"/>
              <w:textAlignment w:val="auto"/>
              <w:rPr>
                <w:rFonts w:hint="default"/>
                <w:b/>
                <w:bCs/>
                <w:color w:val="auto"/>
              </w:rPr>
            </w:pPr>
            <w:r>
              <w:rPr>
                <w:rFonts w:hint="eastAsia"/>
                <w:b/>
                <w:bCs/>
                <w:color w:val="auto"/>
              </w:rPr>
              <w:t>结论</w:t>
            </w:r>
          </w:p>
        </w:tc>
      </w:tr>
      <w:tr w14:paraId="36A2CF7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40" w:hRule="atLeast"/>
          <w:jc w:val="center"/>
        </w:trPr>
        <w:tc>
          <w:tcPr>
            <w:tcW w:w="427" w:type="pct"/>
            <w:tcBorders>
              <w:tl2br w:val="nil"/>
              <w:tr2bl w:val="nil"/>
            </w:tcBorders>
            <w:vAlign w:val="center"/>
          </w:tcPr>
          <w:p w14:paraId="34522FBC">
            <w:pPr>
              <w:pStyle w:val="34"/>
              <w:keepNext w:val="0"/>
              <w:keepLines w:val="0"/>
              <w:pageBreakBefore w:val="0"/>
              <w:widowControl w:val="0"/>
              <w:numPr>
                <w:ilvl w:val="0"/>
                <w:numId w:val="0"/>
              </w:numPr>
              <w:suppressLineNumbers w:val="0"/>
              <w:kinsoku/>
              <w:wordWrap/>
              <w:overflowPunct/>
              <w:topLinePunct w:val="0"/>
              <w:autoSpaceDE/>
              <w:autoSpaceDN/>
              <w:bidi w:val="0"/>
              <w:spacing w:before="0" w:beforeAutospacing="0" w:after="0" w:afterAutospacing="0" w:line="320" w:lineRule="exact"/>
              <w:ind w:left="0" w:leftChars="0" w:right="0" w:rightChars="0"/>
              <w:jc w:val="center"/>
              <w:textAlignment w:val="auto"/>
              <w:rPr>
                <w:rFonts w:hint="eastAsia" w:eastAsia="宋体"/>
                <w:color w:val="auto"/>
                <w:lang w:val="en-US" w:eastAsia="zh-CN"/>
              </w:rPr>
            </w:pPr>
            <w:r>
              <w:rPr>
                <w:rFonts w:hint="eastAsia"/>
                <w:color w:val="auto"/>
                <w:lang w:val="en-US" w:eastAsia="zh-CN"/>
              </w:rPr>
              <w:t>1</w:t>
            </w:r>
          </w:p>
        </w:tc>
        <w:tc>
          <w:tcPr>
            <w:tcW w:w="1769" w:type="pct"/>
            <w:tcBorders>
              <w:tl2br w:val="nil"/>
              <w:tr2bl w:val="nil"/>
            </w:tcBorders>
            <w:vAlign w:val="center"/>
          </w:tcPr>
          <w:p w14:paraId="196E0AA6">
            <w:pPr>
              <w:pStyle w:val="21"/>
              <w:keepNext w:val="0"/>
              <w:keepLines w:val="0"/>
              <w:pageBreakBefore w:val="0"/>
              <w:widowControl w:val="0"/>
              <w:suppressLineNumbers w:val="0"/>
              <w:kinsoku/>
              <w:wordWrap/>
              <w:overflowPunct/>
              <w:topLinePunct w:val="0"/>
              <w:autoSpaceDE/>
              <w:autoSpaceDN/>
              <w:bidi w:val="0"/>
              <w:spacing w:before="0" w:beforeAutospacing="0" w:after="0" w:afterAutospacing="0" w:line="320" w:lineRule="exact"/>
              <w:ind w:left="0" w:leftChars="0" w:right="0" w:rightChars="0" w:firstLine="0" w:firstLineChars="0"/>
              <w:jc w:val="left"/>
              <w:textAlignment w:val="auto"/>
              <w:rPr>
                <w:rFonts w:hint="default"/>
                <w:color w:val="auto"/>
              </w:rPr>
            </w:pPr>
            <w:r>
              <w:rPr>
                <w:rFonts w:hint="eastAsia" w:cs="宋体"/>
                <w:bCs/>
                <w:color w:val="auto"/>
                <w:kern w:val="2"/>
                <w:sz w:val="21"/>
              </w:rPr>
              <w:t>矿山企业的办公区、生活区、工业场地、地面建筑等，不应设在危崖、塌陷区、崩落区，不应设在受尘毒、污风影响区域内，不应受洪水、泥石流、爆破威胁。</w:t>
            </w:r>
          </w:p>
        </w:tc>
        <w:tc>
          <w:tcPr>
            <w:tcW w:w="989" w:type="pct"/>
            <w:tcBorders>
              <w:tl2br w:val="nil"/>
              <w:tr2bl w:val="nil"/>
            </w:tcBorders>
            <w:vAlign w:val="center"/>
          </w:tcPr>
          <w:p w14:paraId="24CA5061">
            <w:pPr>
              <w:pStyle w:val="2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leftChars="0" w:right="0" w:rightChars="0" w:firstLine="0" w:firstLineChars="0"/>
              <w:jc w:val="center"/>
              <w:textAlignment w:val="auto"/>
              <w:outlineLvl w:val="9"/>
              <w:rPr>
                <w:rFonts w:hint="default" w:eastAsia="宋体"/>
                <w:color w:val="auto"/>
                <w:lang w:val="en-US" w:eastAsia="zh-CN"/>
              </w:rPr>
            </w:pPr>
            <w:r>
              <w:rPr>
                <w:rFonts w:hint="eastAsia" w:cs="宋体"/>
                <w:bCs/>
                <w:color w:val="auto"/>
                <w:sz w:val="21"/>
              </w:rPr>
              <w:t>《金属非金属矿山安全规程》(GB16423-2020)第4.6.1条</w:t>
            </w:r>
          </w:p>
        </w:tc>
        <w:tc>
          <w:tcPr>
            <w:tcW w:w="1415" w:type="pct"/>
            <w:tcBorders>
              <w:tl2br w:val="nil"/>
              <w:tr2bl w:val="nil"/>
            </w:tcBorders>
            <w:vAlign w:val="center"/>
          </w:tcPr>
          <w:p w14:paraId="088543E4">
            <w:pPr>
              <w:pStyle w:val="21"/>
              <w:keepNext w:val="0"/>
              <w:keepLines w:val="0"/>
              <w:pageBreakBefore w:val="0"/>
              <w:widowControl w:val="0"/>
              <w:suppressLineNumbers w:val="0"/>
              <w:kinsoku/>
              <w:wordWrap/>
              <w:overflowPunct/>
              <w:topLinePunct w:val="0"/>
              <w:autoSpaceDE/>
              <w:autoSpaceDN/>
              <w:bidi w:val="0"/>
              <w:spacing w:before="0" w:beforeAutospacing="0" w:after="0" w:afterAutospacing="0" w:line="320" w:lineRule="exact"/>
              <w:ind w:left="0" w:leftChars="0" w:right="0" w:rightChars="0" w:firstLine="0" w:firstLineChars="0"/>
              <w:jc w:val="left"/>
              <w:textAlignment w:val="auto"/>
              <w:rPr>
                <w:rFonts w:hint="default"/>
                <w:color w:val="auto"/>
              </w:rPr>
            </w:pPr>
            <w:r>
              <w:rPr>
                <w:rFonts w:hint="eastAsia" w:cs="宋体"/>
                <w:bCs/>
                <w:color w:val="auto"/>
                <w:kern w:val="2"/>
                <w:sz w:val="21"/>
              </w:rPr>
              <w:t>该矿山企业的</w:t>
            </w:r>
            <w:r>
              <w:rPr>
                <w:rFonts w:hint="eastAsia" w:cs="宋体"/>
                <w:bCs/>
                <w:color w:val="auto"/>
                <w:kern w:val="2"/>
                <w:sz w:val="21"/>
                <w:lang w:val="en-US" w:eastAsia="zh-CN"/>
              </w:rPr>
              <w:t>工业场地</w:t>
            </w:r>
            <w:r>
              <w:rPr>
                <w:rFonts w:hint="eastAsia" w:cs="宋体"/>
                <w:bCs/>
                <w:color w:val="auto"/>
                <w:kern w:val="2"/>
                <w:sz w:val="21"/>
              </w:rPr>
              <w:t>、地面建筑等未处于上述危险区域。</w:t>
            </w:r>
          </w:p>
        </w:tc>
        <w:tc>
          <w:tcPr>
            <w:tcW w:w="396" w:type="pct"/>
            <w:tcBorders>
              <w:tl2br w:val="nil"/>
              <w:tr2bl w:val="nil"/>
            </w:tcBorders>
            <w:vAlign w:val="center"/>
          </w:tcPr>
          <w:p w14:paraId="7A5EB553">
            <w:pPr>
              <w:pStyle w:val="21"/>
              <w:keepNext w:val="0"/>
              <w:keepLines w:val="0"/>
              <w:pageBreakBefore w:val="0"/>
              <w:widowControl w:val="0"/>
              <w:suppressLineNumbers w:val="0"/>
              <w:kinsoku/>
              <w:wordWrap/>
              <w:overflowPunct/>
              <w:topLinePunct w:val="0"/>
              <w:autoSpaceDE/>
              <w:autoSpaceDN/>
              <w:bidi w:val="0"/>
              <w:spacing w:before="0" w:beforeAutospacing="0" w:after="0" w:afterAutospacing="0" w:line="320" w:lineRule="exact"/>
              <w:ind w:left="0" w:leftChars="0" w:right="0" w:rightChars="0" w:firstLine="0" w:firstLineChars="0"/>
              <w:jc w:val="center"/>
              <w:textAlignment w:val="auto"/>
              <w:rPr>
                <w:rFonts w:hint="default"/>
                <w:color w:val="auto"/>
              </w:rPr>
            </w:pPr>
            <w:r>
              <w:rPr>
                <w:rFonts w:hint="eastAsia" w:cs="宋体"/>
                <w:bCs/>
                <w:color w:val="auto"/>
                <w:kern w:val="2"/>
                <w:sz w:val="21"/>
              </w:rPr>
              <w:t>符合</w:t>
            </w:r>
          </w:p>
        </w:tc>
      </w:tr>
      <w:tr w14:paraId="487C628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40" w:hRule="atLeast"/>
          <w:jc w:val="center"/>
        </w:trPr>
        <w:tc>
          <w:tcPr>
            <w:tcW w:w="427" w:type="pct"/>
            <w:tcBorders>
              <w:tl2br w:val="nil"/>
              <w:tr2bl w:val="nil"/>
            </w:tcBorders>
            <w:vAlign w:val="center"/>
          </w:tcPr>
          <w:p w14:paraId="61F8D76A">
            <w:pPr>
              <w:pStyle w:val="34"/>
              <w:keepNext w:val="0"/>
              <w:keepLines w:val="0"/>
              <w:pageBreakBefore w:val="0"/>
              <w:widowControl w:val="0"/>
              <w:numPr>
                <w:ilvl w:val="0"/>
                <w:numId w:val="0"/>
              </w:numPr>
              <w:suppressLineNumbers w:val="0"/>
              <w:kinsoku/>
              <w:wordWrap/>
              <w:overflowPunct/>
              <w:topLinePunct w:val="0"/>
              <w:autoSpaceDE/>
              <w:autoSpaceDN/>
              <w:bidi w:val="0"/>
              <w:spacing w:before="0" w:beforeAutospacing="0" w:after="0" w:afterAutospacing="0" w:line="320" w:lineRule="exact"/>
              <w:ind w:left="0" w:leftChars="0" w:right="0" w:rightChars="0"/>
              <w:jc w:val="center"/>
              <w:textAlignment w:val="auto"/>
              <w:rPr>
                <w:rFonts w:hint="eastAsia" w:eastAsia="宋体"/>
                <w:color w:val="auto"/>
                <w:lang w:val="en-US" w:eastAsia="zh-CN"/>
              </w:rPr>
            </w:pPr>
            <w:r>
              <w:rPr>
                <w:rFonts w:hint="eastAsia"/>
                <w:color w:val="auto"/>
                <w:lang w:val="en-US" w:eastAsia="zh-CN"/>
              </w:rPr>
              <w:t>2</w:t>
            </w:r>
          </w:p>
        </w:tc>
        <w:tc>
          <w:tcPr>
            <w:tcW w:w="1769" w:type="pct"/>
            <w:tcBorders>
              <w:tl2br w:val="nil"/>
              <w:tr2bl w:val="nil"/>
            </w:tcBorders>
            <w:vAlign w:val="center"/>
          </w:tcPr>
          <w:p w14:paraId="01B4F754">
            <w:pPr>
              <w:pStyle w:val="34"/>
              <w:keepNext w:val="0"/>
              <w:keepLines w:val="0"/>
              <w:pageBreakBefore w:val="0"/>
              <w:widowControl w:val="0"/>
              <w:suppressLineNumbers w:val="0"/>
              <w:kinsoku/>
              <w:wordWrap/>
              <w:overflowPunct/>
              <w:topLinePunct w:val="0"/>
              <w:autoSpaceDE/>
              <w:autoSpaceDN/>
              <w:bidi w:val="0"/>
              <w:spacing w:before="0" w:beforeAutospacing="0" w:after="0" w:afterAutospacing="0" w:line="320" w:lineRule="exact"/>
              <w:ind w:left="0" w:right="0"/>
              <w:jc w:val="left"/>
              <w:textAlignment w:val="auto"/>
              <w:rPr>
                <w:rFonts w:hint="default"/>
                <w:color w:val="auto"/>
              </w:rPr>
            </w:pPr>
            <w:r>
              <w:rPr>
                <w:rFonts w:hint="default"/>
                <w:color w:val="auto"/>
              </w:rPr>
              <w:t>矿井(竖井、斜井、</w:t>
            </w:r>
            <w:r>
              <w:rPr>
                <w:rFonts w:hint="eastAsia" w:eastAsia="宋体"/>
                <w:color w:val="auto"/>
                <w:lang w:val="en-US" w:eastAsia="zh-CN"/>
              </w:rPr>
              <w:t>平硐</w:t>
            </w:r>
            <w:r>
              <w:rPr>
                <w:rFonts w:hint="default"/>
                <w:color w:val="auto"/>
              </w:rPr>
              <w:t>等)井口的标高应高于当地历史最高洪水位1m以上。工业场地的地面标高应高于当地历史最高洪水位</w:t>
            </w:r>
            <w:r>
              <w:rPr>
                <w:rFonts w:hint="eastAsia"/>
                <w:color w:val="auto"/>
              </w:rPr>
              <w:t>。</w:t>
            </w:r>
          </w:p>
        </w:tc>
        <w:tc>
          <w:tcPr>
            <w:tcW w:w="989" w:type="pct"/>
            <w:tcBorders>
              <w:tl2br w:val="nil"/>
              <w:tr2bl w:val="nil"/>
            </w:tcBorders>
            <w:vAlign w:val="center"/>
          </w:tcPr>
          <w:p w14:paraId="0A8B46AD">
            <w:pPr>
              <w:pStyle w:val="34"/>
              <w:keepNext w:val="0"/>
              <w:keepLines w:val="0"/>
              <w:pageBreakBefore w:val="0"/>
              <w:widowControl w:val="0"/>
              <w:suppressLineNumbers w:val="0"/>
              <w:kinsoku/>
              <w:wordWrap/>
              <w:overflowPunct/>
              <w:topLinePunct w:val="0"/>
              <w:autoSpaceDE/>
              <w:autoSpaceDN/>
              <w:bidi w:val="0"/>
              <w:spacing w:before="0" w:beforeAutospacing="0" w:after="0" w:afterAutospacing="0" w:line="320" w:lineRule="exact"/>
              <w:ind w:left="0" w:right="0"/>
              <w:jc w:val="center"/>
              <w:textAlignment w:val="auto"/>
              <w:rPr>
                <w:rFonts w:hint="default"/>
                <w:color w:val="auto"/>
              </w:rPr>
            </w:pPr>
            <w:r>
              <w:rPr>
                <w:rFonts w:hint="eastAsia"/>
                <w:color w:val="auto"/>
              </w:rPr>
              <w:t>《金属非金属矿山安全规程》(</w:t>
            </w:r>
            <w:r>
              <w:rPr>
                <w:rFonts w:hint="eastAsia"/>
                <w:color w:val="auto"/>
                <w:lang w:eastAsia="zh-CN"/>
              </w:rPr>
              <w:t>GBl6423-2020</w:t>
            </w:r>
            <w:r>
              <w:rPr>
                <w:rFonts w:hint="eastAsia"/>
                <w:color w:val="auto"/>
              </w:rPr>
              <w:t>)</w:t>
            </w:r>
          </w:p>
          <w:p w14:paraId="13FB1E97">
            <w:pPr>
              <w:pStyle w:val="34"/>
              <w:keepNext w:val="0"/>
              <w:keepLines w:val="0"/>
              <w:pageBreakBefore w:val="0"/>
              <w:widowControl w:val="0"/>
              <w:suppressLineNumbers w:val="0"/>
              <w:kinsoku/>
              <w:wordWrap/>
              <w:overflowPunct/>
              <w:topLinePunct w:val="0"/>
              <w:autoSpaceDE/>
              <w:autoSpaceDN/>
              <w:bidi w:val="0"/>
              <w:spacing w:before="0" w:beforeAutospacing="0" w:after="0" w:afterAutospacing="0" w:line="320" w:lineRule="exact"/>
              <w:ind w:left="0" w:right="0"/>
              <w:jc w:val="center"/>
              <w:textAlignment w:val="auto"/>
              <w:rPr>
                <w:rFonts w:hint="default" w:eastAsia="宋体"/>
                <w:color w:val="auto"/>
                <w:lang w:val="en-US" w:eastAsia="zh-CN"/>
              </w:rPr>
            </w:pPr>
            <w:r>
              <w:rPr>
                <w:rFonts w:hint="eastAsia"/>
                <w:color w:val="auto"/>
                <w:lang w:val="en-US" w:eastAsia="zh-CN"/>
              </w:rPr>
              <w:t>第</w:t>
            </w:r>
            <w:r>
              <w:rPr>
                <w:rFonts w:hint="eastAsia"/>
                <w:color w:val="auto"/>
              </w:rPr>
              <w:t>6.</w:t>
            </w:r>
            <w:r>
              <w:rPr>
                <w:rFonts w:hint="eastAsia"/>
                <w:color w:val="auto"/>
                <w:lang w:val="en-US" w:eastAsia="zh-CN"/>
              </w:rPr>
              <w:t>8.2.3条</w:t>
            </w:r>
          </w:p>
        </w:tc>
        <w:tc>
          <w:tcPr>
            <w:tcW w:w="1415" w:type="pct"/>
            <w:tcBorders>
              <w:tl2br w:val="nil"/>
              <w:tr2bl w:val="nil"/>
            </w:tcBorders>
            <w:vAlign w:val="center"/>
          </w:tcPr>
          <w:p w14:paraId="35104ED2">
            <w:pPr>
              <w:pStyle w:val="34"/>
              <w:keepNext w:val="0"/>
              <w:keepLines w:val="0"/>
              <w:pageBreakBefore w:val="0"/>
              <w:widowControl w:val="0"/>
              <w:suppressLineNumbers w:val="0"/>
              <w:kinsoku/>
              <w:wordWrap/>
              <w:overflowPunct/>
              <w:topLinePunct w:val="0"/>
              <w:autoSpaceDE/>
              <w:autoSpaceDN/>
              <w:bidi w:val="0"/>
              <w:spacing w:before="0" w:beforeAutospacing="0" w:after="0" w:afterAutospacing="0" w:line="320" w:lineRule="exact"/>
              <w:ind w:left="0" w:right="0"/>
              <w:jc w:val="left"/>
              <w:textAlignment w:val="auto"/>
              <w:rPr>
                <w:rFonts w:hint="eastAsia" w:eastAsia="宋体"/>
                <w:color w:val="auto"/>
                <w:lang w:val="zh-CN" w:eastAsia="zh-CN"/>
              </w:rPr>
            </w:pPr>
            <w:r>
              <w:rPr>
                <w:rFonts w:hint="eastAsia"/>
                <w:color w:val="auto"/>
                <w:lang w:val="en-US" w:eastAsia="zh-CN"/>
              </w:rPr>
              <w:t>井口、工业场地标高高于</w:t>
            </w:r>
            <w:r>
              <w:rPr>
                <w:rFonts w:hint="eastAsia"/>
                <w:color w:val="auto"/>
                <w:highlight w:val="none"/>
              </w:rPr>
              <w:t>区历年最高洪水水位</w:t>
            </w:r>
            <w:r>
              <w:rPr>
                <w:rFonts w:hint="eastAsia"/>
                <w:color w:val="auto"/>
                <w:highlight w:val="none"/>
                <w:lang w:val="en-US" w:eastAsia="zh-CN"/>
              </w:rPr>
              <w:t>1m以上</w:t>
            </w:r>
            <w:r>
              <w:rPr>
                <w:rFonts w:hint="eastAsia"/>
                <w:color w:val="auto"/>
                <w:highlight w:val="none"/>
                <w:lang w:eastAsia="zh-CN"/>
              </w:rPr>
              <w:t>。</w:t>
            </w:r>
          </w:p>
        </w:tc>
        <w:tc>
          <w:tcPr>
            <w:tcW w:w="396" w:type="pct"/>
            <w:tcBorders>
              <w:tl2br w:val="nil"/>
              <w:tr2bl w:val="nil"/>
            </w:tcBorders>
            <w:vAlign w:val="center"/>
          </w:tcPr>
          <w:p w14:paraId="1F76DA99">
            <w:pPr>
              <w:pStyle w:val="34"/>
              <w:keepNext w:val="0"/>
              <w:keepLines w:val="0"/>
              <w:pageBreakBefore w:val="0"/>
              <w:widowControl w:val="0"/>
              <w:suppressLineNumbers w:val="0"/>
              <w:kinsoku/>
              <w:wordWrap/>
              <w:overflowPunct/>
              <w:topLinePunct w:val="0"/>
              <w:autoSpaceDE/>
              <w:autoSpaceDN/>
              <w:bidi w:val="0"/>
              <w:spacing w:before="0" w:beforeAutospacing="0" w:after="0" w:afterAutospacing="0" w:line="320" w:lineRule="exact"/>
              <w:ind w:left="0" w:right="0"/>
              <w:jc w:val="center"/>
              <w:textAlignment w:val="auto"/>
              <w:rPr>
                <w:rFonts w:hint="default"/>
                <w:color w:val="auto"/>
                <w:lang w:val="zh-CN"/>
              </w:rPr>
            </w:pPr>
            <w:r>
              <w:rPr>
                <w:rFonts w:hint="eastAsia"/>
                <w:color w:val="auto"/>
                <w:lang w:val="zh-CN"/>
              </w:rPr>
              <w:t>符合</w:t>
            </w:r>
          </w:p>
        </w:tc>
      </w:tr>
      <w:tr w14:paraId="3E728E4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40" w:hRule="atLeast"/>
          <w:jc w:val="center"/>
        </w:trPr>
        <w:tc>
          <w:tcPr>
            <w:tcW w:w="427" w:type="pct"/>
            <w:tcBorders>
              <w:tl2br w:val="nil"/>
              <w:tr2bl w:val="nil"/>
            </w:tcBorders>
            <w:vAlign w:val="center"/>
          </w:tcPr>
          <w:p w14:paraId="6A184AA1">
            <w:pPr>
              <w:pStyle w:val="34"/>
              <w:keepNext w:val="0"/>
              <w:keepLines w:val="0"/>
              <w:pageBreakBefore w:val="0"/>
              <w:widowControl w:val="0"/>
              <w:numPr>
                <w:ilvl w:val="0"/>
                <w:numId w:val="0"/>
              </w:numPr>
              <w:suppressLineNumbers w:val="0"/>
              <w:kinsoku/>
              <w:wordWrap/>
              <w:overflowPunct/>
              <w:topLinePunct w:val="0"/>
              <w:autoSpaceDE/>
              <w:autoSpaceDN/>
              <w:bidi w:val="0"/>
              <w:spacing w:before="0" w:beforeAutospacing="0" w:after="0" w:afterAutospacing="0" w:line="320" w:lineRule="exact"/>
              <w:ind w:left="0" w:leftChars="0" w:right="0" w:rightChars="0"/>
              <w:jc w:val="center"/>
              <w:textAlignment w:val="auto"/>
              <w:rPr>
                <w:rFonts w:hint="eastAsia" w:eastAsia="宋体"/>
                <w:color w:val="auto"/>
                <w:lang w:val="en-US" w:eastAsia="zh-CN"/>
              </w:rPr>
            </w:pPr>
            <w:r>
              <w:rPr>
                <w:rFonts w:hint="eastAsia"/>
                <w:color w:val="auto"/>
                <w:lang w:val="en-US" w:eastAsia="zh-CN"/>
              </w:rPr>
              <w:t>3</w:t>
            </w:r>
          </w:p>
        </w:tc>
        <w:tc>
          <w:tcPr>
            <w:tcW w:w="1769" w:type="pct"/>
            <w:tcBorders>
              <w:tl2br w:val="nil"/>
              <w:tr2bl w:val="nil"/>
            </w:tcBorders>
            <w:vAlign w:val="center"/>
          </w:tcPr>
          <w:p w14:paraId="00A2B2C6">
            <w:pPr>
              <w:pStyle w:val="21"/>
              <w:keepNext w:val="0"/>
              <w:keepLines w:val="0"/>
              <w:pageBreakBefore w:val="0"/>
              <w:widowControl w:val="0"/>
              <w:suppressLineNumbers w:val="0"/>
              <w:kinsoku/>
              <w:wordWrap/>
              <w:overflowPunct/>
              <w:topLinePunct w:val="0"/>
              <w:autoSpaceDE/>
              <w:autoSpaceDN/>
              <w:bidi w:val="0"/>
              <w:spacing w:before="0" w:beforeAutospacing="0" w:after="0" w:afterAutospacing="0" w:line="320" w:lineRule="exact"/>
              <w:ind w:left="0" w:right="0" w:firstLine="0" w:firstLineChars="0"/>
              <w:jc w:val="left"/>
              <w:textAlignment w:val="auto"/>
              <w:rPr>
                <w:rFonts w:hint="default"/>
                <w:color w:val="auto"/>
              </w:rPr>
            </w:pPr>
            <w:r>
              <w:rPr>
                <w:rFonts w:hint="default"/>
                <w:color w:val="auto"/>
              </w:rPr>
              <w:t>地下开采时，应圈定岩体移动范围或岩体移动监测范围；地表主要建构筑物、主要井筒应布置在地表岩体移动范围之外，或者留保安矿柱消除其影响。</w:t>
            </w:r>
          </w:p>
        </w:tc>
        <w:tc>
          <w:tcPr>
            <w:tcW w:w="989" w:type="pct"/>
            <w:tcBorders>
              <w:tl2br w:val="nil"/>
              <w:tr2bl w:val="nil"/>
            </w:tcBorders>
            <w:vAlign w:val="center"/>
          </w:tcPr>
          <w:p w14:paraId="3C36C7EC">
            <w:pPr>
              <w:pStyle w:val="34"/>
              <w:keepNext w:val="0"/>
              <w:keepLines w:val="0"/>
              <w:pageBreakBefore w:val="0"/>
              <w:widowControl w:val="0"/>
              <w:suppressLineNumbers w:val="0"/>
              <w:kinsoku/>
              <w:wordWrap/>
              <w:overflowPunct/>
              <w:topLinePunct w:val="0"/>
              <w:autoSpaceDE/>
              <w:autoSpaceDN/>
              <w:bidi w:val="0"/>
              <w:spacing w:before="0" w:beforeAutospacing="0" w:after="0" w:afterAutospacing="0" w:line="320" w:lineRule="exact"/>
              <w:ind w:left="0" w:right="0"/>
              <w:jc w:val="center"/>
              <w:textAlignment w:val="auto"/>
              <w:rPr>
                <w:rFonts w:hint="default"/>
                <w:color w:val="auto"/>
              </w:rPr>
            </w:pPr>
            <w:r>
              <w:rPr>
                <w:rFonts w:hint="eastAsia"/>
                <w:color w:val="auto"/>
              </w:rPr>
              <w:t>《金属非金属矿山安全规程》(</w:t>
            </w:r>
            <w:r>
              <w:rPr>
                <w:rFonts w:hint="eastAsia"/>
                <w:color w:val="auto"/>
                <w:lang w:eastAsia="zh-CN"/>
              </w:rPr>
              <w:t>GBl6423-2020</w:t>
            </w:r>
            <w:r>
              <w:rPr>
                <w:rFonts w:hint="eastAsia"/>
                <w:color w:val="auto"/>
              </w:rPr>
              <w:t>)</w:t>
            </w:r>
          </w:p>
          <w:p w14:paraId="661647FE">
            <w:pPr>
              <w:pStyle w:val="2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firstLine="0" w:firstLineChars="0"/>
              <w:jc w:val="center"/>
              <w:textAlignment w:val="auto"/>
              <w:outlineLvl w:val="9"/>
              <w:rPr>
                <w:rFonts w:hint="default"/>
                <w:color w:val="auto"/>
              </w:rPr>
            </w:pPr>
            <w:r>
              <w:rPr>
                <w:rFonts w:hint="eastAsia"/>
                <w:color w:val="auto"/>
                <w:lang w:val="en-US" w:eastAsia="zh-CN"/>
              </w:rPr>
              <w:t>第</w:t>
            </w:r>
            <w:r>
              <w:rPr>
                <w:rFonts w:hint="eastAsia"/>
                <w:color w:val="auto"/>
              </w:rPr>
              <w:t>6</w:t>
            </w:r>
            <w:r>
              <w:rPr>
                <w:rFonts w:hint="eastAsia"/>
                <w:color w:val="auto"/>
                <w:lang w:val="en-US" w:eastAsia="zh-CN"/>
              </w:rPr>
              <w:t>.3.1.2条</w:t>
            </w:r>
          </w:p>
        </w:tc>
        <w:tc>
          <w:tcPr>
            <w:tcW w:w="1415" w:type="pct"/>
            <w:tcBorders>
              <w:tl2br w:val="nil"/>
              <w:tr2bl w:val="nil"/>
            </w:tcBorders>
            <w:vAlign w:val="center"/>
          </w:tcPr>
          <w:p w14:paraId="05CBAD3C">
            <w:pPr>
              <w:keepNext w:val="0"/>
              <w:keepLines w:val="0"/>
              <w:suppressLineNumbers w:val="0"/>
              <w:tabs>
                <w:tab w:val="left" w:pos="7080"/>
              </w:tabs>
              <w:spacing w:before="0" w:beforeAutospacing="0" w:after="0" w:afterAutospacing="0" w:line="320" w:lineRule="exact"/>
              <w:ind w:left="0" w:leftChars="0" w:right="0" w:rightChars="0" w:firstLine="0" w:firstLineChars="0"/>
              <w:rPr>
                <w:rFonts w:hint="eastAsia" w:eastAsia="宋体"/>
                <w:color w:val="auto"/>
                <w:lang w:val="zh-CN" w:eastAsia="zh-CN"/>
              </w:rPr>
            </w:pPr>
            <w:r>
              <w:rPr>
                <w:rFonts w:hint="eastAsia" w:cs="宋体"/>
                <w:color w:val="auto"/>
                <w:sz w:val="21"/>
                <w:szCs w:val="21"/>
                <w:lang w:eastAsia="zh-CN"/>
              </w:rPr>
              <w:t>地表主要建构筑物、主要井筒位于地表岩石移动范围之外。</w:t>
            </w:r>
          </w:p>
        </w:tc>
        <w:tc>
          <w:tcPr>
            <w:tcW w:w="396" w:type="pct"/>
            <w:tcBorders>
              <w:tl2br w:val="nil"/>
              <w:tr2bl w:val="nil"/>
            </w:tcBorders>
            <w:vAlign w:val="center"/>
          </w:tcPr>
          <w:p w14:paraId="14D8579D">
            <w:pPr>
              <w:keepNext w:val="0"/>
              <w:keepLines w:val="0"/>
              <w:suppressLineNumbers w:val="0"/>
              <w:tabs>
                <w:tab w:val="left" w:pos="7080"/>
              </w:tabs>
              <w:spacing w:before="0" w:beforeAutospacing="0" w:after="0" w:afterAutospacing="0" w:line="320" w:lineRule="exact"/>
              <w:ind w:left="0" w:leftChars="0" w:right="0" w:rightChars="0" w:firstLine="0" w:firstLineChars="0"/>
              <w:jc w:val="center"/>
              <w:rPr>
                <w:rFonts w:hint="default"/>
                <w:color w:val="auto"/>
                <w:lang w:val="zh-CN"/>
              </w:rPr>
            </w:pPr>
            <w:r>
              <w:rPr>
                <w:rFonts w:hint="eastAsia" w:hAnsi="宋体" w:cs="宋体"/>
                <w:color w:val="auto"/>
                <w:sz w:val="21"/>
                <w:szCs w:val="21"/>
              </w:rPr>
              <w:t>符合</w:t>
            </w:r>
          </w:p>
        </w:tc>
      </w:tr>
      <w:tr w14:paraId="16910E2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40" w:hRule="atLeast"/>
          <w:jc w:val="center"/>
        </w:trPr>
        <w:tc>
          <w:tcPr>
            <w:tcW w:w="427" w:type="pct"/>
            <w:tcBorders>
              <w:tl2br w:val="nil"/>
              <w:tr2bl w:val="nil"/>
            </w:tcBorders>
            <w:vAlign w:val="center"/>
          </w:tcPr>
          <w:p w14:paraId="31AD4B0A">
            <w:pPr>
              <w:pStyle w:val="34"/>
              <w:keepNext w:val="0"/>
              <w:keepLines w:val="0"/>
              <w:pageBreakBefore w:val="0"/>
              <w:widowControl w:val="0"/>
              <w:numPr>
                <w:ilvl w:val="0"/>
                <w:numId w:val="0"/>
              </w:numPr>
              <w:suppressLineNumbers w:val="0"/>
              <w:kinsoku/>
              <w:wordWrap/>
              <w:overflowPunct/>
              <w:topLinePunct w:val="0"/>
              <w:autoSpaceDE/>
              <w:autoSpaceDN/>
              <w:bidi w:val="0"/>
              <w:spacing w:before="0" w:beforeAutospacing="0" w:after="0" w:afterAutospacing="0" w:line="320" w:lineRule="exact"/>
              <w:ind w:left="0" w:leftChars="0" w:right="0" w:rightChars="0"/>
              <w:jc w:val="center"/>
              <w:textAlignment w:val="auto"/>
              <w:rPr>
                <w:rFonts w:hint="default"/>
                <w:color w:val="auto"/>
                <w:lang w:val="en-US" w:eastAsia="zh-CN"/>
              </w:rPr>
            </w:pPr>
            <w:r>
              <w:rPr>
                <w:rFonts w:hint="eastAsia"/>
                <w:color w:val="auto"/>
                <w:lang w:val="en-US" w:eastAsia="zh-CN"/>
              </w:rPr>
              <w:t>4</w:t>
            </w:r>
          </w:p>
        </w:tc>
        <w:tc>
          <w:tcPr>
            <w:tcW w:w="1769" w:type="pct"/>
            <w:tcBorders>
              <w:tl2br w:val="nil"/>
              <w:tr2bl w:val="nil"/>
            </w:tcBorders>
            <w:vAlign w:val="center"/>
          </w:tcPr>
          <w:p w14:paraId="1928611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firstLine="0" w:firstLineChars="0"/>
              <w:textAlignment w:val="auto"/>
              <w:rPr>
                <w:rFonts w:hint="default"/>
                <w:color w:val="auto"/>
              </w:rPr>
            </w:pPr>
            <w:r>
              <w:rPr>
                <w:rFonts w:hint="default" w:ascii="宋体" w:hAnsi="宋体" w:eastAsia="宋体" w:cstheme="minorBidi"/>
                <w:color w:val="auto"/>
                <w:kern w:val="2"/>
                <w:sz w:val="21"/>
                <w:szCs w:val="22"/>
                <w:lang w:val="en-US" w:eastAsia="zh-CN" w:bidi="ar-SA"/>
              </w:rPr>
              <w:t>地表主要建构筑物、主要开拓工程</w:t>
            </w:r>
            <w:r>
              <w:rPr>
                <w:rFonts w:hint="eastAsia" w:ascii="宋体" w:hAnsi="宋体" w:eastAsia="宋体" w:cstheme="minorBidi"/>
                <w:color w:val="auto"/>
                <w:kern w:val="2"/>
                <w:sz w:val="21"/>
                <w:szCs w:val="22"/>
                <w:lang w:val="en-US" w:eastAsia="zh-CN" w:bidi="ar-SA"/>
              </w:rPr>
              <w:t>入</w:t>
            </w:r>
            <w:r>
              <w:rPr>
                <w:rFonts w:hint="default" w:ascii="宋体" w:hAnsi="宋体" w:eastAsia="宋体" w:cstheme="minorBidi"/>
                <w:color w:val="auto"/>
                <w:kern w:val="2"/>
                <w:sz w:val="21"/>
                <w:szCs w:val="22"/>
                <w:lang w:val="en-US" w:eastAsia="zh-CN" w:bidi="ar-SA"/>
              </w:rPr>
              <w:t>口应布置在不受地表滑坡、滚石、泥石流、雪崩等危险因素影响的安全地带，无法避开时，应采取可靠的安全措施。</w:t>
            </w:r>
          </w:p>
        </w:tc>
        <w:tc>
          <w:tcPr>
            <w:tcW w:w="989" w:type="pct"/>
            <w:tcBorders>
              <w:tl2br w:val="nil"/>
              <w:tr2bl w:val="nil"/>
            </w:tcBorders>
            <w:vAlign w:val="center"/>
          </w:tcPr>
          <w:p w14:paraId="439D4779">
            <w:pPr>
              <w:pStyle w:val="34"/>
              <w:keepNext w:val="0"/>
              <w:keepLines w:val="0"/>
              <w:pageBreakBefore w:val="0"/>
              <w:widowControl w:val="0"/>
              <w:suppressLineNumbers w:val="0"/>
              <w:kinsoku/>
              <w:wordWrap/>
              <w:overflowPunct/>
              <w:topLinePunct w:val="0"/>
              <w:autoSpaceDE/>
              <w:autoSpaceDN/>
              <w:bidi w:val="0"/>
              <w:spacing w:before="0" w:beforeAutospacing="0" w:after="0" w:afterAutospacing="0" w:line="320" w:lineRule="exact"/>
              <w:ind w:left="0" w:right="0"/>
              <w:jc w:val="center"/>
              <w:textAlignment w:val="auto"/>
              <w:rPr>
                <w:rFonts w:hint="default"/>
                <w:color w:val="auto"/>
              </w:rPr>
            </w:pPr>
            <w:r>
              <w:rPr>
                <w:rFonts w:hint="eastAsia"/>
                <w:color w:val="auto"/>
              </w:rPr>
              <w:t>《金属非金属矿山安全规程》(</w:t>
            </w:r>
            <w:r>
              <w:rPr>
                <w:rFonts w:hint="eastAsia"/>
                <w:color w:val="auto"/>
                <w:lang w:eastAsia="zh-CN"/>
              </w:rPr>
              <w:t>GBl6423-2020</w:t>
            </w:r>
            <w:r>
              <w:rPr>
                <w:rFonts w:hint="eastAsia"/>
                <w:color w:val="auto"/>
              </w:rPr>
              <w:t>)</w:t>
            </w:r>
          </w:p>
          <w:p w14:paraId="7BFC5C23">
            <w:pPr>
              <w:pStyle w:val="2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firstLine="0" w:firstLineChars="0"/>
              <w:jc w:val="center"/>
              <w:textAlignment w:val="auto"/>
              <w:outlineLvl w:val="9"/>
              <w:rPr>
                <w:rFonts w:hint="eastAsia"/>
                <w:color w:val="auto"/>
                <w:lang w:val="en-US" w:eastAsia="zh-CN"/>
              </w:rPr>
            </w:pPr>
            <w:r>
              <w:rPr>
                <w:rFonts w:hint="eastAsia"/>
                <w:color w:val="auto"/>
                <w:lang w:val="en-US" w:eastAsia="zh-CN"/>
              </w:rPr>
              <w:t>第</w:t>
            </w:r>
            <w:r>
              <w:rPr>
                <w:rFonts w:hint="eastAsia"/>
                <w:color w:val="auto"/>
              </w:rPr>
              <w:t>6</w:t>
            </w:r>
            <w:r>
              <w:rPr>
                <w:rFonts w:hint="eastAsia"/>
                <w:color w:val="auto"/>
                <w:lang w:val="en-US" w:eastAsia="zh-CN"/>
              </w:rPr>
              <w:t>.3.1.3条</w:t>
            </w:r>
          </w:p>
        </w:tc>
        <w:tc>
          <w:tcPr>
            <w:tcW w:w="1415" w:type="pct"/>
            <w:tcBorders>
              <w:tl2br w:val="nil"/>
              <w:tr2bl w:val="nil"/>
            </w:tcBorders>
            <w:vAlign w:val="center"/>
          </w:tcPr>
          <w:p w14:paraId="36312EC6">
            <w:pPr>
              <w:pStyle w:val="21"/>
              <w:keepNext w:val="0"/>
              <w:keepLines w:val="0"/>
              <w:pageBreakBefore w:val="0"/>
              <w:widowControl w:val="0"/>
              <w:suppressLineNumbers w:val="0"/>
              <w:kinsoku/>
              <w:wordWrap/>
              <w:overflowPunct/>
              <w:topLinePunct w:val="0"/>
              <w:autoSpaceDE/>
              <w:autoSpaceDN/>
              <w:bidi w:val="0"/>
              <w:spacing w:before="0" w:beforeAutospacing="0" w:after="0" w:afterAutospacing="0" w:line="320" w:lineRule="exact"/>
              <w:ind w:left="0" w:right="0" w:firstLine="0" w:firstLineChars="0"/>
              <w:jc w:val="left"/>
              <w:textAlignment w:val="auto"/>
              <w:rPr>
                <w:rFonts w:hint="default"/>
                <w:color w:val="auto"/>
                <w:lang w:val="zh-CN"/>
              </w:rPr>
            </w:pPr>
            <w:r>
              <w:rPr>
                <w:rFonts w:hint="default"/>
                <w:color w:val="auto"/>
                <w:lang w:val="zh-CN"/>
              </w:rPr>
              <w:t>矿区工业场地建</w:t>
            </w:r>
            <w:r>
              <w:rPr>
                <w:rFonts w:hint="eastAsia"/>
                <w:color w:val="auto"/>
                <w:lang w:val="zh-CN"/>
              </w:rPr>
              <w:t>(</w:t>
            </w:r>
            <w:r>
              <w:rPr>
                <w:rFonts w:hint="default"/>
                <w:color w:val="auto"/>
                <w:lang w:val="zh-CN"/>
              </w:rPr>
              <w:t>构</w:t>
            </w:r>
            <w:r>
              <w:rPr>
                <w:rFonts w:hint="eastAsia"/>
                <w:color w:val="auto"/>
                <w:lang w:val="zh-CN"/>
              </w:rPr>
              <w:t>)</w:t>
            </w:r>
            <w:r>
              <w:rPr>
                <w:rFonts w:hint="default"/>
                <w:color w:val="auto"/>
                <w:lang w:val="zh-CN"/>
              </w:rPr>
              <w:t>筑物平面布置、地形坡度均充分考虑现状及采动影响</w:t>
            </w:r>
            <w:r>
              <w:rPr>
                <w:rFonts w:hint="eastAsia"/>
                <w:color w:val="auto"/>
                <w:lang w:val="zh-CN"/>
              </w:rPr>
              <w:t>，同时满足国家现行的防火、防爆、安全、卫生、交运等相关规范、标准要求。</w:t>
            </w:r>
          </w:p>
        </w:tc>
        <w:tc>
          <w:tcPr>
            <w:tcW w:w="396" w:type="pct"/>
            <w:tcBorders>
              <w:tl2br w:val="nil"/>
              <w:tr2bl w:val="nil"/>
            </w:tcBorders>
            <w:vAlign w:val="center"/>
          </w:tcPr>
          <w:p w14:paraId="502E44E4">
            <w:pPr>
              <w:pStyle w:val="21"/>
              <w:keepNext w:val="0"/>
              <w:keepLines w:val="0"/>
              <w:pageBreakBefore w:val="0"/>
              <w:widowControl w:val="0"/>
              <w:suppressLineNumbers w:val="0"/>
              <w:kinsoku/>
              <w:wordWrap/>
              <w:overflowPunct/>
              <w:topLinePunct w:val="0"/>
              <w:autoSpaceDE/>
              <w:autoSpaceDN/>
              <w:bidi w:val="0"/>
              <w:spacing w:before="0" w:beforeAutospacing="0" w:after="0" w:afterAutospacing="0" w:line="320" w:lineRule="exact"/>
              <w:ind w:left="0" w:right="0" w:firstLine="0" w:firstLineChars="0"/>
              <w:jc w:val="center"/>
              <w:textAlignment w:val="auto"/>
              <w:rPr>
                <w:rFonts w:hint="default"/>
                <w:color w:val="auto"/>
                <w:lang w:val="zh-CN"/>
              </w:rPr>
            </w:pPr>
            <w:r>
              <w:rPr>
                <w:rFonts w:hint="eastAsia" w:hAnsi="宋体" w:cs="宋体"/>
                <w:color w:val="auto"/>
                <w:sz w:val="21"/>
                <w:szCs w:val="21"/>
              </w:rPr>
              <w:t>符合</w:t>
            </w:r>
          </w:p>
        </w:tc>
      </w:tr>
      <w:tr w14:paraId="0613A9C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40" w:hRule="atLeast"/>
          <w:jc w:val="center"/>
        </w:trPr>
        <w:tc>
          <w:tcPr>
            <w:tcW w:w="427" w:type="pct"/>
            <w:tcBorders>
              <w:tl2br w:val="nil"/>
              <w:tr2bl w:val="nil"/>
            </w:tcBorders>
            <w:vAlign w:val="center"/>
          </w:tcPr>
          <w:p w14:paraId="68D4255B">
            <w:pPr>
              <w:pStyle w:val="34"/>
              <w:keepNext w:val="0"/>
              <w:keepLines w:val="0"/>
              <w:pageBreakBefore w:val="0"/>
              <w:widowControl w:val="0"/>
              <w:numPr>
                <w:ilvl w:val="0"/>
                <w:numId w:val="0"/>
              </w:numPr>
              <w:suppressLineNumbers w:val="0"/>
              <w:kinsoku/>
              <w:wordWrap/>
              <w:overflowPunct/>
              <w:topLinePunct w:val="0"/>
              <w:autoSpaceDE/>
              <w:autoSpaceDN/>
              <w:bidi w:val="0"/>
              <w:spacing w:before="0" w:beforeAutospacing="0" w:after="0" w:afterAutospacing="0" w:line="320" w:lineRule="exact"/>
              <w:ind w:left="0" w:leftChars="0" w:right="0" w:rightChars="0"/>
              <w:jc w:val="center"/>
              <w:textAlignment w:val="auto"/>
              <w:rPr>
                <w:rFonts w:hint="eastAsia" w:eastAsia="宋体"/>
                <w:color w:val="auto"/>
                <w:lang w:val="en-US" w:eastAsia="zh-CN"/>
              </w:rPr>
            </w:pPr>
            <w:r>
              <w:rPr>
                <w:rFonts w:hint="eastAsia"/>
                <w:color w:val="auto"/>
                <w:lang w:val="en-US" w:eastAsia="zh-CN"/>
              </w:rPr>
              <w:t>5</w:t>
            </w:r>
          </w:p>
        </w:tc>
        <w:tc>
          <w:tcPr>
            <w:tcW w:w="1769" w:type="pct"/>
            <w:tcBorders>
              <w:tl2br w:val="nil"/>
              <w:tr2bl w:val="nil"/>
            </w:tcBorders>
            <w:vAlign w:val="center"/>
          </w:tcPr>
          <w:p w14:paraId="7889F28F">
            <w:pPr>
              <w:pStyle w:val="34"/>
              <w:keepNext w:val="0"/>
              <w:keepLines w:val="0"/>
              <w:pageBreakBefore w:val="0"/>
              <w:widowControl w:val="0"/>
              <w:suppressLineNumbers w:val="0"/>
              <w:kinsoku/>
              <w:wordWrap/>
              <w:overflowPunct/>
              <w:topLinePunct w:val="0"/>
              <w:autoSpaceDE/>
              <w:autoSpaceDN/>
              <w:bidi w:val="0"/>
              <w:spacing w:before="0" w:beforeAutospacing="0" w:after="0" w:afterAutospacing="0" w:line="320" w:lineRule="exact"/>
              <w:ind w:left="0" w:right="0"/>
              <w:jc w:val="left"/>
              <w:textAlignment w:val="auto"/>
              <w:rPr>
                <w:rFonts w:hint="default"/>
                <w:color w:val="auto"/>
              </w:rPr>
            </w:pPr>
            <w:r>
              <w:rPr>
                <w:rFonts w:hint="default"/>
                <w:color w:val="auto"/>
              </w:rPr>
              <w:t>矿</w:t>
            </w:r>
            <w:r>
              <w:rPr>
                <w:rFonts w:hint="eastAsia"/>
                <w:color w:val="auto"/>
                <w:lang w:val="en-US" w:eastAsia="zh-CN"/>
              </w:rPr>
              <w:t>石</w:t>
            </w:r>
            <w:r>
              <w:rPr>
                <w:rFonts w:hint="default"/>
                <w:color w:val="auto"/>
              </w:rPr>
              <w:t>、废石和其他</w:t>
            </w:r>
            <w:r>
              <w:rPr>
                <w:rFonts w:hint="eastAsia" w:eastAsia="宋体"/>
                <w:color w:val="auto"/>
                <w:lang w:val="en-US" w:eastAsia="zh-CN"/>
              </w:rPr>
              <w:t>堆</w:t>
            </w:r>
            <w:r>
              <w:rPr>
                <w:rFonts w:hint="default"/>
                <w:color w:val="auto"/>
              </w:rPr>
              <w:t>积物不堵塞山洪通道，不塞沟渠和河道</w:t>
            </w:r>
            <w:r>
              <w:rPr>
                <w:rFonts w:hint="eastAsia"/>
                <w:color w:val="auto"/>
              </w:rPr>
              <w:t>。</w:t>
            </w:r>
          </w:p>
        </w:tc>
        <w:tc>
          <w:tcPr>
            <w:tcW w:w="989" w:type="pct"/>
            <w:tcBorders>
              <w:tl2br w:val="nil"/>
              <w:tr2bl w:val="nil"/>
            </w:tcBorders>
            <w:vAlign w:val="center"/>
          </w:tcPr>
          <w:p w14:paraId="2554FB80">
            <w:pPr>
              <w:pStyle w:val="34"/>
              <w:keepNext w:val="0"/>
              <w:keepLines w:val="0"/>
              <w:pageBreakBefore w:val="0"/>
              <w:widowControl w:val="0"/>
              <w:suppressLineNumbers w:val="0"/>
              <w:kinsoku/>
              <w:wordWrap/>
              <w:overflowPunct/>
              <w:topLinePunct w:val="0"/>
              <w:autoSpaceDE/>
              <w:autoSpaceDN/>
              <w:bidi w:val="0"/>
              <w:spacing w:before="0" w:beforeAutospacing="0" w:after="0" w:afterAutospacing="0" w:line="320" w:lineRule="exact"/>
              <w:ind w:left="0" w:right="0"/>
              <w:jc w:val="center"/>
              <w:textAlignment w:val="auto"/>
              <w:rPr>
                <w:rFonts w:hint="default"/>
                <w:color w:val="auto"/>
              </w:rPr>
            </w:pPr>
            <w:r>
              <w:rPr>
                <w:rFonts w:hint="eastAsia"/>
                <w:color w:val="auto"/>
              </w:rPr>
              <w:t>《金属非金属矿山安全规程》(</w:t>
            </w:r>
            <w:r>
              <w:rPr>
                <w:rFonts w:hint="eastAsia"/>
                <w:color w:val="auto"/>
                <w:lang w:eastAsia="zh-CN"/>
              </w:rPr>
              <w:t>GBl6423-2020</w:t>
            </w:r>
            <w:r>
              <w:rPr>
                <w:rFonts w:hint="eastAsia"/>
                <w:color w:val="auto"/>
              </w:rPr>
              <w:t>)</w:t>
            </w:r>
          </w:p>
          <w:p w14:paraId="44D830EA">
            <w:pPr>
              <w:pStyle w:val="34"/>
              <w:keepNext w:val="0"/>
              <w:keepLines w:val="0"/>
              <w:pageBreakBefore w:val="0"/>
              <w:widowControl w:val="0"/>
              <w:suppressLineNumbers w:val="0"/>
              <w:kinsoku/>
              <w:wordWrap/>
              <w:overflowPunct/>
              <w:topLinePunct w:val="0"/>
              <w:autoSpaceDE/>
              <w:autoSpaceDN/>
              <w:bidi w:val="0"/>
              <w:spacing w:before="0" w:beforeAutospacing="0" w:after="0" w:afterAutospacing="0" w:line="320" w:lineRule="exact"/>
              <w:ind w:left="0" w:right="0"/>
              <w:jc w:val="center"/>
              <w:textAlignment w:val="auto"/>
              <w:rPr>
                <w:rFonts w:hint="eastAsia" w:eastAsia="宋体"/>
                <w:color w:val="auto"/>
                <w:lang w:val="en-US" w:eastAsia="zh-CN"/>
              </w:rPr>
            </w:pPr>
            <w:r>
              <w:rPr>
                <w:rFonts w:hint="eastAsia"/>
                <w:color w:val="auto"/>
                <w:lang w:val="en-US" w:eastAsia="zh-CN"/>
              </w:rPr>
              <w:t>第</w:t>
            </w:r>
            <w:r>
              <w:rPr>
                <w:rFonts w:hint="eastAsia"/>
                <w:color w:val="auto"/>
              </w:rPr>
              <w:t>6.</w:t>
            </w:r>
            <w:r>
              <w:rPr>
                <w:rFonts w:hint="eastAsia"/>
                <w:color w:val="auto"/>
                <w:lang w:val="en-US" w:eastAsia="zh-CN"/>
              </w:rPr>
              <w:t>8</w:t>
            </w:r>
            <w:r>
              <w:rPr>
                <w:rFonts w:hint="eastAsia"/>
                <w:color w:val="auto"/>
              </w:rPr>
              <w:t>.2.6</w:t>
            </w:r>
            <w:r>
              <w:rPr>
                <w:rFonts w:hint="eastAsia"/>
                <w:color w:val="auto"/>
                <w:lang w:val="en-US" w:eastAsia="zh-CN"/>
              </w:rPr>
              <w:t>条</w:t>
            </w:r>
          </w:p>
        </w:tc>
        <w:tc>
          <w:tcPr>
            <w:tcW w:w="1415" w:type="pct"/>
            <w:tcBorders>
              <w:tl2br w:val="nil"/>
              <w:tr2bl w:val="nil"/>
            </w:tcBorders>
            <w:vAlign w:val="center"/>
          </w:tcPr>
          <w:p w14:paraId="72EB2F7F">
            <w:pPr>
              <w:pStyle w:val="34"/>
              <w:keepNext w:val="0"/>
              <w:keepLines w:val="0"/>
              <w:pageBreakBefore w:val="0"/>
              <w:widowControl w:val="0"/>
              <w:suppressLineNumbers w:val="0"/>
              <w:kinsoku/>
              <w:wordWrap/>
              <w:overflowPunct/>
              <w:topLinePunct w:val="0"/>
              <w:autoSpaceDE/>
              <w:autoSpaceDN/>
              <w:bidi w:val="0"/>
              <w:spacing w:before="0" w:beforeAutospacing="0" w:after="0" w:afterAutospacing="0" w:line="320" w:lineRule="exact"/>
              <w:ind w:left="0" w:right="0"/>
              <w:jc w:val="left"/>
              <w:textAlignment w:val="auto"/>
              <w:rPr>
                <w:rFonts w:hint="default" w:eastAsia="宋体"/>
                <w:color w:val="auto"/>
                <w:lang w:val="en-US" w:eastAsia="zh-CN"/>
              </w:rPr>
            </w:pPr>
            <w:r>
              <w:rPr>
                <w:rFonts w:hint="eastAsia"/>
                <w:color w:val="auto"/>
              </w:rPr>
              <w:t>该矿</w:t>
            </w:r>
            <w:r>
              <w:rPr>
                <w:rFonts w:hint="eastAsia"/>
                <w:color w:val="auto"/>
                <w:lang w:val="en-US" w:eastAsia="zh-CN"/>
              </w:rPr>
              <w:t>不</w:t>
            </w:r>
            <w:r>
              <w:rPr>
                <w:rFonts w:hint="eastAsia"/>
                <w:color w:val="auto"/>
              </w:rPr>
              <w:t>设置</w:t>
            </w:r>
            <w:r>
              <w:rPr>
                <w:rFonts w:hint="eastAsia"/>
                <w:color w:val="auto"/>
                <w:lang w:val="en-US" w:eastAsia="zh-CN"/>
              </w:rPr>
              <w:t>废石场，废石和矿石放置在工业场地外运加工，不堵塞山洪通道、沟渠和河道。</w:t>
            </w:r>
          </w:p>
        </w:tc>
        <w:tc>
          <w:tcPr>
            <w:tcW w:w="396" w:type="pct"/>
            <w:tcBorders>
              <w:tl2br w:val="nil"/>
              <w:tr2bl w:val="nil"/>
            </w:tcBorders>
            <w:vAlign w:val="center"/>
          </w:tcPr>
          <w:p w14:paraId="40036009">
            <w:pPr>
              <w:pStyle w:val="34"/>
              <w:keepNext w:val="0"/>
              <w:keepLines w:val="0"/>
              <w:pageBreakBefore w:val="0"/>
              <w:widowControl w:val="0"/>
              <w:suppressLineNumbers w:val="0"/>
              <w:kinsoku/>
              <w:wordWrap/>
              <w:overflowPunct/>
              <w:topLinePunct w:val="0"/>
              <w:autoSpaceDE/>
              <w:autoSpaceDN/>
              <w:bidi w:val="0"/>
              <w:spacing w:before="0" w:beforeAutospacing="0" w:after="0" w:afterAutospacing="0" w:line="320" w:lineRule="exact"/>
              <w:ind w:left="0" w:right="0"/>
              <w:jc w:val="center"/>
              <w:textAlignment w:val="auto"/>
              <w:rPr>
                <w:rFonts w:hint="default"/>
                <w:color w:val="auto"/>
              </w:rPr>
            </w:pPr>
            <w:r>
              <w:rPr>
                <w:rFonts w:hint="eastAsia"/>
                <w:color w:val="auto"/>
                <w:lang w:val="zh-CN"/>
              </w:rPr>
              <w:t>符合</w:t>
            </w:r>
          </w:p>
        </w:tc>
      </w:tr>
      <w:tr w14:paraId="0E2FB82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40" w:hRule="atLeast"/>
          <w:jc w:val="center"/>
        </w:trPr>
        <w:tc>
          <w:tcPr>
            <w:tcW w:w="427" w:type="pct"/>
            <w:tcBorders>
              <w:tl2br w:val="nil"/>
              <w:tr2bl w:val="nil"/>
            </w:tcBorders>
            <w:vAlign w:val="center"/>
          </w:tcPr>
          <w:p w14:paraId="10FD9D14">
            <w:pPr>
              <w:pStyle w:val="34"/>
              <w:keepNext w:val="0"/>
              <w:keepLines w:val="0"/>
              <w:pageBreakBefore w:val="0"/>
              <w:widowControl w:val="0"/>
              <w:numPr>
                <w:ilvl w:val="0"/>
                <w:numId w:val="0"/>
              </w:numPr>
              <w:suppressLineNumbers w:val="0"/>
              <w:kinsoku/>
              <w:wordWrap/>
              <w:overflowPunct/>
              <w:topLinePunct w:val="0"/>
              <w:autoSpaceDE/>
              <w:autoSpaceDN/>
              <w:bidi w:val="0"/>
              <w:spacing w:before="0" w:beforeAutospacing="0" w:after="0" w:afterAutospacing="0" w:line="320" w:lineRule="exact"/>
              <w:ind w:left="0" w:leftChars="0" w:right="0" w:rightChars="0"/>
              <w:jc w:val="center"/>
              <w:textAlignment w:val="auto"/>
              <w:rPr>
                <w:rFonts w:hint="eastAsia" w:eastAsia="宋体"/>
                <w:color w:val="auto"/>
                <w:lang w:val="en-US" w:eastAsia="zh-CN"/>
              </w:rPr>
            </w:pPr>
            <w:r>
              <w:rPr>
                <w:rFonts w:hint="eastAsia"/>
                <w:color w:val="auto"/>
                <w:lang w:val="en-US" w:eastAsia="zh-CN"/>
              </w:rPr>
              <w:t>6</w:t>
            </w:r>
          </w:p>
        </w:tc>
        <w:tc>
          <w:tcPr>
            <w:tcW w:w="1769" w:type="pct"/>
            <w:tcBorders>
              <w:tl2br w:val="nil"/>
              <w:tr2bl w:val="nil"/>
            </w:tcBorders>
            <w:vAlign w:val="center"/>
          </w:tcPr>
          <w:p w14:paraId="642F30E2">
            <w:pPr>
              <w:pStyle w:val="34"/>
              <w:keepNext w:val="0"/>
              <w:keepLines w:val="0"/>
              <w:pageBreakBefore w:val="0"/>
              <w:widowControl w:val="0"/>
              <w:suppressLineNumbers w:val="0"/>
              <w:kinsoku/>
              <w:wordWrap/>
              <w:overflowPunct/>
              <w:topLinePunct w:val="0"/>
              <w:autoSpaceDE/>
              <w:autoSpaceDN/>
              <w:bidi w:val="0"/>
              <w:spacing w:before="0" w:beforeAutospacing="0" w:after="0" w:afterAutospacing="0" w:line="320" w:lineRule="exact"/>
              <w:ind w:left="0" w:right="0"/>
              <w:jc w:val="left"/>
              <w:textAlignment w:val="auto"/>
              <w:rPr>
                <w:rFonts w:hint="default"/>
                <w:color w:val="auto"/>
              </w:rPr>
            </w:pPr>
            <w:r>
              <w:rPr>
                <w:rFonts w:hint="eastAsia"/>
                <w:color w:val="auto"/>
              </w:rPr>
              <w:t>厂址应具有满足生产、生活及发展所必需的水源和电源。水源和电源与厂址之间的管线连接应尽量短捷，且用水、用电量(特别)大的工业企业宜靠近水源及电源地</w:t>
            </w:r>
            <w:r>
              <w:rPr>
                <w:rFonts w:hint="eastAsia"/>
                <w:color w:val="auto"/>
                <w:lang w:val="zh-CN"/>
              </w:rPr>
              <w:t>。</w:t>
            </w:r>
          </w:p>
        </w:tc>
        <w:tc>
          <w:tcPr>
            <w:tcW w:w="989" w:type="pct"/>
            <w:tcBorders>
              <w:tl2br w:val="nil"/>
              <w:tr2bl w:val="nil"/>
            </w:tcBorders>
            <w:vAlign w:val="center"/>
          </w:tcPr>
          <w:p w14:paraId="6C84205C">
            <w:pPr>
              <w:pStyle w:val="34"/>
              <w:keepNext w:val="0"/>
              <w:keepLines w:val="0"/>
              <w:pageBreakBefore w:val="0"/>
              <w:widowControl w:val="0"/>
              <w:suppressLineNumbers w:val="0"/>
              <w:kinsoku/>
              <w:wordWrap/>
              <w:overflowPunct/>
              <w:topLinePunct w:val="0"/>
              <w:autoSpaceDE/>
              <w:autoSpaceDN/>
              <w:bidi w:val="0"/>
              <w:spacing w:before="0" w:beforeAutospacing="0" w:after="0" w:afterAutospacing="0" w:line="320" w:lineRule="exact"/>
              <w:ind w:left="0" w:right="0"/>
              <w:jc w:val="center"/>
              <w:textAlignment w:val="auto"/>
              <w:rPr>
                <w:rFonts w:hint="default"/>
                <w:color w:val="auto"/>
                <w:lang w:val="zh-CN"/>
              </w:rPr>
            </w:pPr>
            <w:r>
              <w:rPr>
                <w:rFonts w:hint="eastAsia"/>
                <w:color w:val="auto"/>
                <w:lang w:val="zh-CN"/>
              </w:rPr>
              <w:t>《工业企业总平面设计规范》</w:t>
            </w:r>
          </w:p>
          <w:p w14:paraId="6053E495">
            <w:pPr>
              <w:pStyle w:val="34"/>
              <w:keepNext w:val="0"/>
              <w:keepLines w:val="0"/>
              <w:pageBreakBefore w:val="0"/>
              <w:widowControl w:val="0"/>
              <w:suppressLineNumbers w:val="0"/>
              <w:kinsoku/>
              <w:wordWrap/>
              <w:overflowPunct/>
              <w:topLinePunct w:val="0"/>
              <w:autoSpaceDE/>
              <w:autoSpaceDN/>
              <w:bidi w:val="0"/>
              <w:spacing w:before="0" w:beforeAutospacing="0" w:after="0" w:afterAutospacing="0" w:line="320" w:lineRule="exact"/>
              <w:ind w:left="0" w:right="0"/>
              <w:jc w:val="center"/>
              <w:textAlignment w:val="auto"/>
              <w:rPr>
                <w:rFonts w:hint="eastAsia" w:eastAsia="宋体"/>
                <w:color w:val="auto"/>
                <w:lang w:val="en-US" w:eastAsia="zh-CN"/>
              </w:rPr>
            </w:pPr>
            <w:r>
              <w:rPr>
                <w:rFonts w:hint="eastAsia"/>
                <w:color w:val="auto"/>
                <w:lang w:val="en-US" w:eastAsia="zh-CN"/>
              </w:rPr>
              <w:t>第</w:t>
            </w:r>
            <w:r>
              <w:rPr>
                <w:rFonts w:hint="eastAsia"/>
                <w:color w:val="auto"/>
              </w:rPr>
              <w:t>3</w:t>
            </w:r>
            <w:r>
              <w:rPr>
                <w:rFonts w:hint="default"/>
                <w:color w:val="auto"/>
              </w:rPr>
              <w:t>.0.</w:t>
            </w:r>
            <w:r>
              <w:rPr>
                <w:rFonts w:hint="eastAsia"/>
                <w:color w:val="auto"/>
              </w:rPr>
              <w:t>6</w:t>
            </w:r>
            <w:r>
              <w:rPr>
                <w:rFonts w:hint="eastAsia"/>
                <w:color w:val="auto"/>
                <w:lang w:val="en-US" w:eastAsia="zh-CN"/>
              </w:rPr>
              <w:t>条</w:t>
            </w:r>
          </w:p>
        </w:tc>
        <w:tc>
          <w:tcPr>
            <w:tcW w:w="1415" w:type="pct"/>
            <w:tcBorders>
              <w:tl2br w:val="nil"/>
              <w:tr2bl w:val="nil"/>
            </w:tcBorders>
            <w:vAlign w:val="center"/>
          </w:tcPr>
          <w:p w14:paraId="0E416F8C">
            <w:pPr>
              <w:pStyle w:val="34"/>
              <w:keepNext w:val="0"/>
              <w:keepLines w:val="0"/>
              <w:pageBreakBefore w:val="0"/>
              <w:widowControl w:val="0"/>
              <w:suppressLineNumbers w:val="0"/>
              <w:kinsoku/>
              <w:wordWrap/>
              <w:overflowPunct/>
              <w:topLinePunct w:val="0"/>
              <w:autoSpaceDE/>
              <w:autoSpaceDN/>
              <w:bidi w:val="0"/>
              <w:spacing w:before="0" w:beforeAutospacing="0" w:after="0" w:afterAutospacing="0" w:line="320" w:lineRule="exact"/>
              <w:ind w:left="0" w:right="0"/>
              <w:jc w:val="left"/>
              <w:textAlignment w:val="auto"/>
              <w:rPr>
                <w:rFonts w:hint="default"/>
                <w:color w:val="auto"/>
              </w:rPr>
            </w:pPr>
            <w:r>
              <w:rPr>
                <w:rFonts w:hint="eastAsia"/>
                <w:color w:val="auto"/>
                <w:lang w:val="zh-CN"/>
              </w:rPr>
              <w:t>该矿</w:t>
            </w:r>
            <w:r>
              <w:rPr>
                <w:rFonts w:hint="eastAsia"/>
                <w:color w:val="auto"/>
              </w:rPr>
              <w:t>具备</w:t>
            </w:r>
            <w:r>
              <w:rPr>
                <w:rFonts w:hint="eastAsia"/>
                <w:color w:val="auto"/>
                <w:lang w:val="zh-CN"/>
              </w:rPr>
              <w:t>水、电资源</w:t>
            </w:r>
            <w:r>
              <w:rPr>
                <w:rFonts w:hint="eastAsia"/>
                <w:color w:val="auto"/>
              </w:rPr>
              <w:t>建设条件</w:t>
            </w:r>
            <w:r>
              <w:rPr>
                <w:rFonts w:hint="eastAsia"/>
                <w:color w:val="auto"/>
                <w:lang w:val="zh-CN"/>
              </w:rPr>
              <w:t>。</w:t>
            </w:r>
          </w:p>
        </w:tc>
        <w:tc>
          <w:tcPr>
            <w:tcW w:w="396" w:type="pct"/>
            <w:tcBorders>
              <w:tl2br w:val="nil"/>
              <w:tr2bl w:val="nil"/>
            </w:tcBorders>
            <w:vAlign w:val="center"/>
          </w:tcPr>
          <w:p w14:paraId="0E5452A7">
            <w:pPr>
              <w:pStyle w:val="34"/>
              <w:keepNext w:val="0"/>
              <w:keepLines w:val="0"/>
              <w:pageBreakBefore w:val="0"/>
              <w:widowControl w:val="0"/>
              <w:suppressLineNumbers w:val="0"/>
              <w:kinsoku/>
              <w:wordWrap/>
              <w:overflowPunct/>
              <w:topLinePunct w:val="0"/>
              <w:autoSpaceDE/>
              <w:autoSpaceDN/>
              <w:bidi w:val="0"/>
              <w:spacing w:before="0" w:beforeAutospacing="0" w:after="0" w:afterAutospacing="0" w:line="320" w:lineRule="exact"/>
              <w:ind w:left="0" w:right="0"/>
              <w:jc w:val="center"/>
              <w:textAlignment w:val="auto"/>
              <w:rPr>
                <w:rFonts w:hint="default"/>
                <w:color w:val="auto"/>
                <w:lang w:val="zh-CN"/>
              </w:rPr>
            </w:pPr>
            <w:r>
              <w:rPr>
                <w:rFonts w:hint="eastAsia"/>
                <w:color w:val="auto"/>
                <w:lang w:val="zh-CN"/>
              </w:rPr>
              <w:t>符合</w:t>
            </w:r>
          </w:p>
        </w:tc>
      </w:tr>
      <w:tr w14:paraId="27B19C0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40" w:hRule="atLeast"/>
          <w:jc w:val="center"/>
        </w:trPr>
        <w:tc>
          <w:tcPr>
            <w:tcW w:w="427" w:type="pct"/>
            <w:tcBorders>
              <w:tl2br w:val="nil"/>
              <w:tr2bl w:val="nil"/>
            </w:tcBorders>
            <w:vAlign w:val="center"/>
          </w:tcPr>
          <w:p w14:paraId="0A88606C">
            <w:pPr>
              <w:pStyle w:val="34"/>
              <w:keepNext w:val="0"/>
              <w:keepLines w:val="0"/>
              <w:pageBreakBefore w:val="0"/>
              <w:widowControl w:val="0"/>
              <w:numPr>
                <w:ilvl w:val="0"/>
                <w:numId w:val="0"/>
              </w:numPr>
              <w:suppressLineNumbers w:val="0"/>
              <w:kinsoku/>
              <w:wordWrap/>
              <w:overflowPunct/>
              <w:topLinePunct w:val="0"/>
              <w:autoSpaceDE/>
              <w:autoSpaceDN/>
              <w:bidi w:val="0"/>
              <w:spacing w:before="0" w:beforeAutospacing="0" w:after="0" w:afterAutospacing="0" w:line="320" w:lineRule="exact"/>
              <w:ind w:left="0" w:leftChars="0" w:right="0" w:rightChars="0"/>
              <w:jc w:val="center"/>
              <w:textAlignment w:val="auto"/>
              <w:rPr>
                <w:rFonts w:hint="eastAsia" w:eastAsia="宋体"/>
                <w:color w:val="auto"/>
                <w:lang w:val="en-US" w:eastAsia="zh-CN"/>
              </w:rPr>
            </w:pPr>
            <w:r>
              <w:rPr>
                <w:rFonts w:hint="eastAsia"/>
                <w:color w:val="auto"/>
                <w:lang w:val="en-US" w:eastAsia="zh-CN"/>
              </w:rPr>
              <w:t>7</w:t>
            </w:r>
          </w:p>
        </w:tc>
        <w:tc>
          <w:tcPr>
            <w:tcW w:w="1769" w:type="pct"/>
            <w:tcBorders>
              <w:tl2br w:val="nil"/>
              <w:tr2bl w:val="nil"/>
            </w:tcBorders>
            <w:vAlign w:val="center"/>
          </w:tcPr>
          <w:p w14:paraId="4902533F">
            <w:pPr>
              <w:pStyle w:val="34"/>
              <w:keepNext w:val="0"/>
              <w:keepLines w:val="0"/>
              <w:pageBreakBefore w:val="0"/>
              <w:widowControl w:val="0"/>
              <w:suppressLineNumbers w:val="0"/>
              <w:kinsoku/>
              <w:wordWrap/>
              <w:overflowPunct/>
              <w:topLinePunct w:val="0"/>
              <w:autoSpaceDE/>
              <w:autoSpaceDN/>
              <w:bidi w:val="0"/>
              <w:spacing w:before="0" w:beforeAutospacing="0" w:after="0" w:afterAutospacing="0" w:line="320" w:lineRule="exact"/>
              <w:ind w:left="0" w:right="0"/>
              <w:jc w:val="left"/>
              <w:textAlignment w:val="auto"/>
              <w:rPr>
                <w:rFonts w:hint="default"/>
                <w:color w:val="auto"/>
              </w:rPr>
            </w:pPr>
            <w:r>
              <w:rPr>
                <w:rFonts w:hint="eastAsia"/>
                <w:color w:val="auto"/>
              </w:rPr>
              <w:t>厂址应具有满足建设工程需要的工程地质条件和水文地质条件。</w:t>
            </w:r>
          </w:p>
        </w:tc>
        <w:tc>
          <w:tcPr>
            <w:tcW w:w="989" w:type="pct"/>
            <w:tcBorders>
              <w:tl2br w:val="nil"/>
              <w:tr2bl w:val="nil"/>
            </w:tcBorders>
            <w:vAlign w:val="center"/>
          </w:tcPr>
          <w:p w14:paraId="40E8D1FD">
            <w:pPr>
              <w:pStyle w:val="34"/>
              <w:keepNext w:val="0"/>
              <w:keepLines w:val="0"/>
              <w:pageBreakBefore w:val="0"/>
              <w:widowControl w:val="0"/>
              <w:suppressLineNumbers w:val="0"/>
              <w:kinsoku/>
              <w:wordWrap/>
              <w:overflowPunct/>
              <w:topLinePunct w:val="0"/>
              <w:autoSpaceDE/>
              <w:autoSpaceDN/>
              <w:bidi w:val="0"/>
              <w:spacing w:before="0" w:beforeAutospacing="0" w:after="0" w:afterAutospacing="0" w:line="320" w:lineRule="exact"/>
              <w:ind w:left="0" w:right="0"/>
              <w:jc w:val="center"/>
              <w:textAlignment w:val="auto"/>
              <w:rPr>
                <w:rFonts w:hint="default"/>
                <w:color w:val="auto"/>
                <w:lang w:val="zh-CN"/>
              </w:rPr>
            </w:pPr>
            <w:r>
              <w:rPr>
                <w:rFonts w:hint="eastAsia"/>
                <w:color w:val="auto"/>
                <w:lang w:val="zh-CN"/>
              </w:rPr>
              <w:t>《工业企业总平面设计规范》</w:t>
            </w:r>
          </w:p>
          <w:p w14:paraId="24739ED6">
            <w:pPr>
              <w:pStyle w:val="34"/>
              <w:keepNext w:val="0"/>
              <w:keepLines w:val="0"/>
              <w:pageBreakBefore w:val="0"/>
              <w:widowControl w:val="0"/>
              <w:suppressLineNumbers w:val="0"/>
              <w:kinsoku/>
              <w:wordWrap/>
              <w:overflowPunct/>
              <w:topLinePunct w:val="0"/>
              <w:autoSpaceDE/>
              <w:autoSpaceDN/>
              <w:bidi w:val="0"/>
              <w:spacing w:before="0" w:beforeAutospacing="0" w:after="0" w:afterAutospacing="0" w:line="320" w:lineRule="exact"/>
              <w:ind w:left="0" w:right="0"/>
              <w:jc w:val="center"/>
              <w:textAlignment w:val="auto"/>
              <w:rPr>
                <w:rFonts w:hint="eastAsia" w:eastAsia="宋体"/>
                <w:color w:val="auto"/>
                <w:lang w:val="en-US" w:eastAsia="zh-CN"/>
              </w:rPr>
            </w:pPr>
            <w:r>
              <w:rPr>
                <w:rFonts w:hint="eastAsia"/>
                <w:color w:val="auto"/>
                <w:lang w:val="en-US" w:eastAsia="zh-CN"/>
              </w:rPr>
              <w:t>第</w:t>
            </w:r>
            <w:r>
              <w:rPr>
                <w:rFonts w:hint="eastAsia"/>
                <w:color w:val="auto"/>
              </w:rPr>
              <w:t>3.0.8</w:t>
            </w:r>
            <w:r>
              <w:rPr>
                <w:rFonts w:hint="eastAsia"/>
                <w:color w:val="auto"/>
                <w:lang w:val="en-US" w:eastAsia="zh-CN"/>
              </w:rPr>
              <w:t>条</w:t>
            </w:r>
          </w:p>
        </w:tc>
        <w:tc>
          <w:tcPr>
            <w:tcW w:w="1415" w:type="pct"/>
            <w:tcBorders>
              <w:tl2br w:val="nil"/>
              <w:tr2bl w:val="nil"/>
            </w:tcBorders>
            <w:vAlign w:val="center"/>
          </w:tcPr>
          <w:p w14:paraId="08B65B6D">
            <w:pPr>
              <w:pStyle w:val="34"/>
              <w:keepNext w:val="0"/>
              <w:keepLines w:val="0"/>
              <w:pageBreakBefore w:val="0"/>
              <w:widowControl w:val="0"/>
              <w:suppressLineNumbers w:val="0"/>
              <w:kinsoku/>
              <w:wordWrap/>
              <w:overflowPunct/>
              <w:topLinePunct w:val="0"/>
              <w:autoSpaceDE/>
              <w:autoSpaceDN/>
              <w:bidi w:val="0"/>
              <w:spacing w:before="0" w:beforeAutospacing="0" w:after="0" w:afterAutospacing="0" w:line="320" w:lineRule="exact"/>
              <w:ind w:left="0" w:right="0"/>
              <w:jc w:val="left"/>
              <w:textAlignment w:val="auto"/>
              <w:rPr>
                <w:rFonts w:hint="default"/>
                <w:color w:val="auto"/>
              </w:rPr>
            </w:pPr>
            <w:r>
              <w:rPr>
                <w:rFonts w:hint="eastAsia"/>
                <w:color w:val="auto"/>
              </w:rPr>
              <w:t>矿区水文地质条件</w:t>
            </w:r>
            <w:r>
              <w:rPr>
                <w:rFonts w:hint="eastAsia"/>
                <w:color w:val="auto"/>
                <w:lang w:eastAsia="zh-CN"/>
              </w:rPr>
              <w:t>和</w:t>
            </w:r>
            <w:r>
              <w:rPr>
                <w:rFonts w:hint="eastAsia"/>
                <w:color w:val="auto"/>
              </w:rPr>
              <w:t>工程地质条件</w:t>
            </w:r>
            <w:r>
              <w:rPr>
                <w:rFonts w:hint="eastAsia"/>
                <w:color w:val="auto"/>
                <w:lang w:eastAsia="zh-CN"/>
              </w:rPr>
              <w:t>满足建设工程的需要</w:t>
            </w:r>
            <w:r>
              <w:rPr>
                <w:rFonts w:hint="eastAsia"/>
                <w:color w:val="auto"/>
              </w:rPr>
              <w:t>。</w:t>
            </w:r>
          </w:p>
        </w:tc>
        <w:tc>
          <w:tcPr>
            <w:tcW w:w="396" w:type="pct"/>
            <w:tcBorders>
              <w:tl2br w:val="nil"/>
              <w:tr2bl w:val="nil"/>
            </w:tcBorders>
            <w:vAlign w:val="center"/>
          </w:tcPr>
          <w:p w14:paraId="7DBACBF0">
            <w:pPr>
              <w:pStyle w:val="34"/>
              <w:keepNext w:val="0"/>
              <w:keepLines w:val="0"/>
              <w:pageBreakBefore w:val="0"/>
              <w:widowControl w:val="0"/>
              <w:suppressLineNumbers w:val="0"/>
              <w:kinsoku/>
              <w:wordWrap/>
              <w:overflowPunct/>
              <w:topLinePunct w:val="0"/>
              <w:autoSpaceDE/>
              <w:autoSpaceDN/>
              <w:bidi w:val="0"/>
              <w:spacing w:before="0" w:beforeAutospacing="0" w:after="0" w:afterAutospacing="0" w:line="320" w:lineRule="exact"/>
              <w:ind w:left="0" w:right="0"/>
              <w:jc w:val="center"/>
              <w:textAlignment w:val="auto"/>
              <w:rPr>
                <w:rFonts w:hint="default"/>
                <w:color w:val="auto"/>
                <w:lang w:val="zh-CN"/>
              </w:rPr>
            </w:pPr>
            <w:r>
              <w:rPr>
                <w:rFonts w:hint="eastAsia"/>
                <w:color w:val="auto"/>
                <w:lang w:val="zh-CN"/>
              </w:rPr>
              <w:t>符合</w:t>
            </w:r>
          </w:p>
        </w:tc>
      </w:tr>
      <w:tr w14:paraId="21120A1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40" w:hRule="atLeast"/>
          <w:jc w:val="center"/>
        </w:trPr>
        <w:tc>
          <w:tcPr>
            <w:tcW w:w="427" w:type="pct"/>
            <w:tcBorders>
              <w:tl2br w:val="nil"/>
              <w:tr2bl w:val="nil"/>
            </w:tcBorders>
            <w:vAlign w:val="center"/>
          </w:tcPr>
          <w:p w14:paraId="5371C3B2">
            <w:pPr>
              <w:pStyle w:val="34"/>
              <w:keepNext w:val="0"/>
              <w:keepLines w:val="0"/>
              <w:pageBreakBefore w:val="0"/>
              <w:widowControl w:val="0"/>
              <w:numPr>
                <w:ilvl w:val="0"/>
                <w:numId w:val="0"/>
              </w:numPr>
              <w:suppressLineNumbers w:val="0"/>
              <w:kinsoku/>
              <w:wordWrap/>
              <w:overflowPunct/>
              <w:topLinePunct w:val="0"/>
              <w:autoSpaceDE/>
              <w:autoSpaceDN/>
              <w:bidi w:val="0"/>
              <w:spacing w:before="0" w:beforeAutospacing="0" w:after="0" w:afterAutospacing="0" w:line="320" w:lineRule="exact"/>
              <w:ind w:left="0" w:leftChars="0" w:right="0" w:rightChars="0"/>
              <w:jc w:val="center"/>
              <w:textAlignment w:val="auto"/>
              <w:rPr>
                <w:rFonts w:hint="eastAsia" w:eastAsia="宋体"/>
                <w:color w:val="auto"/>
                <w:lang w:val="en-US" w:eastAsia="zh-CN"/>
              </w:rPr>
            </w:pPr>
            <w:r>
              <w:rPr>
                <w:rFonts w:hint="eastAsia"/>
                <w:color w:val="auto"/>
                <w:lang w:val="en-US" w:eastAsia="zh-CN"/>
              </w:rPr>
              <w:t>8</w:t>
            </w:r>
          </w:p>
        </w:tc>
        <w:tc>
          <w:tcPr>
            <w:tcW w:w="1769" w:type="pct"/>
            <w:tcBorders>
              <w:tl2br w:val="nil"/>
              <w:tr2bl w:val="nil"/>
            </w:tcBorders>
            <w:vAlign w:val="center"/>
          </w:tcPr>
          <w:p w14:paraId="3C340ABF">
            <w:pPr>
              <w:pStyle w:val="34"/>
              <w:keepNext w:val="0"/>
              <w:keepLines w:val="0"/>
              <w:pageBreakBefore w:val="0"/>
              <w:widowControl w:val="0"/>
              <w:suppressLineNumbers w:val="0"/>
              <w:kinsoku/>
              <w:wordWrap/>
              <w:overflowPunct/>
              <w:topLinePunct w:val="0"/>
              <w:autoSpaceDE/>
              <w:autoSpaceDN/>
              <w:bidi w:val="0"/>
              <w:spacing w:before="0" w:beforeAutospacing="0" w:after="0" w:afterAutospacing="0" w:line="320" w:lineRule="exact"/>
              <w:ind w:left="0" w:right="0"/>
              <w:jc w:val="left"/>
              <w:textAlignment w:val="auto"/>
              <w:rPr>
                <w:rFonts w:hint="default"/>
                <w:color w:val="auto"/>
              </w:rPr>
            </w:pPr>
            <w:r>
              <w:rPr>
                <w:rFonts w:hint="default"/>
                <w:color w:val="auto"/>
              </w:rPr>
              <w:t>重要的供水水源卫生保护区；国家规定的风景区及森林和自然保护区；历史文物古迹保护区</w:t>
            </w:r>
            <w:r>
              <w:rPr>
                <w:rFonts w:hint="eastAsia"/>
                <w:color w:val="auto"/>
              </w:rPr>
              <w:t>等</w:t>
            </w:r>
            <w:r>
              <w:rPr>
                <w:rFonts w:hint="default"/>
                <w:color w:val="auto"/>
              </w:rPr>
              <w:t>地段和地区不得选为厂址</w:t>
            </w:r>
            <w:r>
              <w:rPr>
                <w:rFonts w:hint="eastAsia"/>
                <w:color w:val="auto"/>
              </w:rPr>
              <w:t>。</w:t>
            </w:r>
          </w:p>
        </w:tc>
        <w:tc>
          <w:tcPr>
            <w:tcW w:w="989" w:type="pct"/>
            <w:tcBorders>
              <w:tl2br w:val="nil"/>
              <w:tr2bl w:val="nil"/>
            </w:tcBorders>
            <w:vAlign w:val="center"/>
          </w:tcPr>
          <w:p w14:paraId="2C0F333A">
            <w:pPr>
              <w:pStyle w:val="34"/>
              <w:keepNext w:val="0"/>
              <w:keepLines w:val="0"/>
              <w:pageBreakBefore w:val="0"/>
              <w:widowControl w:val="0"/>
              <w:suppressLineNumbers w:val="0"/>
              <w:kinsoku/>
              <w:wordWrap/>
              <w:overflowPunct/>
              <w:topLinePunct w:val="0"/>
              <w:autoSpaceDE/>
              <w:autoSpaceDN/>
              <w:bidi w:val="0"/>
              <w:spacing w:before="0" w:beforeAutospacing="0" w:after="0" w:afterAutospacing="0" w:line="320" w:lineRule="exact"/>
              <w:ind w:left="0" w:right="0"/>
              <w:jc w:val="center"/>
              <w:textAlignment w:val="auto"/>
              <w:rPr>
                <w:rFonts w:hint="default"/>
                <w:color w:val="auto"/>
              </w:rPr>
            </w:pPr>
            <w:r>
              <w:rPr>
                <w:rFonts w:hint="eastAsia"/>
                <w:color w:val="auto"/>
              </w:rPr>
              <w:t>《工业企业总平面设计规范》</w:t>
            </w:r>
          </w:p>
          <w:p w14:paraId="0F772DB7">
            <w:pPr>
              <w:pStyle w:val="34"/>
              <w:keepNext w:val="0"/>
              <w:keepLines w:val="0"/>
              <w:pageBreakBefore w:val="0"/>
              <w:widowControl w:val="0"/>
              <w:suppressLineNumbers w:val="0"/>
              <w:kinsoku/>
              <w:wordWrap/>
              <w:overflowPunct/>
              <w:topLinePunct w:val="0"/>
              <w:autoSpaceDE/>
              <w:autoSpaceDN/>
              <w:bidi w:val="0"/>
              <w:spacing w:before="0" w:beforeAutospacing="0" w:after="0" w:afterAutospacing="0" w:line="320" w:lineRule="exact"/>
              <w:ind w:left="0" w:right="0"/>
              <w:jc w:val="center"/>
              <w:textAlignment w:val="auto"/>
              <w:rPr>
                <w:rFonts w:hint="eastAsia" w:eastAsia="宋体"/>
                <w:color w:val="auto"/>
                <w:lang w:val="en-US" w:eastAsia="zh-CN"/>
              </w:rPr>
            </w:pPr>
            <w:r>
              <w:rPr>
                <w:rFonts w:hint="eastAsia"/>
                <w:color w:val="auto"/>
                <w:lang w:val="en-US" w:eastAsia="zh-CN"/>
              </w:rPr>
              <w:t>第</w:t>
            </w:r>
            <w:r>
              <w:rPr>
                <w:rFonts w:hint="eastAsia"/>
                <w:color w:val="auto"/>
              </w:rPr>
              <w:t>3</w:t>
            </w:r>
            <w:r>
              <w:rPr>
                <w:rFonts w:hint="default"/>
                <w:color w:val="auto"/>
              </w:rPr>
              <w:t>.</w:t>
            </w:r>
            <w:r>
              <w:rPr>
                <w:rFonts w:hint="eastAsia"/>
                <w:color w:val="auto"/>
              </w:rPr>
              <w:t>0</w:t>
            </w:r>
            <w:r>
              <w:rPr>
                <w:rFonts w:hint="default"/>
                <w:color w:val="auto"/>
              </w:rPr>
              <w:t>.</w:t>
            </w:r>
            <w:r>
              <w:rPr>
                <w:rFonts w:hint="eastAsia"/>
                <w:color w:val="auto"/>
              </w:rPr>
              <w:t>14</w:t>
            </w:r>
            <w:r>
              <w:rPr>
                <w:rFonts w:hint="eastAsia"/>
                <w:color w:val="auto"/>
                <w:lang w:val="en-US" w:eastAsia="zh-CN"/>
              </w:rPr>
              <w:t>条</w:t>
            </w:r>
          </w:p>
        </w:tc>
        <w:tc>
          <w:tcPr>
            <w:tcW w:w="1415" w:type="pct"/>
            <w:tcBorders>
              <w:tl2br w:val="nil"/>
              <w:tr2bl w:val="nil"/>
            </w:tcBorders>
            <w:vAlign w:val="center"/>
          </w:tcPr>
          <w:p w14:paraId="5331F438">
            <w:pPr>
              <w:pStyle w:val="34"/>
              <w:keepNext w:val="0"/>
              <w:keepLines w:val="0"/>
              <w:pageBreakBefore w:val="0"/>
              <w:widowControl w:val="0"/>
              <w:suppressLineNumbers w:val="0"/>
              <w:kinsoku/>
              <w:wordWrap/>
              <w:overflowPunct/>
              <w:topLinePunct w:val="0"/>
              <w:autoSpaceDE/>
              <w:autoSpaceDN/>
              <w:bidi w:val="0"/>
              <w:spacing w:before="0" w:beforeAutospacing="0" w:after="0" w:afterAutospacing="0" w:line="320" w:lineRule="exact"/>
              <w:ind w:left="0" w:right="0"/>
              <w:jc w:val="left"/>
              <w:textAlignment w:val="auto"/>
              <w:rPr>
                <w:rFonts w:hint="default"/>
                <w:color w:val="auto"/>
              </w:rPr>
            </w:pPr>
            <w:r>
              <w:rPr>
                <w:rFonts w:hint="eastAsia"/>
                <w:color w:val="auto"/>
              </w:rPr>
              <w:t>矿区周边无</w:t>
            </w:r>
            <w:r>
              <w:rPr>
                <w:rFonts w:hint="eastAsia"/>
                <w:color w:val="auto"/>
                <w:lang w:eastAsia="zh-CN"/>
              </w:rPr>
              <w:t>水源保护区</w:t>
            </w:r>
            <w:r>
              <w:rPr>
                <w:rFonts w:hint="eastAsia"/>
                <w:color w:val="auto"/>
              </w:rPr>
              <w:t>、</w:t>
            </w:r>
            <w:r>
              <w:rPr>
                <w:rFonts w:hint="eastAsia"/>
                <w:color w:val="auto"/>
                <w:lang w:eastAsia="zh-CN"/>
              </w:rPr>
              <w:t>风景区、自然保护区及古迹保护区等</w:t>
            </w:r>
            <w:r>
              <w:rPr>
                <w:rFonts w:hint="eastAsia"/>
                <w:color w:val="auto"/>
              </w:rPr>
              <w:t>。</w:t>
            </w:r>
          </w:p>
        </w:tc>
        <w:tc>
          <w:tcPr>
            <w:tcW w:w="396" w:type="pct"/>
            <w:tcBorders>
              <w:tl2br w:val="nil"/>
              <w:tr2bl w:val="nil"/>
            </w:tcBorders>
            <w:vAlign w:val="center"/>
          </w:tcPr>
          <w:p w14:paraId="1094EDCB">
            <w:pPr>
              <w:pStyle w:val="34"/>
              <w:keepNext w:val="0"/>
              <w:keepLines w:val="0"/>
              <w:pageBreakBefore w:val="0"/>
              <w:widowControl w:val="0"/>
              <w:suppressLineNumbers w:val="0"/>
              <w:kinsoku/>
              <w:wordWrap/>
              <w:overflowPunct/>
              <w:topLinePunct w:val="0"/>
              <w:autoSpaceDE/>
              <w:autoSpaceDN/>
              <w:bidi w:val="0"/>
              <w:spacing w:before="0" w:beforeAutospacing="0" w:after="0" w:afterAutospacing="0" w:line="320" w:lineRule="exact"/>
              <w:ind w:left="0" w:right="0"/>
              <w:jc w:val="center"/>
              <w:textAlignment w:val="auto"/>
              <w:rPr>
                <w:rFonts w:hint="default"/>
                <w:color w:val="auto"/>
                <w:lang w:val="zh-CN"/>
              </w:rPr>
            </w:pPr>
            <w:r>
              <w:rPr>
                <w:rFonts w:hint="eastAsia"/>
                <w:color w:val="auto"/>
                <w:lang w:val="zh-CN"/>
              </w:rPr>
              <w:t>符合</w:t>
            </w:r>
          </w:p>
        </w:tc>
      </w:tr>
    </w:tbl>
    <w:p w14:paraId="596438FC">
      <w:pPr>
        <w:ind w:firstLine="560"/>
        <w:rPr>
          <w:rFonts w:hint="eastAsia" w:eastAsia="宋体"/>
          <w:color w:val="auto"/>
          <w:lang w:val="en-US" w:eastAsia="zh-CN"/>
        </w:rPr>
      </w:pPr>
      <w:r>
        <w:rPr>
          <w:rFonts w:hint="eastAsia"/>
          <w:color w:val="auto"/>
        </w:rPr>
        <w:t>经检查，拟建矿山</w:t>
      </w:r>
      <w:r>
        <w:rPr>
          <w:rFonts w:hint="eastAsia"/>
          <w:color w:val="auto"/>
          <w:lang w:val="en-US" w:eastAsia="zh-CN"/>
        </w:rPr>
        <w:t>总</w:t>
      </w:r>
      <w:r>
        <w:rPr>
          <w:rFonts w:hint="eastAsia"/>
          <w:color w:val="auto"/>
        </w:rPr>
        <w:t>平面布置</w:t>
      </w:r>
      <w:r>
        <w:rPr>
          <w:rFonts w:hint="eastAsia"/>
          <w:color w:val="auto"/>
          <w:lang w:val="en-US" w:eastAsia="zh-CN"/>
        </w:rPr>
        <w:t>符合</w:t>
      </w:r>
      <w:r>
        <w:rPr>
          <w:rFonts w:hint="eastAsia"/>
          <w:color w:val="auto"/>
        </w:rPr>
        <w:t>要求。</w:t>
      </w:r>
    </w:p>
    <w:p w14:paraId="28A7B9BD">
      <w:pPr>
        <w:pStyle w:val="4"/>
        <w:rPr>
          <w:color w:val="auto"/>
        </w:rPr>
      </w:pPr>
      <w:r>
        <w:rPr>
          <w:rFonts w:hint="eastAsia"/>
          <w:color w:val="auto"/>
        </w:rPr>
        <w:t>3.</w:t>
      </w:r>
      <w:r>
        <w:rPr>
          <w:rFonts w:hint="eastAsia"/>
          <w:color w:val="auto"/>
          <w:lang w:val="en-US" w:eastAsia="zh-CN"/>
        </w:rPr>
        <w:t>1</w:t>
      </w:r>
      <w:r>
        <w:rPr>
          <w:rFonts w:hint="eastAsia"/>
          <w:color w:val="auto"/>
        </w:rPr>
        <w:t>.2</w:t>
      </w:r>
      <w:r>
        <w:rPr>
          <w:color w:val="auto"/>
        </w:rPr>
        <w:t>厂址</w:t>
      </w:r>
      <w:r>
        <w:rPr>
          <w:rFonts w:hint="eastAsia"/>
          <w:color w:val="auto"/>
        </w:rPr>
        <w:t>选择</w:t>
      </w:r>
      <w:r>
        <w:rPr>
          <w:color w:val="auto"/>
        </w:rPr>
        <w:t>及周边环境影响评价</w:t>
      </w:r>
    </w:p>
    <w:p w14:paraId="6EAD1B8A">
      <w:pPr>
        <w:pStyle w:val="5"/>
        <w:rPr>
          <w:color w:val="auto"/>
          <w:lang w:val="en-GB"/>
        </w:rPr>
      </w:pPr>
      <w:r>
        <w:rPr>
          <w:rFonts w:hint="eastAsia"/>
          <w:color w:val="auto"/>
        </w:rPr>
        <w:t>3.</w:t>
      </w:r>
      <w:r>
        <w:rPr>
          <w:rFonts w:hint="eastAsia"/>
          <w:color w:val="auto"/>
          <w:lang w:val="en-US" w:eastAsia="zh-CN"/>
        </w:rPr>
        <w:t>1</w:t>
      </w:r>
      <w:r>
        <w:rPr>
          <w:rFonts w:hint="eastAsia"/>
          <w:color w:val="auto"/>
        </w:rPr>
        <w:t>.2.1</w:t>
      </w:r>
      <w:r>
        <w:rPr>
          <w:rFonts w:hint="eastAsia"/>
          <w:color w:val="auto"/>
          <w:lang w:val="en-GB"/>
        </w:rPr>
        <w:t>场内平面布置评价</w:t>
      </w:r>
    </w:p>
    <w:p w14:paraId="4B5BB3CC">
      <w:pPr>
        <w:keepNext w:val="0"/>
        <w:keepLines w:val="0"/>
        <w:pageBreakBefore w:val="0"/>
        <w:widowControl w:val="0"/>
        <w:kinsoku/>
        <w:wordWrap/>
        <w:overflowPunct/>
        <w:topLinePunct w:val="0"/>
        <w:autoSpaceDE/>
        <w:autoSpaceDN/>
        <w:bidi w:val="0"/>
        <w:adjustRightInd/>
        <w:snapToGrid/>
        <w:ind w:left="0" w:leftChars="0" w:firstLine="560" w:firstLineChars="200"/>
        <w:textAlignment w:val="auto"/>
        <w:rPr>
          <w:rFonts w:hint="eastAsia"/>
          <w:color w:val="auto"/>
          <w:lang w:val="en-US" w:eastAsia="zh-CN"/>
        </w:rPr>
      </w:pPr>
      <w:r>
        <w:rPr>
          <w:rFonts w:hint="eastAsia"/>
          <w:color w:val="auto"/>
          <w:lang w:val="en-US" w:eastAsia="zh-CN"/>
        </w:rPr>
        <w:t>矿井地表若由于大暴雨引发洪水、滑坡、泥石流等，可能会造成井下涌水增大，冲毁、淹没地面设施、运输道路。因此自然及地质等危险有害因素一旦发生，其后果较为严重，矿山需高度重视。</w:t>
      </w:r>
    </w:p>
    <w:p w14:paraId="170AC0BC">
      <w:pPr>
        <w:keepNext w:val="0"/>
        <w:keepLines w:val="0"/>
        <w:pageBreakBefore w:val="0"/>
        <w:widowControl w:val="0"/>
        <w:kinsoku/>
        <w:wordWrap/>
        <w:overflowPunct/>
        <w:topLinePunct w:val="0"/>
        <w:autoSpaceDE/>
        <w:autoSpaceDN/>
        <w:bidi w:val="0"/>
        <w:adjustRightInd/>
        <w:snapToGrid/>
        <w:ind w:left="0" w:leftChars="0" w:firstLine="560" w:firstLineChars="200"/>
        <w:textAlignment w:val="auto"/>
        <w:rPr>
          <w:rFonts w:hint="eastAsia" w:eastAsia="宋体"/>
          <w:color w:val="auto"/>
          <w:lang w:eastAsia="zh-CN"/>
        </w:rPr>
      </w:pPr>
      <w:r>
        <w:rPr>
          <w:rFonts w:hint="eastAsia"/>
          <w:color w:val="auto"/>
          <w:lang w:val="en-US" w:eastAsia="zh-CN"/>
        </w:rPr>
        <w:t>矿山拟采用中深孔房柱法采矿。设计</w:t>
      </w:r>
      <w:r>
        <w:rPr>
          <w:color w:val="auto"/>
          <w:szCs w:val="28"/>
        </w:rPr>
        <w:t>根据该矿矿岩性质及所采用的采矿方法，并同类似矿山进行比较，取上盘岩石移动角65°，下盘岩石移动角</w:t>
      </w:r>
      <w:r>
        <w:rPr>
          <w:rFonts w:hint="eastAsia"/>
          <w:color w:val="auto"/>
          <w:szCs w:val="28"/>
          <w:lang w:val="en-US" w:eastAsia="zh-CN"/>
        </w:rPr>
        <w:t>65</w:t>
      </w:r>
      <w:r>
        <w:rPr>
          <w:color w:val="auto"/>
          <w:szCs w:val="28"/>
        </w:rPr>
        <w:t>°，</w:t>
      </w:r>
      <w:r>
        <w:rPr>
          <w:rFonts w:hint="eastAsia"/>
          <w:color w:val="auto"/>
          <w:szCs w:val="28"/>
          <w:lang w:val="en-US" w:eastAsia="zh-CN"/>
        </w:rPr>
        <w:t>端部</w:t>
      </w:r>
      <w:r>
        <w:rPr>
          <w:color w:val="auto"/>
          <w:szCs w:val="28"/>
        </w:rPr>
        <w:t>岩石移动角70°</w:t>
      </w:r>
      <w:r>
        <w:rPr>
          <w:rFonts w:hint="eastAsia"/>
          <w:color w:val="auto"/>
        </w:rPr>
        <w:t>圈定了开采围岩影响范围</w:t>
      </w:r>
      <w:r>
        <w:rPr>
          <w:rFonts w:hint="eastAsia"/>
          <w:color w:val="auto"/>
          <w:lang w:eastAsia="zh-CN"/>
        </w:rPr>
        <w:t>。</w:t>
      </w:r>
    </w:p>
    <w:p w14:paraId="1F3E2EBA">
      <w:pPr>
        <w:ind w:firstLine="560"/>
        <w:rPr>
          <w:rFonts w:hint="eastAsia"/>
          <w:color w:val="auto"/>
          <w:szCs w:val="28"/>
          <w:lang w:eastAsia="zh-CN"/>
        </w:rPr>
      </w:pPr>
      <w:r>
        <w:rPr>
          <w:rFonts w:hint="eastAsia"/>
          <w:color w:val="auto"/>
          <w:szCs w:val="28"/>
          <w:lang w:eastAsia="zh-CN"/>
        </w:rPr>
        <w:t>矿区处在小峪河主河道东南部，距离矿区约100m，最低侵蚀基准面标高1222m，根据详查报告调查，近二十年来矿区在丰水年最高洪水位水位高均在</w:t>
      </w:r>
      <w:r>
        <w:rPr>
          <w:rFonts w:hint="eastAsia"/>
          <w:color w:val="auto"/>
          <w:szCs w:val="28"/>
          <w:lang w:val="en-US" w:eastAsia="zh-CN"/>
        </w:rPr>
        <w:t>1223.5m</w:t>
      </w:r>
      <w:r>
        <w:rPr>
          <w:rFonts w:hint="eastAsia"/>
          <w:color w:val="auto"/>
          <w:szCs w:val="28"/>
          <w:lang w:eastAsia="zh-CN"/>
        </w:rPr>
        <w:t>以下，矿区场地标高约1228m。因此，小峪河水位</w:t>
      </w:r>
      <w:r>
        <w:rPr>
          <w:rFonts w:hint="eastAsia"/>
          <w:color w:val="auto"/>
          <w:szCs w:val="28"/>
          <w:lang w:val="en-US" w:eastAsia="zh-CN"/>
        </w:rPr>
        <w:t>基本</w:t>
      </w:r>
      <w:r>
        <w:rPr>
          <w:rFonts w:hint="eastAsia"/>
          <w:color w:val="auto"/>
          <w:szCs w:val="28"/>
          <w:lang w:eastAsia="zh-CN"/>
        </w:rPr>
        <w:t>不会影响后期矿山开发。</w:t>
      </w:r>
    </w:p>
    <w:p w14:paraId="10DA9F0D">
      <w:pPr>
        <w:pStyle w:val="5"/>
        <w:rPr>
          <w:color w:val="auto"/>
          <w:lang w:val="en-GB"/>
        </w:rPr>
      </w:pPr>
      <w:r>
        <w:rPr>
          <w:rFonts w:hint="eastAsia"/>
          <w:color w:val="auto"/>
        </w:rPr>
        <w:t>3.</w:t>
      </w:r>
      <w:r>
        <w:rPr>
          <w:rFonts w:hint="eastAsia"/>
          <w:color w:val="auto"/>
          <w:lang w:val="en-US" w:eastAsia="zh-CN"/>
        </w:rPr>
        <w:t>1</w:t>
      </w:r>
      <w:r>
        <w:rPr>
          <w:rFonts w:hint="eastAsia"/>
          <w:color w:val="auto"/>
        </w:rPr>
        <w:t>.2.2</w:t>
      </w:r>
      <w:r>
        <w:rPr>
          <w:rFonts w:hint="eastAsia"/>
          <w:color w:val="auto"/>
          <w:lang w:val="en-GB"/>
        </w:rPr>
        <w:t>建设项目与周边环境相互影响评价</w:t>
      </w:r>
    </w:p>
    <w:p w14:paraId="3DD5AFFC">
      <w:pPr>
        <w:pageBreakBefore w:val="0"/>
        <w:widowControl w:val="0"/>
        <w:kinsoku/>
        <w:wordWrap/>
        <w:overflowPunct/>
        <w:topLinePunct w:val="0"/>
        <w:autoSpaceDE/>
        <w:autoSpaceDN/>
        <w:bidi w:val="0"/>
        <w:adjustRightInd/>
        <w:snapToGrid/>
        <w:ind w:left="0" w:leftChars="0" w:firstLine="560" w:firstLineChars="200"/>
        <w:textAlignment w:val="auto"/>
        <w:rPr>
          <w:color w:val="auto"/>
        </w:rPr>
      </w:pPr>
      <w:r>
        <w:rPr>
          <w:rFonts w:hint="eastAsia"/>
          <w:color w:val="auto"/>
          <w:lang w:val="en-US" w:eastAsia="zh-CN"/>
        </w:rPr>
        <w:t>该矿</w:t>
      </w:r>
      <w:r>
        <w:rPr>
          <w:rFonts w:hint="eastAsia"/>
          <w:color w:val="auto"/>
        </w:rPr>
        <w:t>地下开采与周边环境相互</w:t>
      </w:r>
      <w:bookmarkStart w:id="191" w:name="_GoBack"/>
      <w:bookmarkEnd w:id="191"/>
      <w:r>
        <w:rPr>
          <w:rFonts w:hint="eastAsia"/>
          <w:color w:val="auto"/>
        </w:rPr>
        <w:t>安全影响分析如下：</w:t>
      </w:r>
    </w:p>
    <w:p w14:paraId="69E653E2">
      <w:pPr>
        <w:ind w:firstLine="560"/>
        <w:rPr>
          <w:rFonts w:hint="eastAsia" w:cstheme="minorBidi"/>
          <w:color w:val="auto"/>
          <w:kern w:val="2"/>
          <w:sz w:val="28"/>
          <w:szCs w:val="22"/>
          <w:lang w:val="en-US" w:eastAsia="zh-CN" w:bidi="ar-SA"/>
        </w:rPr>
      </w:pPr>
      <w:r>
        <w:rPr>
          <w:rFonts w:hint="eastAsia"/>
          <w:color w:val="auto"/>
          <w:szCs w:val="28"/>
        </w:rPr>
        <w:t>矿区采矿权标高范围</w:t>
      </w:r>
      <w:r>
        <w:rPr>
          <w:rFonts w:hint="eastAsia"/>
          <w:color w:val="auto"/>
          <w:szCs w:val="28"/>
          <w:lang w:val="en-US" w:eastAsia="zh-CN"/>
        </w:rPr>
        <w:t>1325-1230</w:t>
      </w:r>
      <w:r>
        <w:rPr>
          <w:rFonts w:hint="eastAsia"/>
          <w:color w:val="auto"/>
          <w:szCs w:val="28"/>
        </w:rPr>
        <w:t>m，周边无其他探、采矿权设置，矿权内无国家公园、自然保护区、风景名胜区、地质公园、森林公园、湿地公园、水产种质资源保护区、野生植物原生境保护区(点)、野生动物重要栖息地以及饮用水水源保护区、文物保护区等。</w:t>
      </w:r>
    </w:p>
    <w:p w14:paraId="165FD0EA">
      <w:pPr>
        <w:pStyle w:val="5"/>
        <w:rPr>
          <w:rFonts w:hint="eastAsia" w:ascii="宋体" w:hAnsi="宋体" w:eastAsia="宋体"/>
          <w:color w:val="auto"/>
        </w:rPr>
      </w:pPr>
      <w:r>
        <w:rPr>
          <w:rFonts w:hint="eastAsia" w:ascii="宋体" w:hAnsi="宋体" w:eastAsia="宋体"/>
          <w:color w:val="auto"/>
        </w:rPr>
        <w:t>3</w:t>
      </w:r>
      <w:r>
        <w:rPr>
          <w:rFonts w:hint="eastAsia" w:ascii="宋体" w:hAnsi="宋体" w:eastAsia="宋体"/>
          <w:color w:val="auto"/>
          <w:lang w:val="en-US" w:eastAsia="zh-CN"/>
        </w:rPr>
        <w:t>.</w:t>
      </w:r>
      <w:r>
        <w:rPr>
          <w:rFonts w:hint="eastAsia"/>
          <w:color w:val="auto"/>
          <w:lang w:val="en-US" w:eastAsia="zh-CN"/>
        </w:rPr>
        <w:t>1</w:t>
      </w:r>
      <w:r>
        <w:rPr>
          <w:rFonts w:hint="eastAsia" w:ascii="宋体" w:hAnsi="宋体" w:eastAsia="宋体"/>
          <w:color w:val="auto"/>
          <w:lang w:val="en-US" w:eastAsia="zh-CN"/>
        </w:rPr>
        <w:t>.2.3</w:t>
      </w:r>
      <w:r>
        <w:rPr>
          <w:rFonts w:hint="eastAsia" w:ascii="宋体" w:hAnsi="宋体" w:eastAsia="宋体"/>
          <w:color w:val="auto"/>
        </w:rPr>
        <w:t>单元评价结论</w:t>
      </w:r>
    </w:p>
    <w:p w14:paraId="31568EA0">
      <w:pPr>
        <w:ind w:firstLine="560"/>
        <w:rPr>
          <w:color w:val="auto"/>
        </w:rPr>
      </w:pPr>
      <w:r>
        <w:rPr>
          <w:rFonts w:hint="eastAsia"/>
          <w:color w:val="auto"/>
          <w:lang w:val="en-US" w:eastAsia="zh-CN"/>
        </w:rPr>
        <w:t>可研报告</w:t>
      </w:r>
      <w:r>
        <w:rPr>
          <w:rFonts w:hint="eastAsia"/>
          <w:color w:val="auto"/>
        </w:rPr>
        <w:t>对该项目选址、总平面布置进行了设计，总平面布置总体合理；经评价，</w:t>
      </w:r>
      <w:r>
        <w:rPr>
          <w:rFonts w:hint="eastAsia"/>
          <w:color w:val="auto"/>
          <w:lang w:val="en-US" w:eastAsia="zh-CN"/>
        </w:rPr>
        <w:t>凤县李家庄方解石矿</w:t>
      </w:r>
      <w:r>
        <w:rPr>
          <w:rFonts w:hint="eastAsia"/>
          <w:color w:val="auto"/>
        </w:rPr>
        <w:t>地下开采</w:t>
      </w:r>
      <w:r>
        <w:rPr>
          <w:rFonts w:hint="eastAsia"/>
          <w:color w:val="auto"/>
          <w:lang w:val="en-US" w:eastAsia="zh-CN"/>
        </w:rPr>
        <w:t>与</w:t>
      </w:r>
      <w:r>
        <w:rPr>
          <w:rFonts w:hint="eastAsia"/>
          <w:color w:val="auto"/>
        </w:rPr>
        <w:t>周边设施</w:t>
      </w:r>
      <w:r>
        <w:rPr>
          <w:rFonts w:hint="eastAsia"/>
          <w:color w:val="auto"/>
          <w:lang w:val="en-US" w:eastAsia="zh-CN"/>
        </w:rPr>
        <w:t>之间无相互安全影响</w:t>
      </w:r>
      <w:r>
        <w:rPr>
          <w:rFonts w:hint="eastAsia"/>
          <w:color w:val="auto"/>
        </w:rPr>
        <w:t>，符合《工业企业总平面设计规范》、《金属非金属矿山安全规程》等有关规范要求，总平面布置合理、可行。</w:t>
      </w:r>
    </w:p>
    <w:p w14:paraId="721EB69B">
      <w:pPr>
        <w:pStyle w:val="3"/>
        <w:spacing w:before="120" w:beforeLines="0" w:after="120" w:afterLines="0" w:line="560" w:lineRule="exact"/>
        <w:rPr>
          <w:color w:val="auto"/>
        </w:rPr>
      </w:pPr>
      <w:bookmarkStart w:id="107" w:name="_Toc458241092"/>
      <w:bookmarkStart w:id="108" w:name="_Toc17121"/>
      <w:bookmarkStart w:id="109" w:name="_Toc19007"/>
      <w:r>
        <w:rPr>
          <w:rFonts w:hint="eastAsia"/>
          <w:color w:val="auto"/>
        </w:rPr>
        <w:t>3.</w:t>
      </w:r>
      <w:r>
        <w:rPr>
          <w:rFonts w:hint="eastAsia"/>
          <w:color w:val="auto"/>
          <w:lang w:val="en-US" w:eastAsia="zh-CN"/>
        </w:rPr>
        <w:t>2</w:t>
      </w:r>
      <w:r>
        <w:rPr>
          <w:rFonts w:hint="eastAsia"/>
          <w:color w:val="auto"/>
        </w:rPr>
        <w:t xml:space="preserve"> 开拓单元</w:t>
      </w:r>
      <w:bookmarkEnd w:id="107"/>
      <w:bookmarkEnd w:id="108"/>
      <w:bookmarkEnd w:id="109"/>
    </w:p>
    <w:p w14:paraId="0B9B64F8">
      <w:pPr>
        <w:pStyle w:val="4"/>
        <w:tabs>
          <w:tab w:val="left" w:pos="8265"/>
        </w:tabs>
        <w:spacing w:before="120" w:beforeLines="0" w:after="120" w:afterLines="0"/>
        <w:rPr>
          <w:color w:val="auto"/>
        </w:rPr>
      </w:pPr>
      <w:bookmarkStart w:id="110" w:name="_Toc30488"/>
      <w:bookmarkStart w:id="111" w:name="_Toc384810365"/>
      <w:bookmarkStart w:id="112" w:name="_Toc19178"/>
      <w:bookmarkStart w:id="113" w:name="_Toc26224"/>
      <w:r>
        <w:rPr>
          <w:rFonts w:hint="eastAsia"/>
          <w:color w:val="auto"/>
        </w:rPr>
        <w:t>3.</w:t>
      </w:r>
      <w:r>
        <w:rPr>
          <w:rFonts w:hint="eastAsia"/>
          <w:color w:val="auto"/>
          <w:lang w:val="en-US" w:eastAsia="zh-CN"/>
        </w:rPr>
        <w:t>2</w:t>
      </w:r>
      <w:r>
        <w:rPr>
          <w:rFonts w:hint="eastAsia"/>
          <w:color w:val="auto"/>
        </w:rPr>
        <w:t>.1 开拓单元危险、有害因素分析</w:t>
      </w:r>
      <w:bookmarkEnd w:id="110"/>
      <w:bookmarkEnd w:id="111"/>
      <w:bookmarkEnd w:id="112"/>
      <w:bookmarkEnd w:id="113"/>
    </w:p>
    <w:p w14:paraId="5EBBDB93">
      <w:pPr>
        <w:ind w:firstLine="560"/>
        <w:rPr>
          <w:color w:val="auto"/>
        </w:rPr>
      </w:pPr>
      <w:r>
        <w:rPr>
          <w:rFonts w:hint="eastAsia"/>
          <w:color w:val="auto"/>
        </w:rPr>
        <w:t>矿山开拓单元中存在的主要危险因素是高处坠落、冒顶片帮等危险。本次评价采用预先危险性分析法对其进行分析评价，本单元采用预先危险性见下表3.</w:t>
      </w:r>
      <w:r>
        <w:rPr>
          <w:rFonts w:hint="eastAsia"/>
          <w:color w:val="auto"/>
          <w:lang w:val="en-US" w:eastAsia="zh-CN"/>
        </w:rPr>
        <w:t>2</w:t>
      </w:r>
      <w:r>
        <w:rPr>
          <w:rFonts w:hint="eastAsia"/>
          <w:color w:val="auto"/>
        </w:rPr>
        <w:t>-1。</w:t>
      </w:r>
    </w:p>
    <w:p w14:paraId="43DA7A60">
      <w:pPr>
        <w:ind w:firstLine="0" w:firstLineChars="0"/>
        <w:jc w:val="center"/>
        <w:rPr>
          <w:b/>
          <w:color w:val="auto"/>
          <w:szCs w:val="28"/>
        </w:rPr>
      </w:pPr>
      <w:r>
        <w:rPr>
          <w:rFonts w:hint="eastAsia"/>
          <w:b/>
          <w:color w:val="auto"/>
          <w:szCs w:val="28"/>
        </w:rPr>
        <w:t>表3.</w:t>
      </w:r>
      <w:r>
        <w:rPr>
          <w:rFonts w:hint="eastAsia"/>
          <w:b/>
          <w:color w:val="auto"/>
          <w:szCs w:val="28"/>
          <w:lang w:val="en-US" w:eastAsia="zh-CN"/>
        </w:rPr>
        <w:t>2</w:t>
      </w:r>
      <w:r>
        <w:rPr>
          <w:rFonts w:hint="eastAsia"/>
          <w:b/>
          <w:color w:val="auto"/>
          <w:szCs w:val="28"/>
        </w:rPr>
        <w:t>-1 开拓单元预先危险性分析表</w:t>
      </w:r>
    </w:p>
    <w:tbl>
      <w:tblPr>
        <w:tblStyle w:val="25"/>
        <w:tblW w:w="4997" w:type="pct"/>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747"/>
        <w:gridCol w:w="5189"/>
        <w:gridCol w:w="731"/>
        <w:gridCol w:w="1338"/>
        <w:gridCol w:w="742"/>
        <w:gridCol w:w="761"/>
      </w:tblGrid>
      <w:tr w14:paraId="3262608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blHeader/>
        </w:trPr>
        <w:tc>
          <w:tcPr>
            <w:tcW w:w="393" w:type="pct"/>
            <w:tcBorders>
              <w:tl2br w:val="nil"/>
              <w:tr2bl w:val="nil"/>
            </w:tcBorders>
            <w:vAlign w:val="center"/>
          </w:tcPr>
          <w:p w14:paraId="6E7C3B13">
            <w:pPr>
              <w:keepNext w:val="0"/>
              <w:keepLines w:val="0"/>
              <w:suppressLineNumbers w:val="0"/>
              <w:spacing w:before="0" w:beforeAutospacing="0" w:after="0" w:afterAutospacing="0" w:line="320" w:lineRule="exact"/>
              <w:ind w:left="0" w:right="0" w:firstLine="0" w:firstLineChars="0"/>
              <w:jc w:val="center"/>
              <w:rPr>
                <w:rFonts w:hint="default" w:hAnsi="宋体" w:cs="宋体"/>
                <w:b/>
                <w:bCs/>
                <w:color w:val="auto"/>
                <w:sz w:val="21"/>
                <w:szCs w:val="21"/>
              </w:rPr>
            </w:pPr>
            <w:r>
              <w:rPr>
                <w:rFonts w:hint="eastAsia" w:hAnsi="宋体" w:cs="宋体"/>
                <w:b/>
                <w:bCs/>
                <w:color w:val="auto"/>
                <w:sz w:val="21"/>
                <w:szCs w:val="21"/>
              </w:rPr>
              <w:t>危害因素</w:t>
            </w:r>
          </w:p>
        </w:tc>
        <w:tc>
          <w:tcPr>
            <w:tcW w:w="2727" w:type="pct"/>
            <w:tcBorders>
              <w:tl2br w:val="nil"/>
              <w:tr2bl w:val="nil"/>
            </w:tcBorders>
            <w:vAlign w:val="center"/>
          </w:tcPr>
          <w:p w14:paraId="110BEB0D">
            <w:pPr>
              <w:keepNext w:val="0"/>
              <w:keepLines w:val="0"/>
              <w:suppressLineNumbers w:val="0"/>
              <w:spacing w:before="0" w:beforeAutospacing="0" w:after="0" w:afterAutospacing="0" w:line="320" w:lineRule="exact"/>
              <w:ind w:left="0" w:right="0" w:firstLine="0" w:firstLineChars="0"/>
              <w:jc w:val="center"/>
              <w:rPr>
                <w:rFonts w:hint="default" w:hAnsi="宋体" w:cs="宋体"/>
                <w:b/>
                <w:bCs/>
                <w:color w:val="auto"/>
                <w:sz w:val="21"/>
                <w:szCs w:val="21"/>
              </w:rPr>
            </w:pPr>
            <w:r>
              <w:rPr>
                <w:rFonts w:hint="eastAsia" w:hAnsi="宋体" w:cs="宋体"/>
                <w:b/>
                <w:bCs/>
                <w:color w:val="auto"/>
                <w:sz w:val="21"/>
                <w:szCs w:val="21"/>
              </w:rPr>
              <w:t>触发事件及原因分析</w:t>
            </w:r>
          </w:p>
        </w:tc>
        <w:tc>
          <w:tcPr>
            <w:tcW w:w="384" w:type="pct"/>
            <w:tcBorders>
              <w:tl2br w:val="nil"/>
              <w:tr2bl w:val="nil"/>
            </w:tcBorders>
            <w:vAlign w:val="center"/>
          </w:tcPr>
          <w:p w14:paraId="3CACBA2E">
            <w:pPr>
              <w:keepNext w:val="0"/>
              <w:keepLines w:val="0"/>
              <w:suppressLineNumbers w:val="0"/>
              <w:spacing w:before="0" w:beforeAutospacing="0" w:after="0" w:afterAutospacing="0" w:line="320" w:lineRule="exact"/>
              <w:ind w:left="0" w:right="0" w:firstLine="0" w:firstLineChars="0"/>
              <w:jc w:val="center"/>
              <w:rPr>
                <w:rFonts w:hint="default" w:hAnsi="宋体" w:cs="宋体"/>
                <w:b/>
                <w:bCs/>
                <w:color w:val="auto"/>
                <w:sz w:val="21"/>
                <w:szCs w:val="21"/>
              </w:rPr>
            </w:pPr>
            <w:r>
              <w:rPr>
                <w:rFonts w:hint="eastAsia" w:hAnsi="宋体" w:cs="宋体"/>
                <w:b/>
                <w:bCs/>
                <w:color w:val="auto"/>
                <w:sz w:val="21"/>
                <w:szCs w:val="21"/>
              </w:rPr>
              <w:t>表现方式</w:t>
            </w:r>
          </w:p>
        </w:tc>
        <w:tc>
          <w:tcPr>
            <w:tcW w:w="703" w:type="pct"/>
            <w:tcBorders>
              <w:tl2br w:val="nil"/>
              <w:tr2bl w:val="nil"/>
            </w:tcBorders>
            <w:vAlign w:val="center"/>
          </w:tcPr>
          <w:p w14:paraId="2D374F30">
            <w:pPr>
              <w:keepNext w:val="0"/>
              <w:keepLines w:val="0"/>
              <w:suppressLineNumbers w:val="0"/>
              <w:spacing w:before="0" w:beforeAutospacing="0" w:after="0" w:afterAutospacing="0" w:line="320" w:lineRule="exact"/>
              <w:ind w:left="0" w:right="0" w:firstLine="0" w:firstLineChars="0"/>
              <w:jc w:val="center"/>
              <w:rPr>
                <w:rFonts w:hint="default" w:hAnsi="宋体" w:cs="宋体"/>
                <w:b/>
                <w:bCs/>
                <w:color w:val="auto"/>
                <w:sz w:val="21"/>
                <w:szCs w:val="21"/>
              </w:rPr>
            </w:pPr>
            <w:r>
              <w:rPr>
                <w:rFonts w:hint="eastAsia" w:hAnsi="宋体" w:cs="宋体"/>
                <w:b/>
                <w:bCs/>
                <w:color w:val="auto"/>
                <w:sz w:val="21"/>
                <w:szCs w:val="21"/>
              </w:rPr>
              <w:t>事故后果</w:t>
            </w:r>
          </w:p>
          <w:p w14:paraId="4441212B">
            <w:pPr>
              <w:keepNext w:val="0"/>
              <w:keepLines w:val="0"/>
              <w:suppressLineNumbers w:val="0"/>
              <w:spacing w:before="0" w:beforeAutospacing="0" w:after="0" w:afterAutospacing="0" w:line="320" w:lineRule="exact"/>
              <w:ind w:left="0" w:right="0" w:firstLine="0" w:firstLineChars="0"/>
              <w:jc w:val="center"/>
              <w:rPr>
                <w:rFonts w:hint="eastAsia" w:hAnsi="宋体" w:cs="宋体"/>
                <w:b/>
                <w:bCs/>
                <w:color w:val="auto"/>
                <w:sz w:val="21"/>
                <w:szCs w:val="21"/>
              </w:rPr>
            </w:pPr>
            <w:r>
              <w:rPr>
                <w:rFonts w:hint="eastAsia" w:hAnsi="宋体" w:cs="宋体"/>
                <w:b/>
                <w:bCs/>
                <w:color w:val="auto"/>
                <w:sz w:val="21"/>
                <w:szCs w:val="21"/>
              </w:rPr>
              <w:t>及危害程度</w:t>
            </w:r>
          </w:p>
        </w:tc>
        <w:tc>
          <w:tcPr>
            <w:tcW w:w="390" w:type="pct"/>
            <w:tcBorders>
              <w:tl2br w:val="nil"/>
              <w:tr2bl w:val="nil"/>
            </w:tcBorders>
            <w:vAlign w:val="center"/>
          </w:tcPr>
          <w:p w14:paraId="1E6E0A5E">
            <w:pPr>
              <w:keepNext w:val="0"/>
              <w:keepLines w:val="0"/>
              <w:suppressLineNumbers w:val="0"/>
              <w:spacing w:before="0" w:beforeAutospacing="0" w:after="0" w:afterAutospacing="0" w:line="320" w:lineRule="exact"/>
              <w:ind w:left="0" w:right="0" w:firstLine="0" w:firstLineChars="0"/>
              <w:jc w:val="center"/>
              <w:rPr>
                <w:rFonts w:hint="default" w:hAnsi="宋体" w:cs="宋体"/>
                <w:b/>
                <w:bCs/>
                <w:color w:val="auto"/>
                <w:sz w:val="21"/>
                <w:szCs w:val="21"/>
              </w:rPr>
            </w:pPr>
            <w:r>
              <w:rPr>
                <w:rFonts w:hint="eastAsia" w:hAnsi="宋体" w:cs="宋体"/>
                <w:b/>
                <w:bCs/>
                <w:color w:val="auto"/>
                <w:sz w:val="21"/>
                <w:szCs w:val="21"/>
              </w:rPr>
              <w:t>危险等级</w:t>
            </w:r>
          </w:p>
        </w:tc>
        <w:tc>
          <w:tcPr>
            <w:tcW w:w="400" w:type="pct"/>
            <w:tcBorders>
              <w:tl2br w:val="nil"/>
              <w:tr2bl w:val="nil"/>
            </w:tcBorders>
            <w:vAlign w:val="center"/>
          </w:tcPr>
          <w:p w14:paraId="439B8492">
            <w:pPr>
              <w:keepNext w:val="0"/>
              <w:keepLines w:val="0"/>
              <w:suppressLineNumbers w:val="0"/>
              <w:spacing w:before="0" w:beforeAutospacing="0" w:after="0" w:afterAutospacing="0" w:line="320" w:lineRule="exact"/>
              <w:ind w:left="0" w:right="0" w:firstLine="0" w:firstLineChars="0"/>
              <w:jc w:val="center"/>
              <w:rPr>
                <w:rFonts w:hint="eastAsia" w:hAnsi="宋体" w:eastAsia="宋体" w:cs="宋体"/>
                <w:b/>
                <w:bCs/>
                <w:color w:val="auto"/>
                <w:sz w:val="21"/>
                <w:szCs w:val="21"/>
                <w:lang w:eastAsia="zh-CN"/>
              </w:rPr>
            </w:pPr>
            <w:r>
              <w:rPr>
                <w:rFonts w:hint="eastAsia" w:cs="宋体"/>
                <w:b/>
                <w:bCs/>
                <w:color w:val="auto"/>
                <w:sz w:val="21"/>
                <w:szCs w:val="21"/>
                <w:lang w:eastAsia="zh-CN"/>
              </w:rPr>
              <w:t>预防措施</w:t>
            </w:r>
          </w:p>
        </w:tc>
      </w:tr>
      <w:tr w14:paraId="532072F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47" w:hRule="atLeast"/>
        </w:trPr>
        <w:tc>
          <w:tcPr>
            <w:tcW w:w="393" w:type="pct"/>
            <w:tcBorders>
              <w:tl2br w:val="nil"/>
              <w:tr2bl w:val="nil"/>
            </w:tcBorders>
            <w:vAlign w:val="center"/>
          </w:tcPr>
          <w:p w14:paraId="37734AF3">
            <w:pPr>
              <w:keepNext w:val="0"/>
              <w:keepLines w:val="0"/>
              <w:suppressLineNumbers w:val="0"/>
              <w:spacing w:before="0" w:beforeAutospacing="0" w:after="0" w:afterAutospacing="0" w:line="320" w:lineRule="exact"/>
              <w:ind w:left="0" w:right="0" w:firstLine="0" w:firstLineChars="0"/>
              <w:jc w:val="center"/>
              <w:rPr>
                <w:rFonts w:hint="default" w:hAnsi="宋体" w:cs="宋体"/>
                <w:color w:val="auto"/>
                <w:sz w:val="21"/>
                <w:szCs w:val="21"/>
              </w:rPr>
            </w:pPr>
            <w:r>
              <w:rPr>
                <w:rFonts w:hint="eastAsia" w:hAnsi="宋体" w:cs="宋体"/>
                <w:color w:val="auto"/>
                <w:sz w:val="21"/>
                <w:szCs w:val="21"/>
              </w:rPr>
              <w:t>高处坠落</w:t>
            </w:r>
          </w:p>
        </w:tc>
        <w:tc>
          <w:tcPr>
            <w:tcW w:w="2727" w:type="pct"/>
            <w:tcBorders>
              <w:tl2br w:val="nil"/>
              <w:tr2bl w:val="nil"/>
            </w:tcBorders>
            <w:vAlign w:val="center"/>
          </w:tcPr>
          <w:p w14:paraId="38D1313B">
            <w:pPr>
              <w:keepNext w:val="0"/>
              <w:keepLines w:val="0"/>
              <w:suppressLineNumbers w:val="0"/>
              <w:spacing w:before="0" w:beforeAutospacing="0" w:after="0" w:afterAutospacing="0" w:line="320" w:lineRule="exact"/>
              <w:ind w:left="0" w:right="0" w:firstLine="0" w:firstLineChars="0"/>
              <w:rPr>
                <w:rFonts w:hint="default" w:hAnsi="宋体" w:cs="宋体"/>
                <w:color w:val="auto"/>
                <w:sz w:val="21"/>
                <w:szCs w:val="21"/>
              </w:rPr>
            </w:pPr>
            <w:r>
              <w:rPr>
                <w:rFonts w:hint="eastAsia" w:hAnsi="宋体" w:cs="宋体"/>
                <w:color w:val="auto"/>
                <w:sz w:val="21"/>
                <w:szCs w:val="21"/>
              </w:rPr>
              <w:t>工作人员在高处作业或在具有坠落基准面的地点行走时由于自身原因、防坠安全设施失效、管理因素、环境因素等发生高处坠落事故。</w:t>
            </w:r>
          </w:p>
        </w:tc>
        <w:tc>
          <w:tcPr>
            <w:tcW w:w="384" w:type="pct"/>
            <w:tcBorders>
              <w:tl2br w:val="nil"/>
              <w:tr2bl w:val="nil"/>
            </w:tcBorders>
            <w:vAlign w:val="center"/>
          </w:tcPr>
          <w:p w14:paraId="211798F3">
            <w:pPr>
              <w:keepNext w:val="0"/>
              <w:keepLines w:val="0"/>
              <w:suppressLineNumbers w:val="0"/>
              <w:spacing w:before="0" w:beforeAutospacing="0" w:after="0" w:afterAutospacing="0" w:line="320" w:lineRule="exact"/>
              <w:ind w:left="0" w:right="0" w:firstLine="0" w:firstLineChars="0"/>
              <w:jc w:val="center"/>
              <w:rPr>
                <w:rFonts w:hint="default" w:hAnsi="宋体" w:cs="宋体"/>
                <w:color w:val="auto"/>
                <w:sz w:val="21"/>
                <w:szCs w:val="21"/>
              </w:rPr>
            </w:pPr>
            <w:r>
              <w:rPr>
                <w:rFonts w:hint="eastAsia" w:hAnsi="宋体" w:cs="宋体"/>
                <w:color w:val="auto"/>
                <w:sz w:val="21"/>
                <w:szCs w:val="21"/>
              </w:rPr>
              <w:t>人员坠落</w:t>
            </w:r>
          </w:p>
        </w:tc>
        <w:tc>
          <w:tcPr>
            <w:tcW w:w="703" w:type="pct"/>
            <w:tcBorders>
              <w:tl2br w:val="nil"/>
              <w:tr2bl w:val="nil"/>
            </w:tcBorders>
            <w:vAlign w:val="center"/>
          </w:tcPr>
          <w:p w14:paraId="6FC09DDE">
            <w:pPr>
              <w:keepNext w:val="0"/>
              <w:keepLines w:val="0"/>
              <w:suppressLineNumbers w:val="0"/>
              <w:spacing w:before="0" w:beforeAutospacing="0" w:after="0" w:afterAutospacing="0" w:line="320" w:lineRule="exact"/>
              <w:ind w:left="0" w:leftChars="0" w:right="0" w:rightChars="0" w:firstLine="0" w:firstLineChars="0"/>
              <w:rPr>
                <w:rFonts w:hint="eastAsia" w:ascii="宋体" w:hAnsi="宋体" w:eastAsia="宋体" w:cs="宋体"/>
                <w:color w:val="auto"/>
                <w:kern w:val="2"/>
                <w:sz w:val="21"/>
                <w:szCs w:val="21"/>
                <w:lang w:val="en-US" w:eastAsia="zh-CN" w:bidi="ar-SA"/>
              </w:rPr>
            </w:pPr>
            <w:r>
              <w:rPr>
                <w:rFonts w:hint="eastAsia" w:hAnsi="宋体" w:cs="宋体"/>
                <w:color w:val="auto"/>
                <w:sz w:val="21"/>
                <w:szCs w:val="21"/>
              </w:rPr>
              <w:t>高处坠落事故有一定的局限性，但亦可造成人员伤亡。</w:t>
            </w:r>
          </w:p>
        </w:tc>
        <w:tc>
          <w:tcPr>
            <w:tcW w:w="390" w:type="pct"/>
            <w:tcBorders>
              <w:tl2br w:val="nil"/>
              <w:tr2bl w:val="nil"/>
            </w:tcBorders>
            <w:vAlign w:val="center"/>
          </w:tcPr>
          <w:p w14:paraId="13339D11">
            <w:pPr>
              <w:keepNext w:val="0"/>
              <w:keepLines w:val="0"/>
              <w:suppressLineNumbers w:val="0"/>
              <w:spacing w:before="0" w:beforeAutospacing="0" w:after="0" w:afterAutospacing="0" w:line="320" w:lineRule="exact"/>
              <w:ind w:left="0" w:right="0" w:firstLine="0" w:firstLineChars="0"/>
              <w:jc w:val="center"/>
              <w:rPr>
                <w:rFonts w:hint="default" w:hAnsi="宋体" w:cs="宋体"/>
                <w:color w:val="auto"/>
                <w:sz w:val="21"/>
                <w:szCs w:val="21"/>
              </w:rPr>
            </w:pPr>
            <w:r>
              <w:rPr>
                <w:rFonts w:hint="eastAsia" w:hAnsi="宋体" w:cs="宋体"/>
                <w:color w:val="auto"/>
                <w:sz w:val="21"/>
                <w:szCs w:val="21"/>
              </w:rPr>
              <w:t>Ⅲ级</w:t>
            </w:r>
          </w:p>
        </w:tc>
        <w:tc>
          <w:tcPr>
            <w:tcW w:w="400" w:type="pct"/>
            <w:vMerge w:val="restart"/>
            <w:tcBorders>
              <w:tl2br w:val="nil"/>
              <w:tr2bl w:val="nil"/>
            </w:tcBorders>
            <w:vAlign w:val="center"/>
          </w:tcPr>
          <w:p w14:paraId="1C8BFA3E">
            <w:pPr>
              <w:keepNext w:val="0"/>
              <w:keepLines w:val="0"/>
              <w:suppressLineNumbers w:val="0"/>
              <w:spacing w:before="0" w:beforeAutospacing="0" w:after="0" w:afterAutospacing="0" w:line="320" w:lineRule="exact"/>
              <w:ind w:left="0" w:right="0" w:firstLine="0" w:firstLineChars="0"/>
              <w:rPr>
                <w:rFonts w:hint="eastAsia" w:hAnsi="宋体" w:cs="宋体"/>
                <w:color w:val="auto"/>
                <w:sz w:val="21"/>
                <w:szCs w:val="21"/>
              </w:rPr>
            </w:pPr>
            <w:r>
              <w:rPr>
                <w:rFonts w:hint="eastAsia" w:ascii="宋体" w:hAnsi="宋体" w:eastAsia="宋体" w:cs="宋体"/>
                <w:color w:val="auto"/>
                <w:sz w:val="21"/>
                <w:szCs w:val="21"/>
              </w:rPr>
              <w:t>见本报告4.2.2开拓单元安全对策措施</w:t>
            </w:r>
          </w:p>
        </w:tc>
      </w:tr>
      <w:tr w14:paraId="3746E17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c>
          <w:tcPr>
            <w:tcW w:w="393" w:type="pct"/>
            <w:tcBorders>
              <w:tl2br w:val="nil"/>
              <w:tr2bl w:val="nil"/>
            </w:tcBorders>
            <w:vAlign w:val="center"/>
          </w:tcPr>
          <w:p w14:paraId="6B092CD6">
            <w:pPr>
              <w:keepNext w:val="0"/>
              <w:keepLines w:val="0"/>
              <w:suppressLineNumbers w:val="0"/>
              <w:spacing w:before="0" w:beforeAutospacing="0" w:after="0" w:afterAutospacing="0" w:line="320" w:lineRule="exact"/>
              <w:ind w:left="0" w:right="0" w:firstLine="0" w:firstLineChars="0"/>
              <w:jc w:val="center"/>
              <w:rPr>
                <w:rFonts w:hint="default" w:hAnsi="宋体" w:cs="宋体"/>
                <w:color w:val="auto"/>
                <w:sz w:val="21"/>
                <w:szCs w:val="21"/>
              </w:rPr>
            </w:pPr>
            <w:r>
              <w:rPr>
                <w:rFonts w:hint="eastAsia" w:hAnsi="宋体" w:cs="宋体"/>
                <w:color w:val="auto"/>
                <w:sz w:val="21"/>
                <w:szCs w:val="21"/>
              </w:rPr>
              <w:t>冒顶</w:t>
            </w:r>
          </w:p>
          <w:p w14:paraId="22D023FF">
            <w:pPr>
              <w:keepNext w:val="0"/>
              <w:keepLines w:val="0"/>
              <w:suppressLineNumbers w:val="0"/>
              <w:spacing w:before="0" w:beforeAutospacing="0" w:after="0" w:afterAutospacing="0" w:line="320" w:lineRule="exact"/>
              <w:ind w:left="0" w:right="0" w:firstLine="0" w:firstLineChars="0"/>
              <w:jc w:val="center"/>
              <w:rPr>
                <w:rFonts w:hint="default" w:hAnsi="宋体" w:cs="宋体"/>
                <w:color w:val="auto"/>
                <w:sz w:val="21"/>
                <w:szCs w:val="21"/>
              </w:rPr>
            </w:pPr>
            <w:r>
              <w:rPr>
                <w:rFonts w:hint="eastAsia" w:hAnsi="宋体" w:cs="宋体"/>
                <w:color w:val="auto"/>
                <w:sz w:val="21"/>
                <w:szCs w:val="21"/>
              </w:rPr>
              <w:t>片帮</w:t>
            </w:r>
          </w:p>
        </w:tc>
        <w:tc>
          <w:tcPr>
            <w:tcW w:w="2727" w:type="pct"/>
            <w:tcBorders>
              <w:tl2br w:val="nil"/>
              <w:tr2bl w:val="nil"/>
            </w:tcBorders>
            <w:vAlign w:val="center"/>
          </w:tcPr>
          <w:p w14:paraId="17EBB598">
            <w:pPr>
              <w:keepNext w:val="0"/>
              <w:keepLines w:val="0"/>
              <w:suppressLineNumbers w:val="0"/>
              <w:spacing w:before="0" w:beforeAutospacing="0" w:after="0" w:afterAutospacing="0" w:line="320" w:lineRule="exact"/>
              <w:ind w:left="0" w:right="0" w:firstLine="0" w:firstLineChars="0"/>
              <w:rPr>
                <w:rFonts w:hint="default" w:hAnsi="宋体" w:cs="宋体"/>
                <w:color w:val="auto"/>
                <w:sz w:val="21"/>
                <w:szCs w:val="21"/>
              </w:rPr>
            </w:pPr>
            <w:r>
              <w:rPr>
                <w:rFonts w:hint="eastAsia" w:hAnsi="宋体" w:cs="宋体"/>
                <w:color w:val="auto"/>
                <w:sz w:val="21"/>
                <w:szCs w:val="21"/>
              </w:rPr>
              <w:t>①开拓、掘进、巷道维修等，施工工艺不合理；②安全检查不细致，疏忽大意，缺乏认真、全面的检查；③矿床地质条件不好，生产技术和组织管理不当；④井巷支护方式不当、不及时支护或缺少支架，支架的支撑力和顶板压力不相适应等原因引发冒顶片帮事故；⑤浮石没有处理或处理操作不当；⑥不按操作规程进行操作，精力不集中，思想麻痹大意，发现险情不及时处理；⑦未对历史采空区进行及时封闭；⑧工程施工未编制施工组织设计和安全作业规程；⑨井巷掘进中，遇有岩石情况变化，有断层破碎带时，没有及时加以支护或支架数量不足，支护强度不够；⑩爆破后未及时检查和处理帮、顶浮石，过早进入工作面，未按规程要求处理帮、顶浮石或帮顶浮石清理不彻底。</w:t>
            </w:r>
          </w:p>
        </w:tc>
        <w:tc>
          <w:tcPr>
            <w:tcW w:w="384" w:type="pct"/>
            <w:tcBorders>
              <w:tl2br w:val="nil"/>
              <w:tr2bl w:val="nil"/>
            </w:tcBorders>
            <w:vAlign w:val="center"/>
          </w:tcPr>
          <w:p w14:paraId="69646F29">
            <w:pPr>
              <w:keepNext w:val="0"/>
              <w:keepLines w:val="0"/>
              <w:suppressLineNumbers w:val="0"/>
              <w:spacing w:before="0" w:beforeAutospacing="0" w:after="0" w:afterAutospacing="0" w:line="320" w:lineRule="exact"/>
              <w:ind w:left="0" w:right="0" w:firstLine="0" w:firstLineChars="0"/>
              <w:jc w:val="center"/>
              <w:rPr>
                <w:rFonts w:hint="default" w:hAnsi="宋体" w:cs="宋体"/>
                <w:color w:val="auto"/>
                <w:sz w:val="21"/>
                <w:szCs w:val="21"/>
              </w:rPr>
            </w:pPr>
            <w:r>
              <w:rPr>
                <w:rFonts w:hint="eastAsia" w:hAnsi="宋体" w:cs="宋体"/>
                <w:color w:val="auto"/>
                <w:sz w:val="21"/>
                <w:szCs w:val="21"/>
              </w:rPr>
              <w:t>巷道坍塌工作面冒顶片帮</w:t>
            </w:r>
          </w:p>
        </w:tc>
        <w:tc>
          <w:tcPr>
            <w:tcW w:w="703" w:type="pct"/>
            <w:tcBorders>
              <w:tl2br w:val="nil"/>
              <w:tr2bl w:val="nil"/>
            </w:tcBorders>
            <w:vAlign w:val="center"/>
          </w:tcPr>
          <w:p w14:paraId="74B3CEBB">
            <w:pPr>
              <w:keepNext w:val="0"/>
              <w:keepLines w:val="0"/>
              <w:suppressLineNumbers w:val="0"/>
              <w:spacing w:before="0" w:beforeAutospacing="0" w:after="0" w:afterAutospacing="0" w:line="320" w:lineRule="exact"/>
              <w:ind w:left="0" w:leftChars="0" w:right="0" w:rightChars="0" w:firstLine="0" w:firstLineChars="0"/>
              <w:rPr>
                <w:rFonts w:hint="eastAsia" w:ascii="宋体" w:hAnsi="宋体" w:eastAsia="宋体" w:cs="宋体"/>
                <w:color w:val="auto"/>
                <w:kern w:val="2"/>
                <w:sz w:val="21"/>
                <w:szCs w:val="21"/>
                <w:lang w:val="en-US" w:eastAsia="zh-CN" w:bidi="ar-SA"/>
              </w:rPr>
            </w:pPr>
            <w:r>
              <w:rPr>
                <w:rFonts w:hint="eastAsia" w:hAnsi="宋体" w:cs="宋体"/>
                <w:color w:val="auto"/>
                <w:sz w:val="21"/>
                <w:szCs w:val="21"/>
              </w:rPr>
              <w:t>人</w:t>
            </w:r>
            <w:r>
              <w:rPr>
                <w:rFonts w:hint="eastAsia" w:hAnsi="宋体" w:cs="宋体"/>
                <w:color w:val="auto"/>
                <w:sz w:val="21"/>
                <w:szCs w:val="21"/>
                <w:lang w:eastAsia="zh-CN"/>
              </w:rPr>
              <w:t>员重大</w:t>
            </w:r>
            <w:r>
              <w:rPr>
                <w:rFonts w:hint="eastAsia" w:hAnsi="宋体" w:cs="宋体"/>
                <w:color w:val="auto"/>
                <w:sz w:val="21"/>
                <w:szCs w:val="21"/>
              </w:rPr>
              <w:t>伤亡、设备</w:t>
            </w:r>
            <w:r>
              <w:rPr>
                <w:rFonts w:hint="eastAsia" w:hAnsi="宋体" w:cs="宋体"/>
                <w:color w:val="auto"/>
                <w:sz w:val="21"/>
                <w:szCs w:val="21"/>
                <w:lang w:eastAsia="zh-CN"/>
              </w:rPr>
              <w:t>严重</w:t>
            </w:r>
            <w:r>
              <w:rPr>
                <w:rFonts w:hint="eastAsia" w:hAnsi="宋体" w:cs="宋体"/>
                <w:color w:val="auto"/>
                <w:sz w:val="21"/>
                <w:szCs w:val="21"/>
              </w:rPr>
              <w:t>损坏。</w:t>
            </w:r>
          </w:p>
        </w:tc>
        <w:tc>
          <w:tcPr>
            <w:tcW w:w="390" w:type="pct"/>
            <w:tcBorders>
              <w:tl2br w:val="nil"/>
              <w:tr2bl w:val="nil"/>
            </w:tcBorders>
            <w:vAlign w:val="center"/>
          </w:tcPr>
          <w:p w14:paraId="70970DB8">
            <w:pPr>
              <w:keepNext w:val="0"/>
              <w:keepLines w:val="0"/>
              <w:suppressLineNumbers w:val="0"/>
              <w:spacing w:before="0" w:beforeAutospacing="0" w:after="0" w:afterAutospacing="0" w:line="320" w:lineRule="exact"/>
              <w:ind w:left="0" w:right="0" w:firstLine="0" w:firstLineChars="0"/>
              <w:jc w:val="center"/>
              <w:rPr>
                <w:rFonts w:hint="default" w:hAnsi="宋体" w:cs="宋体"/>
                <w:color w:val="auto"/>
                <w:sz w:val="21"/>
                <w:szCs w:val="21"/>
              </w:rPr>
            </w:pPr>
            <w:r>
              <w:rPr>
                <w:rFonts w:hint="eastAsia" w:ascii="宋体" w:hAnsi="宋体" w:eastAsia="宋体" w:cs="宋体"/>
                <w:color w:val="auto"/>
                <w:sz w:val="21"/>
                <w:szCs w:val="21"/>
              </w:rPr>
              <w:t>Ⅳ</w:t>
            </w:r>
            <w:r>
              <w:rPr>
                <w:rFonts w:hint="eastAsia" w:hAnsi="宋体" w:cs="宋体"/>
                <w:color w:val="auto"/>
                <w:sz w:val="21"/>
                <w:szCs w:val="21"/>
              </w:rPr>
              <w:t>级</w:t>
            </w:r>
          </w:p>
        </w:tc>
        <w:tc>
          <w:tcPr>
            <w:tcW w:w="400" w:type="pct"/>
            <w:vMerge w:val="continue"/>
            <w:tcBorders>
              <w:tl2br w:val="nil"/>
              <w:tr2bl w:val="nil"/>
            </w:tcBorders>
            <w:vAlign w:val="center"/>
          </w:tcPr>
          <w:p w14:paraId="1D3E27D5">
            <w:pPr>
              <w:keepNext w:val="0"/>
              <w:keepLines w:val="0"/>
              <w:suppressLineNumbers w:val="0"/>
              <w:spacing w:before="0" w:beforeAutospacing="0" w:after="0" w:afterAutospacing="0" w:line="320" w:lineRule="exact"/>
              <w:ind w:left="0" w:right="0" w:firstLine="0" w:firstLineChars="0"/>
              <w:rPr>
                <w:rFonts w:hint="eastAsia" w:hAnsi="宋体" w:cs="宋体"/>
                <w:color w:val="auto"/>
                <w:sz w:val="21"/>
                <w:szCs w:val="21"/>
              </w:rPr>
            </w:pPr>
          </w:p>
        </w:tc>
      </w:tr>
    </w:tbl>
    <w:p w14:paraId="43247C92">
      <w:pPr>
        <w:ind w:firstLine="560"/>
        <w:rPr>
          <w:rFonts w:hAnsi="宋体" w:cs="宋体"/>
          <w:color w:val="auto"/>
          <w:szCs w:val="28"/>
        </w:rPr>
      </w:pPr>
      <w:r>
        <w:rPr>
          <w:rFonts w:hint="eastAsia" w:hAnsi="宋体" w:cs="宋体"/>
          <w:color w:val="auto"/>
          <w:szCs w:val="28"/>
        </w:rPr>
        <w:t>通过预先危险性分析得知：矿山开拓单元存在的冒顶片帮危险等级为</w:t>
      </w:r>
      <w:r>
        <w:rPr>
          <w:rFonts w:hint="eastAsia" w:ascii="宋体" w:hAnsi="宋体" w:eastAsia="宋体" w:cs="宋体"/>
          <w:color w:val="auto"/>
          <w:sz w:val="28"/>
          <w:szCs w:val="28"/>
        </w:rPr>
        <w:t>Ⅳ</w:t>
      </w:r>
      <w:r>
        <w:rPr>
          <w:rFonts w:ascii="Times New Roman"/>
          <w:color w:val="auto"/>
          <w:szCs w:val="28"/>
        </w:rPr>
        <w:t>级</w:t>
      </w:r>
      <w:r>
        <w:rPr>
          <w:rFonts w:hint="eastAsia" w:ascii="Times New Roman"/>
          <w:color w:val="auto"/>
          <w:szCs w:val="28"/>
          <w:lang w:eastAsia="zh-CN"/>
        </w:rPr>
        <w:t>，造成人员重大伤亡及系统严重破坏的灾难性事故，必须予以果断排除并进行重点防范；</w:t>
      </w:r>
      <w:r>
        <w:rPr>
          <w:rFonts w:hint="eastAsia" w:hAnsi="宋体" w:cs="宋体"/>
          <w:color w:val="auto"/>
          <w:szCs w:val="28"/>
        </w:rPr>
        <w:t>高处坠落危险等级为</w:t>
      </w:r>
      <w:r>
        <w:rPr>
          <w:rFonts w:hint="eastAsia" w:cs="宋体"/>
          <w:color w:val="auto"/>
          <w:szCs w:val="28"/>
          <w:lang w:eastAsia="ja-JP"/>
        </w:rPr>
        <w:t>Ⅲ</w:t>
      </w:r>
      <w:r>
        <w:rPr>
          <w:rFonts w:ascii="Times New Roman"/>
          <w:color w:val="auto"/>
          <w:szCs w:val="28"/>
        </w:rPr>
        <w:t>级</w:t>
      </w:r>
      <w:r>
        <w:rPr>
          <w:rFonts w:hint="eastAsia" w:ascii="Times New Roman"/>
          <w:color w:val="auto"/>
          <w:szCs w:val="28"/>
        </w:rPr>
        <w:t>，上述事故均可造成人员伤亡或系统破坏，需采取相应的防范对策措施。</w:t>
      </w:r>
    </w:p>
    <w:p w14:paraId="30350E69">
      <w:pPr>
        <w:pStyle w:val="4"/>
        <w:keepNext w:val="0"/>
        <w:tabs>
          <w:tab w:val="left" w:pos="8265"/>
        </w:tabs>
        <w:spacing w:before="120" w:beforeLines="0" w:after="120" w:afterLines="0"/>
        <w:rPr>
          <w:color w:val="auto"/>
        </w:rPr>
      </w:pPr>
      <w:bookmarkStart w:id="114" w:name="_Toc28056"/>
      <w:r>
        <w:rPr>
          <w:rFonts w:hint="eastAsia"/>
          <w:color w:val="auto"/>
        </w:rPr>
        <w:t>3.</w:t>
      </w:r>
      <w:r>
        <w:rPr>
          <w:rFonts w:hint="eastAsia"/>
          <w:color w:val="auto"/>
          <w:lang w:val="en-US" w:eastAsia="zh-CN"/>
        </w:rPr>
        <w:t>2</w:t>
      </w:r>
      <w:r>
        <w:rPr>
          <w:rFonts w:hint="eastAsia"/>
          <w:color w:val="auto"/>
        </w:rPr>
        <w:t>.2 开拓单元符合性评价</w:t>
      </w:r>
      <w:bookmarkEnd w:id="114"/>
    </w:p>
    <w:p w14:paraId="7B3BAC2B">
      <w:pPr>
        <w:ind w:firstLine="0" w:firstLineChars="0"/>
        <w:jc w:val="center"/>
        <w:rPr>
          <w:b/>
          <w:color w:val="auto"/>
          <w:szCs w:val="28"/>
        </w:rPr>
      </w:pPr>
      <w:r>
        <w:rPr>
          <w:rFonts w:hint="eastAsia"/>
          <w:b/>
          <w:color w:val="auto"/>
          <w:szCs w:val="28"/>
        </w:rPr>
        <w:t>表3.</w:t>
      </w:r>
      <w:r>
        <w:rPr>
          <w:rFonts w:hint="eastAsia"/>
          <w:b/>
          <w:color w:val="auto"/>
          <w:szCs w:val="28"/>
          <w:lang w:val="en-US" w:eastAsia="zh-CN"/>
        </w:rPr>
        <w:t>2</w:t>
      </w:r>
      <w:r>
        <w:rPr>
          <w:rFonts w:hint="eastAsia"/>
          <w:b/>
          <w:color w:val="auto"/>
          <w:szCs w:val="28"/>
        </w:rPr>
        <w:t>-2 开拓单元安全检查表</w:t>
      </w:r>
    </w:p>
    <w:tbl>
      <w:tblPr>
        <w:tblStyle w:val="24"/>
        <w:tblW w:w="4996"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691"/>
        <w:gridCol w:w="3616"/>
        <w:gridCol w:w="1724"/>
        <w:gridCol w:w="2762"/>
        <w:gridCol w:w="713"/>
      </w:tblGrid>
      <w:tr w14:paraId="268F50E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158" w:hRule="atLeast"/>
          <w:tblHeader/>
          <w:jc w:val="center"/>
        </w:trPr>
        <w:tc>
          <w:tcPr>
            <w:tcW w:w="363" w:type="pct"/>
            <w:tcBorders>
              <w:tl2br w:val="nil"/>
              <w:tr2bl w:val="nil"/>
            </w:tcBorders>
            <w:vAlign w:val="center"/>
          </w:tcPr>
          <w:p w14:paraId="7A9B0B3E">
            <w:pPr>
              <w:keepNext w:val="0"/>
              <w:keepLines w:val="0"/>
              <w:suppressLineNumbers w:val="0"/>
              <w:adjustRightInd w:val="0"/>
              <w:snapToGrid w:val="0"/>
              <w:spacing w:before="0" w:beforeAutospacing="0" w:after="0" w:afterAutospacing="0" w:line="320" w:lineRule="exact"/>
              <w:ind w:left="0" w:right="0" w:firstLine="0" w:firstLineChars="0"/>
              <w:jc w:val="center"/>
              <w:rPr>
                <w:rFonts w:hint="default" w:hAnsi="宋体" w:cs="宋体"/>
                <w:b/>
                <w:color w:val="auto"/>
                <w:sz w:val="21"/>
                <w:szCs w:val="21"/>
              </w:rPr>
            </w:pPr>
            <w:r>
              <w:rPr>
                <w:rFonts w:hint="eastAsia" w:hAnsi="宋体" w:cs="宋体"/>
                <w:b/>
                <w:color w:val="auto"/>
                <w:sz w:val="21"/>
                <w:szCs w:val="21"/>
              </w:rPr>
              <w:t>序号</w:t>
            </w:r>
          </w:p>
        </w:tc>
        <w:tc>
          <w:tcPr>
            <w:tcW w:w="1901" w:type="pct"/>
            <w:tcBorders>
              <w:tl2br w:val="nil"/>
              <w:tr2bl w:val="nil"/>
            </w:tcBorders>
            <w:vAlign w:val="center"/>
          </w:tcPr>
          <w:p w14:paraId="09BB77E3">
            <w:pPr>
              <w:keepNext w:val="0"/>
              <w:keepLines w:val="0"/>
              <w:suppressLineNumbers w:val="0"/>
              <w:adjustRightInd w:val="0"/>
              <w:snapToGrid w:val="0"/>
              <w:spacing w:before="0" w:beforeAutospacing="0" w:after="0" w:afterAutospacing="0" w:line="320" w:lineRule="exact"/>
              <w:ind w:left="0" w:right="0" w:firstLine="0" w:firstLineChars="0"/>
              <w:jc w:val="center"/>
              <w:rPr>
                <w:rFonts w:hint="default" w:hAnsi="宋体" w:cs="宋体"/>
                <w:b/>
                <w:color w:val="auto"/>
                <w:sz w:val="21"/>
                <w:szCs w:val="21"/>
              </w:rPr>
            </w:pPr>
            <w:r>
              <w:rPr>
                <w:rFonts w:hint="eastAsia" w:hAnsi="宋体" w:cs="宋体"/>
                <w:b/>
                <w:color w:val="auto"/>
                <w:sz w:val="21"/>
                <w:szCs w:val="21"/>
              </w:rPr>
              <w:t>检查内容</w:t>
            </w:r>
          </w:p>
        </w:tc>
        <w:tc>
          <w:tcPr>
            <w:tcW w:w="906" w:type="pct"/>
            <w:tcBorders>
              <w:tl2br w:val="nil"/>
              <w:tr2bl w:val="nil"/>
            </w:tcBorders>
            <w:vAlign w:val="center"/>
          </w:tcPr>
          <w:p w14:paraId="1E1A6639">
            <w:pPr>
              <w:keepNext w:val="0"/>
              <w:keepLines w:val="0"/>
              <w:suppressLineNumbers w:val="0"/>
              <w:adjustRightInd w:val="0"/>
              <w:snapToGrid w:val="0"/>
              <w:spacing w:before="0" w:beforeAutospacing="0" w:after="0" w:afterAutospacing="0" w:line="320" w:lineRule="exact"/>
              <w:ind w:left="0" w:right="0" w:firstLine="0" w:firstLineChars="0"/>
              <w:jc w:val="center"/>
              <w:rPr>
                <w:rFonts w:hint="default" w:hAnsi="宋体" w:cs="宋体"/>
                <w:b/>
                <w:color w:val="auto"/>
                <w:sz w:val="21"/>
                <w:szCs w:val="21"/>
              </w:rPr>
            </w:pPr>
            <w:r>
              <w:rPr>
                <w:rFonts w:hint="eastAsia" w:hAnsi="宋体" w:cs="宋体"/>
                <w:b/>
                <w:color w:val="auto"/>
                <w:sz w:val="21"/>
                <w:szCs w:val="21"/>
              </w:rPr>
              <w:t>检查依据</w:t>
            </w:r>
          </w:p>
        </w:tc>
        <w:tc>
          <w:tcPr>
            <w:tcW w:w="1452" w:type="pct"/>
            <w:tcBorders>
              <w:tl2br w:val="nil"/>
              <w:tr2bl w:val="nil"/>
            </w:tcBorders>
            <w:vAlign w:val="center"/>
          </w:tcPr>
          <w:p w14:paraId="6D3A5E06">
            <w:pPr>
              <w:keepNext w:val="0"/>
              <w:keepLines w:val="0"/>
              <w:suppressLineNumbers w:val="0"/>
              <w:adjustRightInd w:val="0"/>
              <w:snapToGrid w:val="0"/>
              <w:spacing w:before="0" w:beforeAutospacing="0" w:after="0" w:afterAutospacing="0" w:line="320" w:lineRule="exact"/>
              <w:ind w:left="0" w:right="0" w:firstLine="0" w:firstLineChars="0"/>
              <w:jc w:val="center"/>
              <w:rPr>
                <w:rFonts w:hint="default" w:hAnsi="宋体" w:cs="宋体"/>
                <w:b/>
                <w:color w:val="auto"/>
                <w:sz w:val="21"/>
                <w:szCs w:val="21"/>
              </w:rPr>
            </w:pPr>
            <w:r>
              <w:rPr>
                <w:rFonts w:hint="eastAsia" w:hAnsi="宋体" w:cs="宋体"/>
                <w:b/>
                <w:color w:val="auto"/>
                <w:sz w:val="21"/>
                <w:szCs w:val="21"/>
              </w:rPr>
              <w:t>检查情况</w:t>
            </w:r>
          </w:p>
        </w:tc>
        <w:tc>
          <w:tcPr>
            <w:tcW w:w="375" w:type="pct"/>
            <w:tcBorders>
              <w:tl2br w:val="nil"/>
              <w:tr2bl w:val="nil"/>
            </w:tcBorders>
            <w:vAlign w:val="center"/>
          </w:tcPr>
          <w:p w14:paraId="731699A2">
            <w:pPr>
              <w:keepNext w:val="0"/>
              <w:keepLines w:val="0"/>
              <w:suppressLineNumbers w:val="0"/>
              <w:adjustRightInd w:val="0"/>
              <w:snapToGrid w:val="0"/>
              <w:spacing w:before="0" w:beforeAutospacing="0" w:after="0" w:afterAutospacing="0" w:line="320" w:lineRule="exact"/>
              <w:ind w:left="0" w:right="0" w:firstLine="0" w:firstLineChars="0"/>
              <w:jc w:val="center"/>
              <w:rPr>
                <w:rFonts w:hint="default" w:hAnsi="宋体" w:cs="宋体"/>
                <w:b/>
                <w:color w:val="auto"/>
                <w:sz w:val="21"/>
                <w:szCs w:val="21"/>
              </w:rPr>
            </w:pPr>
            <w:r>
              <w:rPr>
                <w:rFonts w:hint="eastAsia" w:hAnsi="宋体" w:cs="宋体"/>
                <w:b/>
                <w:color w:val="auto"/>
                <w:sz w:val="21"/>
                <w:szCs w:val="21"/>
              </w:rPr>
              <w:t>检查结果</w:t>
            </w:r>
          </w:p>
        </w:tc>
      </w:tr>
      <w:tr w14:paraId="6B73FD2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96" w:hRule="atLeast"/>
          <w:jc w:val="center"/>
        </w:trPr>
        <w:tc>
          <w:tcPr>
            <w:tcW w:w="363" w:type="pct"/>
            <w:tcBorders>
              <w:tl2br w:val="nil"/>
              <w:tr2bl w:val="nil"/>
            </w:tcBorders>
            <w:vAlign w:val="center"/>
          </w:tcPr>
          <w:p w14:paraId="1BC1DC68">
            <w:pPr>
              <w:keepNext w:val="0"/>
              <w:keepLines w:val="0"/>
              <w:suppressLineNumbers w:val="0"/>
              <w:tabs>
                <w:tab w:val="left" w:pos="7080"/>
              </w:tabs>
              <w:spacing w:before="0" w:beforeAutospacing="0" w:after="0" w:afterAutospacing="0" w:line="320" w:lineRule="exact"/>
              <w:ind w:left="0" w:right="0" w:firstLine="0" w:firstLineChars="0"/>
              <w:jc w:val="center"/>
              <w:rPr>
                <w:rFonts w:hint="eastAsia" w:hAnsi="宋体" w:eastAsia="宋体" w:cs="宋体"/>
                <w:color w:val="auto"/>
                <w:sz w:val="21"/>
                <w:szCs w:val="21"/>
                <w:lang w:eastAsia="zh-CN"/>
              </w:rPr>
            </w:pPr>
            <w:r>
              <w:rPr>
                <w:rFonts w:hint="eastAsia" w:cs="宋体"/>
                <w:color w:val="auto"/>
                <w:sz w:val="21"/>
                <w:szCs w:val="21"/>
                <w:lang w:val="en-US" w:eastAsia="zh-CN"/>
              </w:rPr>
              <w:t>1</w:t>
            </w:r>
          </w:p>
        </w:tc>
        <w:tc>
          <w:tcPr>
            <w:tcW w:w="1901" w:type="pct"/>
            <w:tcBorders>
              <w:tl2br w:val="nil"/>
              <w:tr2bl w:val="nil"/>
            </w:tcBorders>
            <w:vAlign w:val="center"/>
          </w:tcPr>
          <w:p w14:paraId="3DFB5161">
            <w:pPr>
              <w:keepNext w:val="0"/>
              <w:keepLines w:val="0"/>
              <w:suppressLineNumbers w:val="0"/>
              <w:tabs>
                <w:tab w:val="left" w:pos="7080"/>
              </w:tabs>
              <w:spacing w:before="0" w:beforeAutospacing="0" w:after="0" w:afterAutospacing="0" w:line="320" w:lineRule="exact"/>
              <w:ind w:left="0" w:right="0" w:firstLine="0" w:firstLineChars="0"/>
              <w:rPr>
                <w:rFonts w:hint="default" w:hAnsi="宋体" w:cs="宋体"/>
                <w:color w:val="auto"/>
                <w:sz w:val="21"/>
                <w:szCs w:val="21"/>
              </w:rPr>
            </w:pPr>
            <w:r>
              <w:rPr>
                <w:rFonts w:hint="eastAsia" w:hAnsi="宋体" w:cs="宋体"/>
                <w:color w:val="auto"/>
                <w:sz w:val="21"/>
                <w:szCs w:val="21"/>
              </w:rPr>
              <w:t>每个矿井至少应有两个相互独立、间距不小于30m、直达地面的安全出口；矿体一翼走向长度超过1000m时，此翼应有安全出口；每个生产水平或中段至少应有两个便于行人的安全出口，并应同通往地面的安全出口相通；安全出口应定期检查，保证其处于良好状态。</w:t>
            </w:r>
          </w:p>
        </w:tc>
        <w:tc>
          <w:tcPr>
            <w:tcW w:w="906" w:type="pct"/>
            <w:tcBorders>
              <w:tl2br w:val="nil"/>
              <w:tr2bl w:val="nil"/>
            </w:tcBorders>
            <w:vAlign w:val="center"/>
          </w:tcPr>
          <w:p w14:paraId="4F175E4F">
            <w:pPr>
              <w:keepNext w:val="0"/>
              <w:keepLines w:val="0"/>
              <w:suppressLineNumbers w:val="0"/>
              <w:tabs>
                <w:tab w:val="left" w:pos="7080"/>
              </w:tabs>
              <w:spacing w:before="0" w:beforeAutospacing="0" w:after="0" w:afterAutospacing="0" w:line="320" w:lineRule="exact"/>
              <w:ind w:left="0" w:right="0" w:firstLine="0" w:firstLineChars="0"/>
              <w:jc w:val="center"/>
              <w:rPr>
                <w:rFonts w:hint="default" w:hAnsi="宋体" w:cs="宋体"/>
                <w:color w:val="auto"/>
                <w:sz w:val="21"/>
                <w:szCs w:val="21"/>
              </w:rPr>
            </w:pPr>
            <w:r>
              <w:rPr>
                <w:rFonts w:hint="eastAsia" w:hAnsi="宋体" w:cs="宋体"/>
                <w:color w:val="auto"/>
                <w:sz w:val="21"/>
                <w:szCs w:val="21"/>
              </w:rPr>
              <w:t>《金属非金属矿山安全规程》(GBl6423-2020)第6.1.1.1条</w:t>
            </w:r>
          </w:p>
        </w:tc>
        <w:tc>
          <w:tcPr>
            <w:tcW w:w="1452" w:type="pct"/>
            <w:tcBorders>
              <w:tl2br w:val="nil"/>
              <w:tr2bl w:val="nil"/>
            </w:tcBorders>
            <w:vAlign w:val="center"/>
          </w:tcPr>
          <w:p w14:paraId="78A2E227">
            <w:pPr>
              <w:keepNext w:val="0"/>
              <w:keepLines w:val="0"/>
              <w:suppressLineNumbers w:val="0"/>
              <w:tabs>
                <w:tab w:val="left" w:pos="7080"/>
              </w:tabs>
              <w:spacing w:before="0" w:beforeAutospacing="0" w:after="0" w:afterAutospacing="0" w:line="320" w:lineRule="exact"/>
              <w:ind w:left="0" w:right="0" w:firstLine="0" w:firstLineChars="0"/>
              <w:rPr>
                <w:rFonts w:hint="default" w:hAnsi="宋体" w:cs="宋体"/>
                <w:color w:val="auto"/>
                <w:sz w:val="21"/>
                <w:szCs w:val="21"/>
              </w:rPr>
            </w:pPr>
            <w:r>
              <w:rPr>
                <w:rFonts w:hint="eastAsia" w:cs="宋体"/>
                <w:color w:val="auto"/>
                <w:sz w:val="21"/>
                <w:szCs w:val="21"/>
                <w:lang w:val="en-US" w:eastAsia="zh-CN"/>
              </w:rPr>
              <w:t>矿山设置两个安全出口，间距大于30m；</w:t>
            </w:r>
            <w:r>
              <w:rPr>
                <w:rFonts w:hint="eastAsia" w:hAnsi="宋体" w:cs="宋体"/>
                <w:color w:val="auto"/>
                <w:sz w:val="21"/>
                <w:szCs w:val="21"/>
                <w:lang w:eastAsia="zh-CN"/>
              </w:rPr>
              <w:t>各生产中段</w:t>
            </w:r>
            <w:r>
              <w:rPr>
                <w:rFonts w:hint="eastAsia" w:cs="宋体"/>
                <w:color w:val="auto"/>
                <w:sz w:val="21"/>
                <w:szCs w:val="21"/>
                <w:lang w:val="en-US" w:eastAsia="zh-CN"/>
              </w:rPr>
              <w:t>有两个便于行人直通地表的安全出口</w:t>
            </w:r>
            <w:r>
              <w:rPr>
                <w:rFonts w:hint="eastAsia" w:hAnsi="宋体" w:cs="宋体"/>
                <w:color w:val="auto"/>
                <w:sz w:val="21"/>
                <w:szCs w:val="21"/>
                <w:lang w:eastAsia="zh-CN"/>
              </w:rPr>
              <w:t>。</w:t>
            </w:r>
          </w:p>
        </w:tc>
        <w:tc>
          <w:tcPr>
            <w:tcW w:w="375" w:type="pct"/>
            <w:tcBorders>
              <w:tl2br w:val="nil"/>
              <w:tr2bl w:val="nil"/>
            </w:tcBorders>
            <w:vAlign w:val="center"/>
          </w:tcPr>
          <w:p w14:paraId="2C56FE0E">
            <w:pPr>
              <w:keepNext w:val="0"/>
              <w:keepLines w:val="0"/>
              <w:suppressLineNumbers w:val="0"/>
              <w:tabs>
                <w:tab w:val="left" w:pos="7080"/>
              </w:tabs>
              <w:spacing w:before="0" w:beforeAutospacing="0" w:after="0" w:afterAutospacing="0" w:line="320" w:lineRule="exact"/>
              <w:ind w:left="0" w:right="0" w:firstLine="0" w:firstLineChars="0"/>
              <w:jc w:val="center"/>
              <w:rPr>
                <w:rFonts w:hint="default" w:hAnsi="宋体" w:cs="宋体"/>
                <w:color w:val="auto"/>
                <w:sz w:val="21"/>
                <w:szCs w:val="21"/>
              </w:rPr>
            </w:pPr>
            <w:r>
              <w:rPr>
                <w:rFonts w:hint="eastAsia" w:hAnsi="宋体" w:cs="宋体"/>
                <w:color w:val="auto"/>
                <w:sz w:val="21"/>
                <w:szCs w:val="21"/>
              </w:rPr>
              <w:t>符合</w:t>
            </w:r>
          </w:p>
        </w:tc>
      </w:tr>
      <w:tr w14:paraId="3A602AF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96" w:hRule="atLeast"/>
          <w:jc w:val="center"/>
        </w:trPr>
        <w:tc>
          <w:tcPr>
            <w:tcW w:w="363" w:type="pct"/>
            <w:tcBorders>
              <w:tl2br w:val="nil"/>
              <w:tr2bl w:val="nil"/>
            </w:tcBorders>
            <w:vAlign w:val="center"/>
          </w:tcPr>
          <w:p w14:paraId="76131D6A">
            <w:pPr>
              <w:keepNext w:val="0"/>
              <w:keepLines w:val="0"/>
              <w:suppressLineNumbers w:val="0"/>
              <w:tabs>
                <w:tab w:val="left" w:pos="7080"/>
              </w:tabs>
              <w:spacing w:before="0" w:beforeAutospacing="0" w:after="0" w:afterAutospacing="0" w:line="320" w:lineRule="exact"/>
              <w:ind w:left="0" w:right="0" w:firstLine="0" w:firstLineChars="0"/>
              <w:jc w:val="center"/>
              <w:rPr>
                <w:rFonts w:hint="eastAsia" w:hAnsi="宋体" w:eastAsia="宋体" w:cs="宋体"/>
                <w:color w:val="auto"/>
                <w:sz w:val="21"/>
                <w:szCs w:val="21"/>
                <w:lang w:eastAsia="zh-CN"/>
              </w:rPr>
            </w:pPr>
            <w:r>
              <w:rPr>
                <w:rFonts w:hint="eastAsia" w:cs="宋体"/>
                <w:color w:val="auto"/>
                <w:sz w:val="21"/>
                <w:szCs w:val="21"/>
                <w:lang w:val="en-US" w:eastAsia="zh-CN"/>
              </w:rPr>
              <w:t>2</w:t>
            </w:r>
          </w:p>
        </w:tc>
        <w:tc>
          <w:tcPr>
            <w:tcW w:w="1901" w:type="pct"/>
            <w:tcBorders>
              <w:tl2br w:val="nil"/>
              <w:tr2bl w:val="nil"/>
            </w:tcBorders>
            <w:vAlign w:val="center"/>
          </w:tcPr>
          <w:p w14:paraId="6CAC02D4">
            <w:pPr>
              <w:keepNext w:val="0"/>
              <w:keepLines w:val="0"/>
              <w:suppressLineNumbers w:val="0"/>
              <w:tabs>
                <w:tab w:val="left" w:pos="7080"/>
              </w:tabs>
              <w:spacing w:before="0" w:beforeAutospacing="0" w:after="0" w:afterAutospacing="0" w:line="320" w:lineRule="exact"/>
              <w:ind w:left="0" w:right="0" w:firstLine="0" w:firstLineChars="0"/>
              <w:rPr>
                <w:rFonts w:hint="default" w:hAnsi="宋体" w:cs="宋体"/>
                <w:color w:val="auto"/>
                <w:sz w:val="21"/>
                <w:szCs w:val="21"/>
              </w:rPr>
            </w:pPr>
            <w:r>
              <w:rPr>
                <w:rFonts w:hint="eastAsia" w:hAnsi="宋体" w:cs="宋体"/>
                <w:color w:val="auto"/>
                <w:sz w:val="21"/>
                <w:szCs w:val="21"/>
              </w:rPr>
              <w:t>天井口等存在人员坠落可能的地方，应设警示标志、照明设施、护栏、安全网或格筛。</w:t>
            </w:r>
          </w:p>
        </w:tc>
        <w:tc>
          <w:tcPr>
            <w:tcW w:w="906" w:type="pct"/>
            <w:tcBorders>
              <w:tl2br w:val="nil"/>
              <w:tr2bl w:val="nil"/>
            </w:tcBorders>
            <w:vAlign w:val="center"/>
          </w:tcPr>
          <w:p w14:paraId="5D4431FF">
            <w:pPr>
              <w:keepNext w:val="0"/>
              <w:keepLines w:val="0"/>
              <w:suppressLineNumbers w:val="0"/>
              <w:tabs>
                <w:tab w:val="left" w:pos="7080"/>
              </w:tabs>
              <w:spacing w:before="0" w:beforeAutospacing="0" w:after="0" w:afterAutospacing="0" w:line="320" w:lineRule="exact"/>
              <w:ind w:left="0" w:right="0" w:firstLine="0" w:firstLineChars="0"/>
              <w:jc w:val="center"/>
              <w:rPr>
                <w:rFonts w:hint="default" w:hAnsi="宋体" w:cs="宋体"/>
                <w:color w:val="auto"/>
                <w:sz w:val="21"/>
                <w:szCs w:val="21"/>
              </w:rPr>
            </w:pPr>
            <w:r>
              <w:rPr>
                <w:rFonts w:hint="eastAsia" w:hAnsi="宋体" w:cs="宋体"/>
                <w:color w:val="auto"/>
                <w:sz w:val="21"/>
                <w:szCs w:val="21"/>
              </w:rPr>
              <w:t>《金属非金属矿山安全规程》(GBl6423-2020)第6.1.4.5条</w:t>
            </w:r>
          </w:p>
        </w:tc>
        <w:tc>
          <w:tcPr>
            <w:tcW w:w="1452" w:type="pct"/>
            <w:tcBorders>
              <w:tl2br w:val="nil"/>
              <w:tr2bl w:val="nil"/>
            </w:tcBorders>
            <w:vAlign w:val="center"/>
          </w:tcPr>
          <w:p w14:paraId="06496689">
            <w:pPr>
              <w:keepNext w:val="0"/>
              <w:keepLines w:val="0"/>
              <w:suppressLineNumbers w:val="0"/>
              <w:tabs>
                <w:tab w:val="left" w:pos="7080"/>
              </w:tabs>
              <w:spacing w:before="0" w:beforeAutospacing="0" w:after="0" w:afterAutospacing="0" w:line="320" w:lineRule="exact"/>
              <w:ind w:left="0" w:right="0" w:firstLine="0" w:firstLineChars="0"/>
              <w:rPr>
                <w:rFonts w:hint="default" w:hAnsi="宋体" w:cs="宋体"/>
                <w:color w:val="auto"/>
                <w:sz w:val="21"/>
                <w:szCs w:val="21"/>
              </w:rPr>
            </w:pPr>
            <w:r>
              <w:rPr>
                <w:rFonts w:hint="eastAsia" w:hAnsi="宋体" w:cs="宋体"/>
                <w:color w:val="auto"/>
                <w:sz w:val="21"/>
                <w:szCs w:val="21"/>
              </w:rPr>
              <w:t>该矿山存在人员坠落的地方拟设置警示标志、照明设施、护栏。</w:t>
            </w:r>
          </w:p>
        </w:tc>
        <w:tc>
          <w:tcPr>
            <w:tcW w:w="375" w:type="pct"/>
            <w:tcBorders>
              <w:tl2br w:val="nil"/>
              <w:tr2bl w:val="nil"/>
            </w:tcBorders>
            <w:vAlign w:val="center"/>
          </w:tcPr>
          <w:p w14:paraId="578E33F5">
            <w:pPr>
              <w:keepNext w:val="0"/>
              <w:keepLines w:val="0"/>
              <w:suppressLineNumbers w:val="0"/>
              <w:tabs>
                <w:tab w:val="left" w:pos="7080"/>
              </w:tabs>
              <w:spacing w:before="0" w:beforeAutospacing="0" w:after="0" w:afterAutospacing="0" w:line="320" w:lineRule="exact"/>
              <w:ind w:left="0" w:right="0" w:firstLine="0" w:firstLineChars="0"/>
              <w:jc w:val="center"/>
              <w:rPr>
                <w:rFonts w:hint="default" w:hAnsi="宋体" w:cs="宋体"/>
                <w:color w:val="auto"/>
                <w:sz w:val="21"/>
                <w:szCs w:val="21"/>
              </w:rPr>
            </w:pPr>
            <w:r>
              <w:rPr>
                <w:rFonts w:hint="eastAsia" w:hAnsi="宋体" w:cs="宋体"/>
                <w:color w:val="auto"/>
                <w:sz w:val="21"/>
                <w:szCs w:val="21"/>
              </w:rPr>
              <w:t>符合</w:t>
            </w:r>
          </w:p>
        </w:tc>
      </w:tr>
      <w:tr w14:paraId="040F99D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47" w:hRule="atLeast"/>
          <w:jc w:val="center"/>
        </w:trPr>
        <w:tc>
          <w:tcPr>
            <w:tcW w:w="363" w:type="pct"/>
            <w:tcBorders>
              <w:tl2br w:val="nil"/>
              <w:tr2bl w:val="nil"/>
            </w:tcBorders>
            <w:vAlign w:val="center"/>
          </w:tcPr>
          <w:p w14:paraId="7B364A3E">
            <w:pPr>
              <w:keepNext w:val="0"/>
              <w:keepLines w:val="0"/>
              <w:suppressLineNumbers w:val="0"/>
              <w:tabs>
                <w:tab w:val="left" w:pos="7080"/>
              </w:tabs>
              <w:spacing w:before="0" w:beforeAutospacing="0" w:after="0" w:afterAutospacing="0" w:line="320" w:lineRule="exact"/>
              <w:ind w:left="0" w:right="0" w:firstLine="0" w:firstLineChars="0"/>
              <w:jc w:val="center"/>
              <w:rPr>
                <w:rFonts w:hint="eastAsia" w:hAnsi="宋体" w:eastAsia="宋体" w:cs="宋体"/>
                <w:color w:val="auto"/>
                <w:sz w:val="21"/>
                <w:szCs w:val="21"/>
                <w:lang w:eastAsia="zh-CN"/>
              </w:rPr>
            </w:pPr>
            <w:r>
              <w:rPr>
                <w:rFonts w:hint="eastAsia" w:cs="宋体"/>
                <w:color w:val="auto"/>
                <w:sz w:val="21"/>
                <w:szCs w:val="21"/>
                <w:lang w:val="en-US" w:eastAsia="zh-CN"/>
              </w:rPr>
              <w:t>3</w:t>
            </w:r>
          </w:p>
        </w:tc>
        <w:tc>
          <w:tcPr>
            <w:tcW w:w="1901" w:type="pct"/>
            <w:tcBorders>
              <w:tl2br w:val="nil"/>
              <w:tr2bl w:val="nil"/>
            </w:tcBorders>
            <w:vAlign w:val="center"/>
          </w:tcPr>
          <w:p w14:paraId="53690FF5">
            <w:pPr>
              <w:keepNext w:val="0"/>
              <w:keepLines w:val="0"/>
              <w:suppressLineNumbers w:val="0"/>
              <w:tabs>
                <w:tab w:val="left" w:pos="7080"/>
              </w:tabs>
              <w:spacing w:before="0" w:beforeAutospacing="0" w:after="0" w:afterAutospacing="0" w:line="320" w:lineRule="exact"/>
              <w:ind w:left="0" w:right="0" w:firstLine="0" w:firstLineChars="0"/>
              <w:rPr>
                <w:rFonts w:hint="default" w:hAnsi="宋体" w:cs="宋体"/>
                <w:color w:val="auto"/>
                <w:sz w:val="21"/>
                <w:szCs w:val="21"/>
              </w:rPr>
            </w:pPr>
            <w:r>
              <w:rPr>
                <w:rFonts w:hint="eastAsia" w:hAnsi="宋体" w:cs="宋体"/>
                <w:color w:val="auto"/>
                <w:sz w:val="21"/>
                <w:szCs w:val="21"/>
              </w:rPr>
              <w:t>地下开采时，应圈定岩体移动范围或岩体移动监测范围；地表主要建构筑物、主要井筒应布置在地表岩体移动范围之外，或者留保安矿柱消除其影响。</w:t>
            </w:r>
          </w:p>
        </w:tc>
        <w:tc>
          <w:tcPr>
            <w:tcW w:w="906" w:type="pct"/>
            <w:tcBorders>
              <w:tl2br w:val="nil"/>
              <w:tr2bl w:val="nil"/>
            </w:tcBorders>
            <w:vAlign w:val="center"/>
          </w:tcPr>
          <w:p w14:paraId="24D4D76C">
            <w:pPr>
              <w:keepNext w:val="0"/>
              <w:keepLines w:val="0"/>
              <w:suppressLineNumbers w:val="0"/>
              <w:tabs>
                <w:tab w:val="left" w:pos="7080"/>
              </w:tabs>
              <w:spacing w:before="0" w:beforeAutospacing="0" w:after="0" w:afterAutospacing="0" w:line="320" w:lineRule="exact"/>
              <w:ind w:left="0" w:right="0" w:firstLine="0" w:firstLineChars="0"/>
              <w:jc w:val="center"/>
              <w:rPr>
                <w:rFonts w:hint="default" w:hAnsi="宋体" w:cs="宋体"/>
                <w:color w:val="auto"/>
                <w:sz w:val="21"/>
                <w:szCs w:val="21"/>
              </w:rPr>
            </w:pPr>
            <w:r>
              <w:rPr>
                <w:rFonts w:hint="eastAsia" w:hAnsi="宋体" w:cs="宋体"/>
                <w:color w:val="auto"/>
                <w:sz w:val="21"/>
                <w:szCs w:val="21"/>
              </w:rPr>
              <w:t>《金属非金属矿山安全规程》(GBl6423-2020)第6.3.1.2条</w:t>
            </w:r>
          </w:p>
        </w:tc>
        <w:tc>
          <w:tcPr>
            <w:tcW w:w="1452" w:type="pct"/>
            <w:tcBorders>
              <w:tl2br w:val="nil"/>
              <w:tr2bl w:val="nil"/>
            </w:tcBorders>
            <w:vAlign w:val="center"/>
          </w:tcPr>
          <w:p w14:paraId="1C6C2728">
            <w:pPr>
              <w:keepNext w:val="0"/>
              <w:keepLines w:val="0"/>
              <w:suppressLineNumbers w:val="0"/>
              <w:tabs>
                <w:tab w:val="left" w:pos="7080"/>
              </w:tabs>
              <w:spacing w:before="0" w:beforeAutospacing="0" w:after="0" w:afterAutospacing="0" w:line="320" w:lineRule="exact"/>
              <w:ind w:left="0" w:right="0" w:firstLine="0" w:firstLineChars="0"/>
              <w:rPr>
                <w:rFonts w:hint="default" w:hAnsi="宋体" w:cs="宋体"/>
                <w:color w:val="auto"/>
                <w:sz w:val="21"/>
                <w:szCs w:val="21"/>
                <w:highlight w:val="yellow"/>
              </w:rPr>
            </w:pPr>
            <w:r>
              <w:rPr>
                <w:rFonts w:hint="eastAsia" w:cs="宋体"/>
                <w:color w:val="auto"/>
                <w:sz w:val="21"/>
                <w:szCs w:val="21"/>
                <w:lang w:eastAsia="zh-CN"/>
              </w:rPr>
              <w:t>地表主要建构筑物、主要井筒位于地表岩石移动范围之外。</w:t>
            </w:r>
          </w:p>
        </w:tc>
        <w:tc>
          <w:tcPr>
            <w:tcW w:w="375" w:type="pct"/>
            <w:tcBorders>
              <w:tl2br w:val="nil"/>
              <w:tr2bl w:val="nil"/>
            </w:tcBorders>
            <w:vAlign w:val="center"/>
          </w:tcPr>
          <w:p w14:paraId="2615A588">
            <w:pPr>
              <w:keepNext w:val="0"/>
              <w:keepLines w:val="0"/>
              <w:suppressLineNumbers w:val="0"/>
              <w:tabs>
                <w:tab w:val="left" w:pos="7080"/>
              </w:tabs>
              <w:spacing w:before="0" w:beforeAutospacing="0" w:after="0" w:afterAutospacing="0" w:line="320" w:lineRule="exact"/>
              <w:ind w:left="0" w:right="0" w:firstLine="0" w:firstLineChars="0"/>
              <w:jc w:val="center"/>
              <w:rPr>
                <w:rFonts w:hint="default" w:hAnsi="宋体" w:cs="宋体"/>
                <w:color w:val="auto"/>
                <w:sz w:val="21"/>
                <w:szCs w:val="21"/>
              </w:rPr>
            </w:pPr>
            <w:r>
              <w:rPr>
                <w:rFonts w:hint="eastAsia" w:hAnsi="宋体" w:cs="宋体"/>
                <w:color w:val="auto"/>
                <w:sz w:val="21"/>
                <w:szCs w:val="21"/>
              </w:rPr>
              <w:t>符合</w:t>
            </w:r>
          </w:p>
        </w:tc>
      </w:tr>
      <w:tr w14:paraId="6E76DF7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47" w:hRule="atLeast"/>
          <w:jc w:val="center"/>
        </w:trPr>
        <w:tc>
          <w:tcPr>
            <w:tcW w:w="363" w:type="pct"/>
            <w:tcBorders>
              <w:tl2br w:val="nil"/>
              <w:tr2bl w:val="nil"/>
            </w:tcBorders>
            <w:vAlign w:val="center"/>
          </w:tcPr>
          <w:p w14:paraId="12D4CC33">
            <w:pPr>
              <w:keepNext w:val="0"/>
              <w:keepLines w:val="0"/>
              <w:suppressLineNumbers w:val="0"/>
              <w:tabs>
                <w:tab w:val="left" w:pos="7080"/>
              </w:tabs>
              <w:spacing w:before="0" w:beforeAutospacing="0" w:after="0" w:afterAutospacing="0" w:line="320" w:lineRule="exact"/>
              <w:ind w:left="0" w:right="0" w:firstLine="0" w:firstLineChars="0"/>
              <w:jc w:val="center"/>
              <w:rPr>
                <w:rFonts w:hint="eastAsia" w:hAnsi="宋体" w:eastAsia="宋体" w:cs="宋体"/>
                <w:color w:val="auto"/>
                <w:sz w:val="21"/>
                <w:szCs w:val="21"/>
                <w:lang w:val="en-US" w:eastAsia="zh-CN"/>
              </w:rPr>
            </w:pPr>
            <w:r>
              <w:rPr>
                <w:rFonts w:hint="eastAsia" w:cs="宋体"/>
                <w:color w:val="auto"/>
                <w:sz w:val="21"/>
                <w:szCs w:val="21"/>
                <w:lang w:val="en-US" w:eastAsia="zh-CN"/>
              </w:rPr>
              <w:t>4</w:t>
            </w:r>
          </w:p>
        </w:tc>
        <w:tc>
          <w:tcPr>
            <w:tcW w:w="1901" w:type="pct"/>
            <w:tcBorders>
              <w:tl2br w:val="nil"/>
              <w:tr2bl w:val="nil"/>
            </w:tcBorders>
            <w:vAlign w:val="center"/>
          </w:tcPr>
          <w:p w14:paraId="508444F2">
            <w:pPr>
              <w:keepNext w:val="0"/>
              <w:keepLines w:val="0"/>
              <w:suppressLineNumbers w:val="0"/>
              <w:tabs>
                <w:tab w:val="left" w:pos="7080"/>
              </w:tabs>
              <w:spacing w:before="0" w:beforeAutospacing="0" w:after="0" w:afterAutospacing="0" w:line="320" w:lineRule="exact"/>
              <w:ind w:left="0" w:right="0" w:firstLine="0" w:firstLineChars="0"/>
              <w:rPr>
                <w:rFonts w:hint="eastAsia" w:hAnsi="宋体" w:cs="宋体"/>
                <w:color w:val="auto"/>
                <w:sz w:val="21"/>
                <w:szCs w:val="21"/>
              </w:rPr>
            </w:pPr>
            <w:r>
              <w:rPr>
                <w:rFonts w:hint="eastAsia" w:hAnsi="宋体" w:cs="宋体"/>
                <w:color w:val="auto"/>
                <w:sz w:val="21"/>
                <w:szCs w:val="21"/>
              </w:rPr>
              <w:t>每个采区或者盘区、矿块均应有两个便于行人的安全出口，并与通往地面的安全出口相通。</w:t>
            </w:r>
          </w:p>
        </w:tc>
        <w:tc>
          <w:tcPr>
            <w:tcW w:w="906" w:type="pct"/>
            <w:tcBorders>
              <w:tl2br w:val="nil"/>
              <w:tr2bl w:val="nil"/>
            </w:tcBorders>
            <w:vAlign w:val="center"/>
          </w:tcPr>
          <w:p w14:paraId="3F1CE094">
            <w:pPr>
              <w:keepNext w:val="0"/>
              <w:keepLines w:val="0"/>
              <w:suppressLineNumbers w:val="0"/>
              <w:tabs>
                <w:tab w:val="left" w:pos="7080"/>
              </w:tabs>
              <w:spacing w:before="0" w:beforeAutospacing="0" w:after="0" w:afterAutospacing="0" w:line="320" w:lineRule="exact"/>
              <w:ind w:left="0" w:right="0" w:firstLine="0" w:firstLineChars="0"/>
              <w:jc w:val="center"/>
              <w:rPr>
                <w:rFonts w:hint="eastAsia" w:hAnsi="宋体" w:cs="宋体"/>
                <w:color w:val="auto"/>
                <w:sz w:val="21"/>
                <w:szCs w:val="21"/>
              </w:rPr>
            </w:pPr>
            <w:r>
              <w:rPr>
                <w:rFonts w:hint="eastAsia" w:hAnsi="宋体" w:cs="宋体"/>
                <w:color w:val="auto"/>
                <w:sz w:val="21"/>
                <w:szCs w:val="21"/>
              </w:rPr>
              <w:t>《金属非金属矿山安全规程》(GBl6423-2020)第6.3.1.</w:t>
            </w:r>
            <w:r>
              <w:rPr>
                <w:rFonts w:hint="eastAsia" w:hAnsi="宋体" w:cs="宋体"/>
                <w:color w:val="auto"/>
                <w:sz w:val="21"/>
                <w:szCs w:val="21"/>
                <w:lang w:val="en-US" w:eastAsia="zh-CN"/>
              </w:rPr>
              <w:t>4</w:t>
            </w:r>
            <w:r>
              <w:rPr>
                <w:rFonts w:hint="eastAsia" w:hAnsi="宋体" w:cs="宋体"/>
                <w:color w:val="auto"/>
                <w:sz w:val="21"/>
                <w:szCs w:val="21"/>
              </w:rPr>
              <w:t>条</w:t>
            </w:r>
          </w:p>
        </w:tc>
        <w:tc>
          <w:tcPr>
            <w:tcW w:w="1452" w:type="pct"/>
            <w:tcBorders>
              <w:tl2br w:val="nil"/>
              <w:tr2bl w:val="nil"/>
            </w:tcBorders>
            <w:vAlign w:val="center"/>
          </w:tcPr>
          <w:p w14:paraId="1B471398">
            <w:pPr>
              <w:keepNext w:val="0"/>
              <w:keepLines w:val="0"/>
              <w:suppressLineNumbers w:val="0"/>
              <w:tabs>
                <w:tab w:val="left" w:pos="7080"/>
              </w:tabs>
              <w:spacing w:before="0" w:beforeAutospacing="0" w:after="0" w:afterAutospacing="0" w:line="320" w:lineRule="exact"/>
              <w:ind w:left="0" w:right="0" w:firstLine="0" w:firstLineChars="0"/>
              <w:rPr>
                <w:rFonts w:hint="eastAsia" w:hAnsi="宋体" w:cs="宋体"/>
                <w:color w:val="auto"/>
                <w:sz w:val="21"/>
                <w:szCs w:val="21"/>
              </w:rPr>
            </w:pPr>
            <w:r>
              <w:rPr>
                <w:rFonts w:hint="eastAsia" w:hAnsi="宋体" w:cs="宋体"/>
                <w:color w:val="auto"/>
                <w:sz w:val="21"/>
                <w:szCs w:val="21"/>
                <w:lang w:eastAsia="zh-CN"/>
              </w:rPr>
              <w:t>矿山</w:t>
            </w:r>
            <w:r>
              <w:rPr>
                <w:rFonts w:hint="eastAsia" w:cs="宋体"/>
                <w:color w:val="auto"/>
                <w:sz w:val="21"/>
                <w:szCs w:val="21"/>
                <w:lang w:eastAsia="zh-CN"/>
              </w:rPr>
              <w:t>拟</w:t>
            </w:r>
            <w:r>
              <w:rPr>
                <w:rFonts w:hint="eastAsia" w:hAnsi="宋体" w:cs="宋体"/>
                <w:color w:val="auto"/>
                <w:sz w:val="21"/>
                <w:szCs w:val="21"/>
                <w:lang w:eastAsia="zh-CN"/>
              </w:rPr>
              <w:t>采用</w:t>
            </w:r>
            <w:r>
              <w:rPr>
                <w:rFonts w:hint="eastAsia" w:cs="宋体"/>
                <w:color w:val="auto"/>
                <w:sz w:val="21"/>
                <w:szCs w:val="21"/>
                <w:lang w:val="en-US" w:eastAsia="zh-CN"/>
              </w:rPr>
              <w:t>中深孔房柱法</w:t>
            </w:r>
            <w:r>
              <w:rPr>
                <w:rFonts w:hint="eastAsia" w:hAnsi="宋体" w:cs="宋体"/>
                <w:color w:val="auto"/>
                <w:sz w:val="21"/>
                <w:szCs w:val="21"/>
                <w:lang w:eastAsia="zh-CN"/>
              </w:rPr>
              <w:t>，每个采场(矿块)都有两个出口、连通生产与回风中段巷道</w:t>
            </w:r>
            <w:r>
              <w:rPr>
                <w:rFonts w:hint="eastAsia" w:hAnsi="宋体" w:cs="宋体"/>
                <w:color w:val="auto"/>
                <w:sz w:val="21"/>
                <w:szCs w:val="21"/>
                <w:lang w:val="en-US" w:eastAsia="zh-CN"/>
              </w:rPr>
              <w:t>。</w:t>
            </w:r>
          </w:p>
        </w:tc>
        <w:tc>
          <w:tcPr>
            <w:tcW w:w="375" w:type="pct"/>
            <w:tcBorders>
              <w:tl2br w:val="nil"/>
              <w:tr2bl w:val="nil"/>
            </w:tcBorders>
            <w:vAlign w:val="center"/>
          </w:tcPr>
          <w:p w14:paraId="52CB065F">
            <w:pPr>
              <w:keepNext w:val="0"/>
              <w:keepLines w:val="0"/>
              <w:suppressLineNumbers w:val="0"/>
              <w:tabs>
                <w:tab w:val="left" w:pos="7080"/>
              </w:tabs>
              <w:spacing w:before="0" w:beforeAutospacing="0" w:after="0" w:afterAutospacing="0" w:line="320" w:lineRule="exact"/>
              <w:ind w:left="0" w:right="0" w:firstLine="0" w:firstLineChars="0"/>
              <w:jc w:val="center"/>
              <w:rPr>
                <w:rFonts w:hint="eastAsia" w:hAnsi="宋体" w:cs="宋体"/>
                <w:color w:val="auto"/>
                <w:sz w:val="21"/>
                <w:szCs w:val="21"/>
              </w:rPr>
            </w:pPr>
            <w:r>
              <w:rPr>
                <w:rFonts w:hint="eastAsia" w:hAnsi="宋体" w:cs="宋体"/>
                <w:color w:val="auto"/>
                <w:sz w:val="21"/>
                <w:szCs w:val="21"/>
              </w:rPr>
              <w:t>符合</w:t>
            </w:r>
          </w:p>
        </w:tc>
      </w:tr>
      <w:tr w14:paraId="1386EE2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47" w:hRule="atLeast"/>
          <w:jc w:val="center"/>
        </w:trPr>
        <w:tc>
          <w:tcPr>
            <w:tcW w:w="363" w:type="pct"/>
            <w:tcBorders>
              <w:tl2br w:val="nil"/>
              <w:tr2bl w:val="nil"/>
            </w:tcBorders>
            <w:vAlign w:val="center"/>
          </w:tcPr>
          <w:p w14:paraId="3E313059">
            <w:pPr>
              <w:keepNext w:val="0"/>
              <w:keepLines w:val="0"/>
              <w:suppressLineNumbers w:val="0"/>
              <w:tabs>
                <w:tab w:val="left" w:pos="7080"/>
              </w:tabs>
              <w:spacing w:before="0" w:beforeAutospacing="0" w:after="0" w:afterAutospacing="0" w:line="320" w:lineRule="exact"/>
              <w:ind w:left="0" w:right="0" w:firstLine="0" w:firstLineChars="0"/>
              <w:jc w:val="center"/>
              <w:rPr>
                <w:rFonts w:hint="default" w:cs="宋体"/>
                <w:color w:val="auto"/>
                <w:sz w:val="21"/>
                <w:szCs w:val="21"/>
                <w:lang w:val="en-US" w:eastAsia="zh-CN"/>
              </w:rPr>
            </w:pPr>
            <w:r>
              <w:rPr>
                <w:rFonts w:hint="eastAsia" w:cs="宋体"/>
                <w:color w:val="auto"/>
                <w:sz w:val="21"/>
                <w:szCs w:val="21"/>
                <w:lang w:val="en-US" w:eastAsia="zh-CN"/>
              </w:rPr>
              <w:t>5</w:t>
            </w:r>
          </w:p>
        </w:tc>
        <w:tc>
          <w:tcPr>
            <w:tcW w:w="1901" w:type="pct"/>
            <w:tcBorders>
              <w:tl2br w:val="nil"/>
              <w:tr2bl w:val="nil"/>
            </w:tcBorders>
            <w:vAlign w:val="center"/>
          </w:tcPr>
          <w:p w14:paraId="3AF70338">
            <w:pPr>
              <w:keepNext w:val="0"/>
              <w:keepLines w:val="0"/>
              <w:suppressLineNumbers w:val="0"/>
              <w:tabs>
                <w:tab w:val="left" w:pos="7080"/>
              </w:tabs>
              <w:spacing w:before="0" w:beforeAutospacing="0" w:after="0" w:afterAutospacing="0" w:line="320" w:lineRule="exact"/>
              <w:ind w:left="0" w:right="0" w:firstLine="0" w:firstLineChars="0"/>
              <w:rPr>
                <w:rFonts w:hint="eastAsia" w:hAnsi="宋体" w:cs="宋体"/>
                <w:color w:val="auto"/>
                <w:sz w:val="21"/>
                <w:szCs w:val="21"/>
              </w:rPr>
            </w:pPr>
            <w:r>
              <w:rPr>
                <w:rFonts w:hint="eastAsia" w:hAnsi="宋体" w:cs="宋体"/>
                <w:color w:val="auto"/>
                <w:sz w:val="21"/>
                <w:szCs w:val="21"/>
              </w:rPr>
              <w:t>竖井、主斜井及提升机硐室、地下破碎硐室、装卸矿硐室、主平硐口等重要工程，当采用混凝土或钢筋混凝土支护时，其强度等级不应小于C25。</w:t>
            </w:r>
          </w:p>
          <w:p w14:paraId="24198606">
            <w:pPr>
              <w:keepNext w:val="0"/>
              <w:keepLines w:val="0"/>
              <w:suppressLineNumbers w:val="0"/>
              <w:tabs>
                <w:tab w:val="left" w:pos="7080"/>
              </w:tabs>
              <w:spacing w:before="0" w:beforeAutospacing="0" w:after="0" w:afterAutospacing="0" w:line="320" w:lineRule="exact"/>
              <w:ind w:left="0" w:right="0" w:firstLine="0" w:firstLineChars="0"/>
              <w:rPr>
                <w:rFonts w:hint="eastAsia" w:hAnsi="宋体" w:eastAsia="宋体" w:cs="宋体"/>
                <w:color w:val="auto"/>
                <w:sz w:val="21"/>
                <w:szCs w:val="21"/>
                <w:lang w:eastAsia="zh-CN"/>
              </w:rPr>
            </w:pPr>
            <w:r>
              <w:rPr>
                <w:rFonts w:hint="eastAsia" w:hAnsi="宋体" w:cs="宋体"/>
                <w:color w:val="auto"/>
                <w:sz w:val="21"/>
                <w:szCs w:val="21"/>
              </w:rPr>
              <w:t>其他斜井、平巷等井巷工程，当采用混凝土支护时，其强度等级不应小于C20；采用钢筋混凝土支护时，其强度等级不应小于C25</w:t>
            </w:r>
            <w:r>
              <w:rPr>
                <w:rFonts w:hint="eastAsia" w:cs="宋体"/>
                <w:color w:val="auto"/>
                <w:sz w:val="21"/>
                <w:szCs w:val="21"/>
                <w:lang w:eastAsia="zh-CN"/>
              </w:rPr>
              <w:t>。</w:t>
            </w:r>
          </w:p>
        </w:tc>
        <w:tc>
          <w:tcPr>
            <w:tcW w:w="906" w:type="pct"/>
            <w:tcBorders>
              <w:tl2br w:val="nil"/>
              <w:tr2bl w:val="nil"/>
            </w:tcBorders>
            <w:vAlign w:val="center"/>
          </w:tcPr>
          <w:p w14:paraId="62148F86">
            <w:pPr>
              <w:keepNext w:val="0"/>
              <w:keepLines w:val="0"/>
              <w:suppressLineNumbers w:val="0"/>
              <w:tabs>
                <w:tab w:val="left" w:pos="7080"/>
              </w:tabs>
              <w:spacing w:before="0" w:beforeAutospacing="0" w:after="0" w:afterAutospacing="0" w:line="320" w:lineRule="exact"/>
              <w:ind w:left="0" w:right="0" w:firstLine="0" w:firstLineChars="0"/>
              <w:jc w:val="center"/>
              <w:rPr>
                <w:rFonts w:hint="default" w:hAnsi="宋体" w:eastAsia="宋体" w:cs="宋体"/>
                <w:color w:val="auto"/>
                <w:sz w:val="21"/>
                <w:szCs w:val="21"/>
                <w:lang w:val="en-US" w:eastAsia="zh-CN"/>
              </w:rPr>
            </w:pPr>
            <w:r>
              <w:rPr>
                <w:rFonts w:hint="eastAsia" w:cs="宋体"/>
                <w:color w:val="auto"/>
                <w:sz w:val="21"/>
                <w:szCs w:val="21"/>
                <w:lang w:eastAsia="zh-CN"/>
              </w:rPr>
              <w:t>《</w:t>
            </w:r>
            <w:r>
              <w:rPr>
                <w:rFonts w:hint="eastAsia" w:cs="宋体"/>
                <w:color w:val="auto"/>
                <w:sz w:val="21"/>
                <w:szCs w:val="21"/>
                <w:lang w:val="en-US" w:eastAsia="zh-CN"/>
              </w:rPr>
              <w:t>有色金属矿山井巷工程设计规范</w:t>
            </w:r>
            <w:r>
              <w:rPr>
                <w:rFonts w:hint="eastAsia" w:cs="宋体"/>
                <w:color w:val="auto"/>
                <w:sz w:val="21"/>
                <w:szCs w:val="21"/>
                <w:lang w:eastAsia="zh-CN"/>
              </w:rPr>
              <w:t>》</w:t>
            </w:r>
            <w:r>
              <w:rPr>
                <w:rFonts w:hint="eastAsia" w:cs="宋体"/>
                <w:color w:val="auto"/>
                <w:sz w:val="21"/>
                <w:szCs w:val="21"/>
                <w:lang w:val="en-US" w:eastAsia="zh-CN"/>
              </w:rPr>
              <w:t>(GB50915-2013)第3.3.5条</w:t>
            </w:r>
          </w:p>
        </w:tc>
        <w:tc>
          <w:tcPr>
            <w:tcW w:w="1452" w:type="pct"/>
            <w:tcBorders>
              <w:tl2br w:val="nil"/>
              <w:tr2bl w:val="nil"/>
            </w:tcBorders>
            <w:vAlign w:val="center"/>
          </w:tcPr>
          <w:p w14:paraId="461F1D36">
            <w:pPr>
              <w:keepNext w:val="0"/>
              <w:keepLines w:val="0"/>
              <w:suppressLineNumbers w:val="0"/>
              <w:tabs>
                <w:tab w:val="left" w:pos="7080"/>
              </w:tabs>
              <w:spacing w:before="0" w:beforeAutospacing="0" w:after="0" w:afterAutospacing="0" w:line="320" w:lineRule="exact"/>
              <w:ind w:left="0" w:right="0" w:firstLine="0" w:firstLineChars="0"/>
              <w:rPr>
                <w:rFonts w:hint="default" w:hAnsi="宋体" w:cs="宋体"/>
                <w:color w:val="auto"/>
                <w:sz w:val="21"/>
                <w:szCs w:val="21"/>
                <w:lang w:val="en-US" w:eastAsia="zh-CN"/>
              </w:rPr>
            </w:pPr>
            <w:r>
              <w:rPr>
                <w:rFonts w:hint="eastAsia" w:cs="宋体"/>
                <w:color w:val="auto"/>
                <w:sz w:val="21"/>
                <w:szCs w:val="21"/>
                <w:lang w:val="en-US" w:eastAsia="zh-CN"/>
              </w:rPr>
              <w:t>硐口段采用采用钢筋混凝土支护，支护厚度300mm，混凝土强度C25。中段巷道根据围岩情况采用锚网或喷砼支护，喷砼支护时混凝土强度为C25。</w:t>
            </w:r>
          </w:p>
        </w:tc>
        <w:tc>
          <w:tcPr>
            <w:tcW w:w="375" w:type="pct"/>
            <w:tcBorders>
              <w:tl2br w:val="nil"/>
              <w:tr2bl w:val="nil"/>
            </w:tcBorders>
            <w:vAlign w:val="center"/>
          </w:tcPr>
          <w:p w14:paraId="00D1B57B">
            <w:pPr>
              <w:keepNext w:val="0"/>
              <w:keepLines w:val="0"/>
              <w:suppressLineNumbers w:val="0"/>
              <w:tabs>
                <w:tab w:val="left" w:pos="7080"/>
              </w:tabs>
              <w:spacing w:before="0" w:beforeAutospacing="0" w:after="0" w:afterAutospacing="0" w:line="320" w:lineRule="exact"/>
              <w:ind w:left="0" w:right="0" w:firstLine="0" w:firstLineChars="0"/>
              <w:jc w:val="center"/>
              <w:rPr>
                <w:rFonts w:hint="eastAsia" w:hAnsi="宋体" w:eastAsia="宋体" w:cs="宋体"/>
                <w:color w:val="auto"/>
                <w:sz w:val="21"/>
                <w:szCs w:val="21"/>
                <w:lang w:val="en-US" w:eastAsia="zh-CN"/>
              </w:rPr>
            </w:pPr>
            <w:r>
              <w:rPr>
                <w:rFonts w:hint="eastAsia" w:cs="宋体"/>
                <w:color w:val="auto"/>
                <w:sz w:val="21"/>
                <w:szCs w:val="21"/>
                <w:lang w:val="en-US" w:eastAsia="zh-CN"/>
              </w:rPr>
              <w:t>符合</w:t>
            </w:r>
          </w:p>
        </w:tc>
      </w:tr>
      <w:tr w14:paraId="01FCA71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47" w:hRule="atLeast"/>
          <w:jc w:val="center"/>
        </w:trPr>
        <w:tc>
          <w:tcPr>
            <w:tcW w:w="363" w:type="pct"/>
            <w:tcBorders>
              <w:tl2br w:val="nil"/>
              <w:tr2bl w:val="nil"/>
            </w:tcBorders>
            <w:vAlign w:val="center"/>
          </w:tcPr>
          <w:p w14:paraId="692751C6">
            <w:pPr>
              <w:keepNext w:val="0"/>
              <w:keepLines w:val="0"/>
              <w:suppressLineNumbers w:val="0"/>
              <w:tabs>
                <w:tab w:val="left" w:pos="7080"/>
              </w:tabs>
              <w:spacing w:before="0" w:beforeAutospacing="0" w:after="0" w:afterAutospacing="0" w:line="320" w:lineRule="exact"/>
              <w:ind w:left="0" w:right="0" w:firstLine="0" w:firstLineChars="0"/>
              <w:jc w:val="center"/>
              <w:rPr>
                <w:rFonts w:hint="default" w:cs="宋体"/>
                <w:color w:val="auto"/>
                <w:sz w:val="21"/>
                <w:szCs w:val="21"/>
                <w:lang w:val="en-US" w:eastAsia="zh-CN"/>
              </w:rPr>
            </w:pPr>
            <w:r>
              <w:rPr>
                <w:rFonts w:hint="eastAsia" w:cs="宋体"/>
                <w:color w:val="auto"/>
                <w:sz w:val="21"/>
                <w:szCs w:val="21"/>
                <w:lang w:val="en-US" w:eastAsia="zh-CN"/>
              </w:rPr>
              <w:t>6</w:t>
            </w:r>
          </w:p>
        </w:tc>
        <w:tc>
          <w:tcPr>
            <w:tcW w:w="1901" w:type="pct"/>
            <w:tcBorders>
              <w:tl2br w:val="nil"/>
              <w:tr2bl w:val="nil"/>
            </w:tcBorders>
            <w:vAlign w:val="center"/>
          </w:tcPr>
          <w:p w14:paraId="2103A7F7">
            <w:pPr>
              <w:keepNext w:val="0"/>
              <w:keepLines w:val="0"/>
              <w:suppressLineNumbers w:val="0"/>
              <w:tabs>
                <w:tab w:val="left" w:pos="7080"/>
              </w:tabs>
              <w:spacing w:before="0" w:beforeAutospacing="0" w:after="0" w:afterAutospacing="0" w:line="320" w:lineRule="exact"/>
              <w:ind w:left="0" w:right="0" w:firstLine="0" w:firstLineChars="0"/>
              <w:rPr>
                <w:rFonts w:hint="eastAsia" w:hAnsi="宋体" w:cs="宋体"/>
                <w:color w:val="auto"/>
                <w:sz w:val="21"/>
                <w:szCs w:val="21"/>
                <w:lang w:eastAsia="zh-CN"/>
              </w:rPr>
            </w:pPr>
            <w:r>
              <w:rPr>
                <w:rFonts w:hint="eastAsia" w:hAnsi="宋体" w:cs="宋体"/>
                <w:color w:val="auto"/>
                <w:sz w:val="21"/>
                <w:szCs w:val="21"/>
              </w:rPr>
              <w:t>阶段高度应根据矿体赋存条件、矿体厚度、矿岩稳固程度采掘运设备、生产规模、采矿方法等因素,经综合分析比较确定</w:t>
            </w:r>
            <w:r>
              <w:rPr>
                <w:rFonts w:hint="eastAsia" w:hAnsi="宋体" w:cs="宋体"/>
                <w:color w:val="auto"/>
                <w:sz w:val="21"/>
                <w:szCs w:val="21"/>
                <w:lang w:eastAsia="zh-CN"/>
              </w:rPr>
              <w:t>。</w:t>
            </w:r>
          </w:p>
        </w:tc>
        <w:tc>
          <w:tcPr>
            <w:tcW w:w="906" w:type="pct"/>
            <w:tcBorders>
              <w:tl2br w:val="nil"/>
              <w:tr2bl w:val="nil"/>
            </w:tcBorders>
            <w:vAlign w:val="center"/>
          </w:tcPr>
          <w:p w14:paraId="702A42BD">
            <w:pPr>
              <w:keepNext w:val="0"/>
              <w:keepLines w:val="0"/>
              <w:suppressLineNumbers w:val="0"/>
              <w:tabs>
                <w:tab w:val="left" w:pos="7080"/>
              </w:tabs>
              <w:spacing w:before="0" w:beforeAutospacing="0" w:after="0" w:afterAutospacing="0" w:line="320" w:lineRule="exact"/>
              <w:ind w:left="0" w:right="0" w:firstLine="0" w:firstLineChars="0"/>
              <w:rPr>
                <w:rFonts w:hint="default" w:hAnsi="宋体" w:cs="宋体"/>
                <w:color w:val="auto"/>
                <w:sz w:val="21"/>
                <w:szCs w:val="21"/>
                <w:lang w:val="en-US" w:eastAsia="zh-CN"/>
              </w:rPr>
            </w:pPr>
            <w:r>
              <w:rPr>
                <w:rFonts w:hint="eastAsia" w:hAnsi="宋体" w:cs="宋体"/>
                <w:color w:val="auto"/>
                <w:sz w:val="21"/>
                <w:szCs w:val="21"/>
                <w:lang w:eastAsia="zh-CN"/>
              </w:rPr>
              <w:t>《</w:t>
            </w:r>
            <w:r>
              <w:rPr>
                <w:rFonts w:hint="eastAsia" w:hAnsi="宋体" w:cs="宋体"/>
                <w:color w:val="auto"/>
                <w:sz w:val="21"/>
                <w:szCs w:val="21"/>
                <w:lang w:val="en-US" w:eastAsia="zh-CN"/>
              </w:rPr>
              <w:t>有色金属采矿设计规范</w:t>
            </w:r>
            <w:r>
              <w:rPr>
                <w:rFonts w:hint="eastAsia" w:hAnsi="宋体" w:cs="宋体"/>
                <w:color w:val="auto"/>
                <w:sz w:val="21"/>
                <w:szCs w:val="21"/>
                <w:lang w:eastAsia="zh-CN"/>
              </w:rPr>
              <w:t>》</w:t>
            </w:r>
            <w:r>
              <w:rPr>
                <w:rFonts w:hint="eastAsia" w:hAnsi="宋体" w:cs="宋体"/>
                <w:color w:val="auto"/>
                <w:sz w:val="21"/>
                <w:szCs w:val="21"/>
                <w:lang w:val="en-US" w:eastAsia="zh-CN"/>
              </w:rPr>
              <w:t>(GB50771-2012)第9.3.7条</w:t>
            </w:r>
          </w:p>
        </w:tc>
        <w:tc>
          <w:tcPr>
            <w:tcW w:w="1452" w:type="pct"/>
            <w:tcBorders>
              <w:tl2br w:val="nil"/>
              <w:tr2bl w:val="nil"/>
            </w:tcBorders>
            <w:vAlign w:val="center"/>
          </w:tcPr>
          <w:p w14:paraId="5F75D902">
            <w:pPr>
              <w:keepNext w:val="0"/>
              <w:keepLines w:val="0"/>
              <w:suppressLineNumbers w:val="0"/>
              <w:tabs>
                <w:tab w:val="left" w:pos="7080"/>
              </w:tabs>
              <w:spacing w:before="0" w:beforeAutospacing="0" w:after="0" w:afterAutospacing="0" w:line="320" w:lineRule="exact"/>
              <w:ind w:left="0" w:right="0" w:firstLine="0" w:firstLineChars="0"/>
              <w:rPr>
                <w:rFonts w:hint="eastAsia" w:hAnsi="宋体" w:cs="宋体"/>
                <w:color w:val="auto"/>
                <w:sz w:val="21"/>
                <w:szCs w:val="21"/>
                <w:lang w:eastAsia="zh-CN"/>
              </w:rPr>
            </w:pPr>
            <w:r>
              <w:rPr>
                <w:rFonts w:hint="eastAsia" w:hAnsi="宋体" w:cs="宋体"/>
                <w:color w:val="auto"/>
                <w:sz w:val="21"/>
                <w:szCs w:val="21"/>
                <w:lang w:eastAsia="zh-CN"/>
              </w:rPr>
              <w:t>该矿体离地表较近，根据矿体的开采技术条件以及选用的采矿方法设计采用中段高度为1</w:t>
            </w:r>
            <w:r>
              <w:rPr>
                <w:rFonts w:hint="eastAsia" w:cs="宋体"/>
                <w:color w:val="auto"/>
                <w:sz w:val="21"/>
                <w:szCs w:val="21"/>
                <w:lang w:val="en-US" w:eastAsia="zh-CN"/>
              </w:rPr>
              <w:t>5</w:t>
            </w:r>
            <w:r>
              <w:rPr>
                <w:rFonts w:hint="eastAsia" w:hAnsi="宋体" w:cs="宋体"/>
                <w:color w:val="auto"/>
                <w:sz w:val="21"/>
                <w:szCs w:val="21"/>
                <w:lang w:eastAsia="zh-CN"/>
              </w:rPr>
              <w:t>-20m。</w:t>
            </w:r>
          </w:p>
        </w:tc>
        <w:tc>
          <w:tcPr>
            <w:tcW w:w="375" w:type="pct"/>
            <w:tcBorders>
              <w:tl2br w:val="nil"/>
              <w:tr2bl w:val="nil"/>
            </w:tcBorders>
            <w:vAlign w:val="center"/>
          </w:tcPr>
          <w:p w14:paraId="5D5DC855">
            <w:pPr>
              <w:keepNext w:val="0"/>
              <w:keepLines w:val="0"/>
              <w:suppressLineNumbers w:val="0"/>
              <w:tabs>
                <w:tab w:val="left" w:pos="7080"/>
              </w:tabs>
              <w:spacing w:before="0" w:beforeAutospacing="0" w:after="0" w:afterAutospacing="0" w:line="320" w:lineRule="exact"/>
              <w:ind w:left="0" w:right="0" w:firstLine="0" w:firstLineChars="0"/>
              <w:rPr>
                <w:rFonts w:hint="eastAsia" w:hAnsi="宋体" w:cs="宋体"/>
                <w:color w:val="auto"/>
                <w:sz w:val="21"/>
                <w:szCs w:val="21"/>
              </w:rPr>
            </w:pPr>
            <w:r>
              <w:rPr>
                <w:rFonts w:hint="eastAsia" w:cs="宋体"/>
                <w:color w:val="auto"/>
                <w:sz w:val="21"/>
                <w:szCs w:val="21"/>
                <w:lang w:val="en-US" w:eastAsia="zh-CN"/>
              </w:rPr>
              <w:t>符合</w:t>
            </w:r>
          </w:p>
        </w:tc>
      </w:tr>
      <w:tr w14:paraId="1110C3C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47" w:hRule="atLeast"/>
          <w:jc w:val="center"/>
        </w:trPr>
        <w:tc>
          <w:tcPr>
            <w:tcW w:w="363" w:type="pct"/>
            <w:tcBorders>
              <w:tl2br w:val="nil"/>
              <w:tr2bl w:val="nil"/>
            </w:tcBorders>
            <w:vAlign w:val="center"/>
          </w:tcPr>
          <w:p w14:paraId="7D4F77AF">
            <w:pPr>
              <w:keepNext w:val="0"/>
              <w:keepLines w:val="0"/>
              <w:suppressLineNumbers w:val="0"/>
              <w:tabs>
                <w:tab w:val="left" w:pos="7080"/>
              </w:tabs>
              <w:spacing w:before="0" w:beforeAutospacing="0" w:after="0" w:afterAutospacing="0" w:line="320" w:lineRule="exact"/>
              <w:ind w:left="0" w:right="0" w:firstLine="0" w:firstLineChars="0"/>
              <w:jc w:val="center"/>
              <w:rPr>
                <w:rFonts w:hint="default" w:cs="宋体"/>
                <w:color w:val="auto"/>
                <w:sz w:val="21"/>
                <w:szCs w:val="21"/>
                <w:lang w:val="en-US" w:eastAsia="zh-CN"/>
              </w:rPr>
            </w:pPr>
            <w:r>
              <w:rPr>
                <w:rFonts w:hint="eastAsia" w:cs="宋体"/>
                <w:color w:val="auto"/>
                <w:sz w:val="21"/>
                <w:szCs w:val="21"/>
                <w:lang w:val="en-US" w:eastAsia="zh-CN"/>
              </w:rPr>
              <w:t>7</w:t>
            </w:r>
          </w:p>
        </w:tc>
        <w:tc>
          <w:tcPr>
            <w:tcW w:w="1901" w:type="pct"/>
            <w:tcBorders>
              <w:tl2br w:val="nil"/>
              <w:tr2bl w:val="nil"/>
            </w:tcBorders>
            <w:vAlign w:val="center"/>
          </w:tcPr>
          <w:p w14:paraId="1AA6695E">
            <w:pPr>
              <w:keepNext w:val="0"/>
              <w:keepLines w:val="0"/>
              <w:suppressLineNumbers w:val="0"/>
              <w:tabs>
                <w:tab w:val="left" w:pos="7080"/>
              </w:tabs>
              <w:spacing w:before="0" w:beforeAutospacing="0" w:after="0" w:afterAutospacing="0" w:line="320" w:lineRule="exact"/>
              <w:ind w:left="0" w:right="0" w:firstLine="0" w:firstLineChars="0"/>
              <w:rPr>
                <w:rFonts w:hint="eastAsia" w:hAnsi="宋体" w:cs="宋体"/>
                <w:color w:val="auto"/>
                <w:sz w:val="21"/>
                <w:szCs w:val="21"/>
              </w:rPr>
            </w:pPr>
            <w:r>
              <w:rPr>
                <w:rFonts w:hint="eastAsia" w:hAnsi="宋体" w:cs="宋体"/>
                <w:color w:val="auto"/>
                <w:sz w:val="21"/>
                <w:szCs w:val="21"/>
                <w:lang w:val="en-US" w:eastAsia="zh-CN"/>
              </w:rPr>
              <w:t>运输巷道宜布置在矿体下盘，当下盘工程地质条件差，或</w:t>
            </w:r>
            <w:r>
              <w:rPr>
                <w:rFonts w:hint="default" w:hAnsi="宋体" w:cs="宋体"/>
                <w:color w:val="auto"/>
                <w:sz w:val="21"/>
                <w:szCs w:val="21"/>
                <w:lang w:val="en-US" w:eastAsia="zh-CN"/>
              </w:rPr>
              <w:t>其他原因不能布置在下盘时，可布置在上盘。</w:t>
            </w:r>
          </w:p>
        </w:tc>
        <w:tc>
          <w:tcPr>
            <w:tcW w:w="906" w:type="pct"/>
            <w:tcBorders>
              <w:tl2br w:val="nil"/>
              <w:tr2bl w:val="nil"/>
            </w:tcBorders>
            <w:vAlign w:val="center"/>
          </w:tcPr>
          <w:p w14:paraId="3D15BF73">
            <w:pPr>
              <w:keepNext w:val="0"/>
              <w:keepLines w:val="0"/>
              <w:suppressLineNumbers w:val="0"/>
              <w:tabs>
                <w:tab w:val="left" w:pos="7080"/>
              </w:tabs>
              <w:spacing w:before="0" w:beforeAutospacing="0" w:after="0" w:afterAutospacing="0" w:line="320" w:lineRule="exact"/>
              <w:ind w:left="0" w:right="0" w:firstLine="0" w:firstLineChars="0"/>
              <w:rPr>
                <w:rFonts w:hint="eastAsia" w:hAnsi="宋体" w:cs="宋体"/>
                <w:color w:val="auto"/>
                <w:sz w:val="21"/>
                <w:szCs w:val="21"/>
                <w:lang w:eastAsia="zh-CN"/>
              </w:rPr>
            </w:pPr>
            <w:r>
              <w:rPr>
                <w:rFonts w:hint="eastAsia" w:hAnsi="宋体" w:cs="宋体"/>
                <w:color w:val="auto"/>
                <w:sz w:val="21"/>
                <w:szCs w:val="21"/>
                <w:lang w:eastAsia="zh-CN"/>
              </w:rPr>
              <w:t>《</w:t>
            </w:r>
            <w:r>
              <w:rPr>
                <w:rFonts w:hint="eastAsia" w:hAnsi="宋体" w:cs="宋体"/>
                <w:color w:val="auto"/>
                <w:sz w:val="21"/>
                <w:szCs w:val="21"/>
                <w:lang w:val="en-US" w:eastAsia="zh-CN"/>
              </w:rPr>
              <w:t>有色金属采矿设计规范</w:t>
            </w:r>
            <w:r>
              <w:rPr>
                <w:rFonts w:hint="eastAsia" w:hAnsi="宋体" w:cs="宋体"/>
                <w:color w:val="auto"/>
                <w:sz w:val="21"/>
                <w:szCs w:val="21"/>
                <w:lang w:eastAsia="zh-CN"/>
              </w:rPr>
              <w:t>》</w:t>
            </w:r>
            <w:r>
              <w:rPr>
                <w:rFonts w:hint="eastAsia" w:hAnsi="宋体" w:cs="宋体"/>
                <w:color w:val="auto"/>
                <w:sz w:val="21"/>
                <w:szCs w:val="21"/>
                <w:lang w:val="en-US" w:eastAsia="zh-CN"/>
              </w:rPr>
              <w:t>(GB50771-2012)第9.3.</w:t>
            </w:r>
            <w:r>
              <w:rPr>
                <w:rFonts w:hint="eastAsia" w:cs="宋体"/>
                <w:color w:val="auto"/>
                <w:sz w:val="21"/>
                <w:szCs w:val="21"/>
                <w:lang w:val="en-US" w:eastAsia="zh-CN"/>
              </w:rPr>
              <w:t>8</w:t>
            </w:r>
            <w:r>
              <w:rPr>
                <w:rFonts w:hint="eastAsia" w:hAnsi="宋体" w:cs="宋体"/>
                <w:color w:val="auto"/>
                <w:sz w:val="21"/>
                <w:szCs w:val="21"/>
                <w:lang w:val="en-US" w:eastAsia="zh-CN"/>
              </w:rPr>
              <w:t>条</w:t>
            </w:r>
          </w:p>
        </w:tc>
        <w:tc>
          <w:tcPr>
            <w:tcW w:w="1452" w:type="pct"/>
            <w:tcBorders>
              <w:tl2br w:val="nil"/>
              <w:tr2bl w:val="nil"/>
            </w:tcBorders>
            <w:vAlign w:val="center"/>
          </w:tcPr>
          <w:p w14:paraId="1008A8FD">
            <w:pPr>
              <w:keepNext w:val="0"/>
              <w:keepLines w:val="0"/>
              <w:suppressLineNumbers w:val="0"/>
              <w:tabs>
                <w:tab w:val="left" w:pos="7080"/>
              </w:tabs>
              <w:spacing w:before="0" w:beforeAutospacing="0" w:after="0" w:afterAutospacing="0" w:line="320" w:lineRule="exact"/>
              <w:ind w:left="0" w:right="0" w:firstLine="0" w:firstLineChars="0"/>
              <w:rPr>
                <w:rFonts w:hint="default" w:hAnsi="宋体" w:cs="宋体"/>
                <w:color w:val="auto"/>
                <w:sz w:val="21"/>
                <w:szCs w:val="21"/>
                <w:lang w:val="en-US" w:eastAsia="zh-CN"/>
              </w:rPr>
            </w:pPr>
            <w:r>
              <w:rPr>
                <w:rFonts w:hint="eastAsia" w:cs="宋体"/>
                <w:color w:val="auto"/>
                <w:sz w:val="21"/>
                <w:szCs w:val="21"/>
                <w:lang w:val="en-US" w:eastAsia="zh-CN"/>
              </w:rPr>
              <w:t>中段运输巷道布置在矿体中央。</w:t>
            </w:r>
          </w:p>
        </w:tc>
        <w:tc>
          <w:tcPr>
            <w:tcW w:w="375" w:type="pct"/>
            <w:tcBorders>
              <w:tl2br w:val="nil"/>
              <w:tr2bl w:val="nil"/>
            </w:tcBorders>
            <w:vAlign w:val="center"/>
          </w:tcPr>
          <w:p w14:paraId="5A091709">
            <w:pPr>
              <w:keepNext w:val="0"/>
              <w:keepLines w:val="0"/>
              <w:suppressLineNumbers w:val="0"/>
              <w:tabs>
                <w:tab w:val="left" w:pos="7080"/>
              </w:tabs>
              <w:spacing w:before="0" w:beforeAutospacing="0" w:after="0" w:afterAutospacing="0" w:line="320" w:lineRule="exact"/>
              <w:ind w:left="0" w:right="0" w:firstLine="0" w:firstLineChars="0"/>
              <w:rPr>
                <w:rFonts w:hint="eastAsia" w:hAnsi="宋体" w:eastAsia="宋体" w:cs="宋体"/>
                <w:color w:val="auto"/>
                <w:sz w:val="21"/>
                <w:szCs w:val="21"/>
                <w:lang w:val="en-US" w:eastAsia="zh-CN"/>
              </w:rPr>
            </w:pPr>
            <w:r>
              <w:rPr>
                <w:rFonts w:hint="eastAsia" w:cs="宋体"/>
                <w:color w:val="auto"/>
                <w:sz w:val="21"/>
                <w:szCs w:val="21"/>
                <w:lang w:val="en-US" w:eastAsia="zh-CN"/>
              </w:rPr>
              <w:t>不符合</w:t>
            </w:r>
          </w:p>
        </w:tc>
      </w:tr>
      <w:tr w14:paraId="437419E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47" w:hRule="atLeast"/>
          <w:jc w:val="center"/>
        </w:trPr>
        <w:tc>
          <w:tcPr>
            <w:tcW w:w="363" w:type="pct"/>
            <w:tcBorders>
              <w:tl2br w:val="nil"/>
              <w:tr2bl w:val="nil"/>
            </w:tcBorders>
            <w:vAlign w:val="center"/>
          </w:tcPr>
          <w:p w14:paraId="4F6731BE">
            <w:pPr>
              <w:keepNext w:val="0"/>
              <w:keepLines w:val="0"/>
              <w:suppressLineNumbers w:val="0"/>
              <w:tabs>
                <w:tab w:val="left" w:pos="7080"/>
              </w:tabs>
              <w:spacing w:before="0" w:beforeAutospacing="0" w:after="0" w:afterAutospacing="0" w:line="320" w:lineRule="exact"/>
              <w:ind w:left="0" w:right="0" w:firstLine="0" w:firstLineChars="0"/>
              <w:jc w:val="center"/>
              <w:rPr>
                <w:rFonts w:hint="default" w:cs="宋体"/>
                <w:color w:val="auto"/>
                <w:sz w:val="21"/>
                <w:szCs w:val="21"/>
                <w:lang w:val="en-US" w:eastAsia="zh-CN"/>
              </w:rPr>
            </w:pPr>
            <w:r>
              <w:rPr>
                <w:rFonts w:hint="eastAsia" w:cs="宋体"/>
                <w:color w:val="auto"/>
                <w:sz w:val="21"/>
                <w:szCs w:val="21"/>
                <w:lang w:val="en-US" w:eastAsia="zh-CN"/>
              </w:rPr>
              <w:t>8</w:t>
            </w:r>
          </w:p>
        </w:tc>
        <w:tc>
          <w:tcPr>
            <w:tcW w:w="1901" w:type="pct"/>
            <w:tcBorders>
              <w:tl2br w:val="nil"/>
              <w:tr2bl w:val="nil"/>
            </w:tcBorders>
            <w:vAlign w:val="center"/>
          </w:tcPr>
          <w:p w14:paraId="5B7BE231">
            <w:pPr>
              <w:keepNext w:val="0"/>
              <w:keepLines w:val="0"/>
              <w:suppressLineNumbers w:val="0"/>
              <w:tabs>
                <w:tab w:val="left" w:pos="7080"/>
              </w:tabs>
              <w:spacing w:before="0" w:beforeAutospacing="0" w:after="0" w:afterAutospacing="0" w:line="320" w:lineRule="exact"/>
              <w:ind w:left="0" w:right="0" w:firstLine="0" w:firstLineChars="0"/>
              <w:rPr>
                <w:rFonts w:hint="eastAsia" w:hAnsi="宋体" w:cs="宋体"/>
                <w:color w:val="auto"/>
                <w:sz w:val="21"/>
                <w:szCs w:val="21"/>
                <w:lang w:val="en-US" w:eastAsia="zh-CN"/>
              </w:rPr>
            </w:pPr>
            <w:r>
              <w:rPr>
                <w:rFonts w:hint="eastAsia" w:hAnsi="宋体" w:cs="宋体"/>
                <w:color w:val="auto"/>
                <w:sz w:val="21"/>
                <w:szCs w:val="21"/>
                <w:lang w:val="en-US" w:eastAsia="zh-CN"/>
              </w:rPr>
              <w:t>中央变配电硐室应采用浇筑混凝土支护，其他机电硐室应用非燃烧材料支护。</w:t>
            </w:r>
          </w:p>
        </w:tc>
        <w:tc>
          <w:tcPr>
            <w:tcW w:w="906" w:type="pct"/>
            <w:tcBorders>
              <w:tl2br w:val="nil"/>
              <w:tr2bl w:val="nil"/>
            </w:tcBorders>
            <w:vAlign w:val="center"/>
          </w:tcPr>
          <w:p w14:paraId="0C3EF9E7">
            <w:pPr>
              <w:keepNext w:val="0"/>
              <w:keepLines w:val="0"/>
              <w:suppressLineNumbers w:val="0"/>
              <w:tabs>
                <w:tab w:val="left" w:pos="7080"/>
              </w:tabs>
              <w:spacing w:before="0" w:beforeAutospacing="0" w:after="0" w:afterAutospacing="0" w:line="320" w:lineRule="exact"/>
              <w:ind w:left="0" w:right="0" w:firstLine="0" w:firstLineChars="0"/>
              <w:jc w:val="center"/>
              <w:rPr>
                <w:rFonts w:hint="eastAsia" w:hAnsi="宋体" w:cs="宋体"/>
                <w:color w:val="auto"/>
                <w:sz w:val="21"/>
                <w:szCs w:val="21"/>
                <w:lang w:val="en-US" w:eastAsia="zh-CN"/>
              </w:rPr>
            </w:pPr>
            <w:r>
              <w:rPr>
                <w:rFonts w:hint="eastAsia" w:cs="宋体"/>
                <w:color w:val="auto"/>
                <w:sz w:val="21"/>
                <w:szCs w:val="21"/>
                <w:lang w:val="en-US" w:eastAsia="zh-CN"/>
              </w:rPr>
              <w:t>《有色金属矿山井巷工程设计规范》(GB50915-2013)第10.1.1条</w:t>
            </w:r>
          </w:p>
        </w:tc>
        <w:tc>
          <w:tcPr>
            <w:tcW w:w="1452" w:type="pct"/>
            <w:tcBorders>
              <w:tl2br w:val="nil"/>
              <w:tr2bl w:val="nil"/>
            </w:tcBorders>
            <w:vAlign w:val="center"/>
          </w:tcPr>
          <w:p w14:paraId="5B7CF96A">
            <w:pPr>
              <w:keepNext w:val="0"/>
              <w:keepLines w:val="0"/>
              <w:suppressLineNumbers w:val="0"/>
              <w:tabs>
                <w:tab w:val="left" w:pos="7080"/>
              </w:tabs>
              <w:spacing w:before="0" w:beforeAutospacing="0" w:after="0" w:afterAutospacing="0" w:line="320" w:lineRule="exact"/>
              <w:ind w:left="0" w:right="0" w:firstLine="0" w:firstLineChars="0"/>
              <w:rPr>
                <w:rFonts w:hint="default" w:hAnsi="宋体" w:cs="宋体"/>
                <w:color w:val="auto"/>
                <w:sz w:val="21"/>
                <w:szCs w:val="21"/>
                <w:lang w:val="en-US" w:eastAsia="zh-CN"/>
              </w:rPr>
            </w:pPr>
            <w:r>
              <w:rPr>
                <w:rFonts w:hint="eastAsia" w:cs="宋体"/>
                <w:color w:val="auto"/>
                <w:sz w:val="21"/>
                <w:szCs w:val="21"/>
                <w:lang w:val="en-US" w:eastAsia="zh-CN"/>
              </w:rPr>
              <w:t>采区变电所采用C25喷射混凝土支护。</w:t>
            </w:r>
          </w:p>
        </w:tc>
        <w:tc>
          <w:tcPr>
            <w:tcW w:w="375" w:type="pct"/>
            <w:tcBorders>
              <w:tl2br w:val="nil"/>
              <w:tr2bl w:val="nil"/>
            </w:tcBorders>
            <w:vAlign w:val="center"/>
          </w:tcPr>
          <w:p w14:paraId="081F3CB6">
            <w:pPr>
              <w:keepNext w:val="0"/>
              <w:keepLines w:val="0"/>
              <w:suppressLineNumbers w:val="0"/>
              <w:tabs>
                <w:tab w:val="left" w:pos="7080"/>
              </w:tabs>
              <w:spacing w:before="0" w:beforeAutospacing="0" w:after="0" w:afterAutospacing="0" w:line="320" w:lineRule="exact"/>
              <w:ind w:left="0" w:right="0" w:firstLine="0" w:firstLineChars="0"/>
              <w:rPr>
                <w:rFonts w:hint="eastAsia" w:hAnsi="宋体" w:cs="宋体"/>
                <w:color w:val="auto"/>
                <w:sz w:val="21"/>
                <w:szCs w:val="21"/>
                <w:lang w:val="en-US" w:eastAsia="zh-CN"/>
              </w:rPr>
            </w:pPr>
            <w:r>
              <w:rPr>
                <w:rFonts w:hint="eastAsia" w:cs="宋体"/>
                <w:color w:val="auto"/>
                <w:sz w:val="21"/>
                <w:szCs w:val="21"/>
                <w:lang w:val="en-US" w:eastAsia="zh-CN"/>
              </w:rPr>
              <w:t>符合</w:t>
            </w:r>
          </w:p>
        </w:tc>
      </w:tr>
      <w:tr w14:paraId="489B1DF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47" w:hRule="atLeast"/>
          <w:jc w:val="center"/>
        </w:trPr>
        <w:tc>
          <w:tcPr>
            <w:tcW w:w="363" w:type="pct"/>
            <w:tcBorders>
              <w:tl2br w:val="nil"/>
              <w:tr2bl w:val="nil"/>
            </w:tcBorders>
            <w:vAlign w:val="center"/>
          </w:tcPr>
          <w:p w14:paraId="718BC2CD">
            <w:pPr>
              <w:keepNext w:val="0"/>
              <w:keepLines w:val="0"/>
              <w:suppressLineNumbers w:val="0"/>
              <w:tabs>
                <w:tab w:val="left" w:pos="7080"/>
              </w:tabs>
              <w:spacing w:before="0" w:beforeAutospacing="0" w:after="0" w:afterAutospacing="0" w:line="320" w:lineRule="exact"/>
              <w:ind w:left="0" w:right="0" w:firstLine="0" w:firstLineChars="0"/>
              <w:jc w:val="center"/>
              <w:rPr>
                <w:rFonts w:hint="default" w:cs="宋体"/>
                <w:color w:val="auto"/>
                <w:sz w:val="21"/>
                <w:szCs w:val="21"/>
                <w:lang w:val="en-US" w:eastAsia="zh-CN"/>
              </w:rPr>
            </w:pPr>
            <w:r>
              <w:rPr>
                <w:rFonts w:hint="eastAsia" w:cs="宋体"/>
                <w:color w:val="auto"/>
                <w:sz w:val="21"/>
                <w:szCs w:val="21"/>
                <w:lang w:val="en-US" w:eastAsia="zh-CN"/>
              </w:rPr>
              <w:t>9</w:t>
            </w:r>
          </w:p>
        </w:tc>
        <w:tc>
          <w:tcPr>
            <w:tcW w:w="1901" w:type="pct"/>
            <w:tcBorders>
              <w:tl2br w:val="nil"/>
              <w:tr2bl w:val="nil"/>
            </w:tcBorders>
            <w:vAlign w:val="center"/>
          </w:tcPr>
          <w:p w14:paraId="5F05616E">
            <w:pPr>
              <w:keepNext w:val="0"/>
              <w:keepLines w:val="0"/>
              <w:suppressLineNumbers w:val="0"/>
              <w:tabs>
                <w:tab w:val="left" w:pos="7080"/>
              </w:tabs>
              <w:spacing w:before="0" w:beforeAutospacing="0" w:after="0" w:afterAutospacing="0" w:line="320" w:lineRule="exact"/>
              <w:ind w:left="0" w:right="0" w:firstLine="0" w:firstLineChars="0"/>
              <w:rPr>
                <w:rFonts w:hint="eastAsia" w:hAnsi="宋体" w:cs="宋体"/>
                <w:color w:val="auto"/>
                <w:sz w:val="21"/>
                <w:szCs w:val="21"/>
                <w:lang w:val="en-US" w:eastAsia="zh-CN"/>
              </w:rPr>
            </w:pPr>
            <w:r>
              <w:rPr>
                <w:rFonts w:hint="default" w:hAnsi="宋体" w:cs="宋体"/>
                <w:color w:val="auto"/>
                <w:sz w:val="21"/>
                <w:szCs w:val="21"/>
                <w:lang w:val="en-US" w:eastAsia="zh-CN"/>
              </w:rPr>
              <w:t>竖井、斜井、主要斜坡道及平硐均应布置在设计的矿床开采移动范围以外；当条件所限，布置在矿床开采最终移动范围以内时，应采取保护措施。</w:t>
            </w:r>
          </w:p>
        </w:tc>
        <w:tc>
          <w:tcPr>
            <w:tcW w:w="906" w:type="pct"/>
            <w:tcBorders>
              <w:tl2br w:val="nil"/>
              <w:tr2bl w:val="nil"/>
            </w:tcBorders>
            <w:vAlign w:val="center"/>
          </w:tcPr>
          <w:p w14:paraId="4DFA3731">
            <w:pPr>
              <w:keepNext w:val="0"/>
              <w:keepLines w:val="0"/>
              <w:suppressLineNumbers w:val="0"/>
              <w:tabs>
                <w:tab w:val="left" w:pos="7080"/>
              </w:tabs>
              <w:spacing w:before="0" w:beforeAutospacing="0" w:after="0" w:afterAutospacing="0" w:line="320" w:lineRule="exact"/>
              <w:ind w:left="0" w:right="0" w:firstLine="0" w:firstLineChars="0"/>
              <w:jc w:val="center"/>
              <w:rPr>
                <w:rFonts w:hint="eastAsia" w:hAnsi="宋体" w:cs="宋体"/>
                <w:color w:val="auto"/>
                <w:sz w:val="21"/>
                <w:szCs w:val="21"/>
                <w:lang w:val="en-US" w:eastAsia="zh-CN"/>
              </w:rPr>
            </w:pPr>
            <w:r>
              <w:rPr>
                <w:rFonts w:hint="eastAsia" w:hAnsi="宋体" w:cs="宋体"/>
                <w:color w:val="auto"/>
                <w:sz w:val="21"/>
                <w:szCs w:val="21"/>
                <w:lang w:val="en-US" w:eastAsia="zh-CN"/>
              </w:rPr>
              <w:t>《有色金属矿山井巷工程设计规范》(GB50915-2013)第3.3.1条</w:t>
            </w:r>
          </w:p>
        </w:tc>
        <w:tc>
          <w:tcPr>
            <w:tcW w:w="1452" w:type="pct"/>
            <w:tcBorders>
              <w:tl2br w:val="nil"/>
              <w:tr2bl w:val="nil"/>
            </w:tcBorders>
            <w:vAlign w:val="center"/>
          </w:tcPr>
          <w:p w14:paraId="4418A3F4">
            <w:pPr>
              <w:keepNext w:val="0"/>
              <w:keepLines w:val="0"/>
              <w:suppressLineNumbers w:val="0"/>
              <w:tabs>
                <w:tab w:val="left" w:pos="7080"/>
              </w:tabs>
              <w:spacing w:before="0" w:beforeAutospacing="0" w:after="0" w:afterAutospacing="0" w:line="320" w:lineRule="exact"/>
              <w:ind w:left="0" w:right="0" w:firstLine="0" w:firstLineChars="0"/>
              <w:rPr>
                <w:rFonts w:hint="default" w:hAnsi="宋体" w:cs="宋体"/>
                <w:color w:val="auto"/>
                <w:sz w:val="21"/>
                <w:szCs w:val="21"/>
                <w:lang w:val="en-US" w:eastAsia="zh-CN"/>
              </w:rPr>
            </w:pPr>
            <w:r>
              <w:rPr>
                <w:rFonts w:hint="eastAsia" w:cs="宋体"/>
                <w:color w:val="auto"/>
                <w:sz w:val="21"/>
                <w:szCs w:val="21"/>
                <w:lang w:val="en-US" w:eastAsia="zh-CN"/>
              </w:rPr>
              <w:t>主要平硐和斜坡道布置在岩石移动范围之内，可研未明确保护措施。</w:t>
            </w:r>
          </w:p>
        </w:tc>
        <w:tc>
          <w:tcPr>
            <w:tcW w:w="375" w:type="pct"/>
            <w:tcBorders>
              <w:tl2br w:val="nil"/>
              <w:tr2bl w:val="nil"/>
            </w:tcBorders>
            <w:vAlign w:val="center"/>
          </w:tcPr>
          <w:p w14:paraId="6341C24E">
            <w:pPr>
              <w:keepNext w:val="0"/>
              <w:keepLines w:val="0"/>
              <w:suppressLineNumbers w:val="0"/>
              <w:tabs>
                <w:tab w:val="left" w:pos="7080"/>
              </w:tabs>
              <w:spacing w:before="0" w:beforeAutospacing="0" w:after="0" w:afterAutospacing="0" w:line="320" w:lineRule="exact"/>
              <w:ind w:left="0" w:right="0" w:firstLine="0" w:firstLineChars="0"/>
              <w:rPr>
                <w:rFonts w:hint="default" w:hAnsi="宋体" w:cs="宋体"/>
                <w:color w:val="auto"/>
                <w:sz w:val="21"/>
                <w:szCs w:val="21"/>
                <w:lang w:val="en-US" w:eastAsia="zh-CN"/>
              </w:rPr>
            </w:pPr>
            <w:r>
              <w:rPr>
                <w:rFonts w:hint="eastAsia" w:cs="宋体"/>
                <w:color w:val="auto"/>
                <w:sz w:val="21"/>
                <w:szCs w:val="21"/>
                <w:lang w:val="en-US" w:eastAsia="zh-CN"/>
              </w:rPr>
              <w:t>不符合</w:t>
            </w:r>
          </w:p>
        </w:tc>
      </w:tr>
      <w:tr w14:paraId="1C09F45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47" w:hRule="atLeast"/>
          <w:jc w:val="center"/>
        </w:trPr>
        <w:tc>
          <w:tcPr>
            <w:tcW w:w="363" w:type="pct"/>
            <w:tcBorders>
              <w:tl2br w:val="nil"/>
              <w:tr2bl w:val="nil"/>
            </w:tcBorders>
            <w:vAlign w:val="center"/>
          </w:tcPr>
          <w:p w14:paraId="591ACD21">
            <w:pPr>
              <w:keepNext w:val="0"/>
              <w:keepLines w:val="0"/>
              <w:suppressLineNumbers w:val="0"/>
              <w:tabs>
                <w:tab w:val="left" w:pos="7080"/>
              </w:tabs>
              <w:spacing w:before="0" w:beforeAutospacing="0" w:after="0" w:afterAutospacing="0" w:line="320" w:lineRule="exact"/>
              <w:ind w:left="0" w:right="0" w:firstLine="0" w:firstLineChars="0"/>
              <w:jc w:val="center"/>
              <w:rPr>
                <w:rFonts w:hint="default" w:hAnsi="宋体" w:cs="宋体"/>
                <w:color w:val="auto"/>
                <w:sz w:val="21"/>
                <w:szCs w:val="21"/>
                <w:lang w:val="en-US" w:eastAsia="zh-CN"/>
              </w:rPr>
            </w:pPr>
            <w:r>
              <w:rPr>
                <w:rFonts w:hint="eastAsia" w:hAnsi="宋体" w:cs="宋体"/>
                <w:color w:val="auto"/>
                <w:sz w:val="21"/>
                <w:szCs w:val="21"/>
                <w:lang w:val="en-US" w:eastAsia="zh-CN"/>
              </w:rPr>
              <w:t>10</w:t>
            </w:r>
          </w:p>
        </w:tc>
        <w:tc>
          <w:tcPr>
            <w:tcW w:w="1901" w:type="pct"/>
            <w:tcBorders>
              <w:tl2br w:val="nil"/>
              <w:tr2bl w:val="nil"/>
            </w:tcBorders>
            <w:vAlign w:val="center"/>
          </w:tcPr>
          <w:p w14:paraId="0A429DA3">
            <w:pPr>
              <w:keepNext w:val="0"/>
              <w:keepLines w:val="0"/>
              <w:suppressLineNumbers w:val="0"/>
              <w:tabs>
                <w:tab w:val="left" w:pos="7080"/>
              </w:tabs>
              <w:spacing w:before="0" w:beforeAutospacing="0" w:after="0" w:afterAutospacing="0" w:line="320" w:lineRule="exact"/>
              <w:ind w:left="0" w:right="0" w:firstLine="0" w:firstLineChars="0"/>
              <w:rPr>
                <w:rFonts w:hint="default" w:hAnsi="宋体" w:cs="宋体"/>
                <w:color w:val="auto"/>
                <w:sz w:val="21"/>
                <w:szCs w:val="21"/>
                <w:lang w:val="en-US" w:eastAsia="zh-CN"/>
              </w:rPr>
            </w:pPr>
            <w:r>
              <w:rPr>
                <w:rFonts w:hint="default" w:hAnsi="宋体" w:cs="宋体"/>
                <w:color w:val="auto"/>
                <w:sz w:val="21"/>
                <w:szCs w:val="21"/>
                <w:lang w:val="en-US" w:eastAsia="zh-CN"/>
              </w:rPr>
              <w:t>斜坡道断面宽度</w:t>
            </w:r>
            <w:r>
              <w:rPr>
                <w:rFonts w:hint="eastAsia" w:hAnsi="宋体" w:cs="宋体"/>
                <w:color w:val="auto"/>
                <w:sz w:val="21"/>
                <w:szCs w:val="21"/>
                <w:lang w:val="en-US" w:eastAsia="zh-CN"/>
              </w:rPr>
              <w:t>应根据无轨设备最大外缘宽度、人行道宽度、设置至墙壁最小距离0.6m</w:t>
            </w:r>
            <w:r>
              <w:rPr>
                <w:rFonts w:hint="eastAsia" w:cs="宋体"/>
                <w:color w:val="auto"/>
                <w:sz w:val="21"/>
                <w:szCs w:val="21"/>
                <w:lang w:val="en-US" w:eastAsia="zh-CN"/>
              </w:rPr>
              <w:t>确定。</w:t>
            </w:r>
          </w:p>
          <w:p w14:paraId="68A3CAB7">
            <w:pPr>
              <w:keepNext w:val="0"/>
              <w:keepLines w:val="0"/>
              <w:suppressLineNumbers w:val="0"/>
              <w:tabs>
                <w:tab w:val="left" w:pos="7080"/>
              </w:tabs>
              <w:spacing w:before="0" w:beforeAutospacing="0" w:after="0" w:afterAutospacing="0" w:line="320" w:lineRule="exact"/>
              <w:ind w:left="0" w:right="0" w:firstLine="0" w:firstLineChars="0"/>
              <w:rPr>
                <w:rFonts w:hint="eastAsia" w:hAnsi="宋体" w:cs="宋体"/>
                <w:color w:val="auto"/>
                <w:sz w:val="21"/>
                <w:szCs w:val="21"/>
                <w:lang w:val="en-US" w:eastAsia="zh-CN"/>
              </w:rPr>
            </w:pPr>
            <w:r>
              <w:rPr>
                <w:rFonts w:hint="default" w:hAnsi="宋体" w:cs="宋体"/>
                <w:color w:val="auto"/>
                <w:sz w:val="21"/>
                <w:szCs w:val="21"/>
                <w:lang w:val="en-US" w:eastAsia="zh-CN"/>
              </w:rPr>
              <w:t>斜坡道的高度应按无轨运输设备外缘与支护、悬挂物之间的间隙不小于0．6m确定</w:t>
            </w:r>
            <w:r>
              <w:rPr>
                <w:rFonts w:hint="eastAsia" w:hAnsi="宋体" w:cs="宋体"/>
                <w:color w:val="auto"/>
                <w:sz w:val="21"/>
                <w:szCs w:val="21"/>
                <w:lang w:val="en-US" w:eastAsia="zh-CN"/>
              </w:rPr>
              <w:t>。</w:t>
            </w:r>
          </w:p>
        </w:tc>
        <w:tc>
          <w:tcPr>
            <w:tcW w:w="906" w:type="pct"/>
            <w:tcBorders>
              <w:tl2br w:val="nil"/>
              <w:tr2bl w:val="nil"/>
            </w:tcBorders>
            <w:vAlign w:val="center"/>
          </w:tcPr>
          <w:p w14:paraId="0AC4EFF5">
            <w:pPr>
              <w:keepNext w:val="0"/>
              <w:keepLines w:val="0"/>
              <w:suppressLineNumbers w:val="0"/>
              <w:tabs>
                <w:tab w:val="left" w:pos="7080"/>
              </w:tabs>
              <w:spacing w:before="0" w:beforeAutospacing="0" w:after="0" w:afterAutospacing="0" w:line="320" w:lineRule="exact"/>
              <w:ind w:left="0" w:right="0" w:firstLine="0" w:firstLineChars="0"/>
              <w:jc w:val="center"/>
              <w:rPr>
                <w:rFonts w:hint="eastAsia" w:hAnsi="宋体" w:cs="宋体"/>
                <w:color w:val="auto"/>
                <w:sz w:val="21"/>
                <w:szCs w:val="21"/>
                <w:lang w:val="en-US" w:eastAsia="zh-CN"/>
              </w:rPr>
            </w:pPr>
            <w:r>
              <w:rPr>
                <w:rFonts w:hint="eastAsia" w:hAnsi="宋体" w:cs="宋体"/>
                <w:color w:val="auto"/>
                <w:sz w:val="21"/>
                <w:szCs w:val="21"/>
                <w:lang w:val="en-US" w:eastAsia="zh-CN"/>
              </w:rPr>
              <w:t>《有色金属矿山井巷工程设计规范》(GB50915-2013)第6.4.1条</w:t>
            </w:r>
          </w:p>
        </w:tc>
        <w:tc>
          <w:tcPr>
            <w:tcW w:w="1452" w:type="pct"/>
            <w:tcBorders>
              <w:tl2br w:val="nil"/>
              <w:tr2bl w:val="nil"/>
            </w:tcBorders>
            <w:vAlign w:val="center"/>
          </w:tcPr>
          <w:p w14:paraId="744FCD6F">
            <w:pPr>
              <w:keepNext w:val="0"/>
              <w:keepLines w:val="0"/>
              <w:suppressLineNumbers w:val="0"/>
              <w:tabs>
                <w:tab w:val="left" w:pos="7080"/>
              </w:tabs>
              <w:spacing w:before="0" w:beforeAutospacing="0" w:after="0" w:afterAutospacing="0" w:line="320" w:lineRule="exact"/>
              <w:ind w:left="0" w:right="0" w:firstLine="0" w:firstLineChars="0"/>
              <w:rPr>
                <w:rFonts w:hint="default" w:hAnsi="宋体" w:cs="宋体"/>
                <w:color w:val="auto"/>
                <w:sz w:val="21"/>
                <w:szCs w:val="21"/>
                <w:lang w:val="en-US" w:eastAsia="zh-CN"/>
              </w:rPr>
            </w:pPr>
            <w:r>
              <w:rPr>
                <w:rFonts w:hint="eastAsia" w:cs="宋体"/>
                <w:color w:val="auto"/>
                <w:sz w:val="21"/>
                <w:szCs w:val="21"/>
                <w:lang w:val="en-US" w:eastAsia="zh-CN"/>
              </w:rPr>
              <w:t>按照上述要求，宽度应超过4.3m，高度超过3.1m。斜坡道断面为5m</w:t>
            </w:r>
            <w:r>
              <w:rPr>
                <w:rFonts w:hint="default" w:ascii="Arial" w:hAnsi="Arial" w:cs="Arial"/>
                <w:color w:val="auto"/>
                <w:sz w:val="21"/>
                <w:szCs w:val="21"/>
                <w:lang w:val="en-US" w:eastAsia="zh-CN"/>
              </w:rPr>
              <w:t>×</w:t>
            </w:r>
            <w:r>
              <w:rPr>
                <w:rFonts w:hint="eastAsia" w:cs="宋体"/>
                <w:color w:val="auto"/>
                <w:sz w:val="21"/>
                <w:szCs w:val="21"/>
                <w:lang w:val="en-US" w:eastAsia="zh-CN"/>
              </w:rPr>
              <w:t>4.5m，满足要求。</w:t>
            </w:r>
          </w:p>
        </w:tc>
        <w:tc>
          <w:tcPr>
            <w:tcW w:w="375" w:type="pct"/>
            <w:tcBorders>
              <w:tl2br w:val="nil"/>
              <w:tr2bl w:val="nil"/>
            </w:tcBorders>
            <w:vAlign w:val="center"/>
          </w:tcPr>
          <w:p w14:paraId="235B64EE">
            <w:pPr>
              <w:keepNext w:val="0"/>
              <w:keepLines w:val="0"/>
              <w:suppressLineNumbers w:val="0"/>
              <w:tabs>
                <w:tab w:val="left" w:pos="7080"/>
              </w:tabs>
              <w:spacing w:before="0" w:beforeAutospacing="0" w:after="0" w:afterAutospacing="0" w:line="320" w:lineRule="exact"/>
              <w:ind w:left="0" w:right="0" w:firstLine="0" w:firstLineChars="0"/>
              <w:rPr>
                <w:rFonts w:hint="eastAsia" w:hAnsi="宋体" w:cs="宋体"/>
                <w:color w:val="auto"/>
                <w:sz w:val="21"/>
                <w:szCs w:val="21"/>
                <w:lang w:val="en-US" w:eastAsia="zh-CN"/>
              </w:rPr>
            </w:pPr>
            <w:r>
              <w:rPr>
                <w:rFonts w:hint="eastAsia" w:cs="宋体"/>
                <w:color w:val="auto"/>
                <w:sz w:val="21"/>
                <w:szCs w:val="21"/>
                <w:lang w:val="en-US" w:eastAsia="zh-CN"/>
              </w:rPr>
              <w:t>符合</w:t>
            </w:r>
          </w:p>
        </w:tc>
      </w:tr>
    </w:tbl>
    <w:p w14:paraId="509E37E4">
      <w:pPr>
        <w:ind w:firstLine="560"/>
        <w:rPr>
          <w:rFonts w:hAnsi="宋体" w:cs="宋体"/>
          <w:snapToGrid w:val="0"/>
          <w:color w:val="auto"/>
          <w:szCs w:val="22"/>
        </w:rPr>
      </w:pPr>
      <w:r>
        <w:rPr>
          <w:rFonts w:hint="eastAsia" w:hAnsi="宋体" w:cs="宋体"/>
          <w:snapToGrid w:val="0"/>
          <w:color w:val="auto"/>
          <w:szCs w:val="22"/>
        </w:rPr>
        <w:t>本单元通过安全检查表法共检查</w:t>
      </w:r>
      <w:r>
        <w:rPr>
          <w:rFonts w:hint="eastAsia" w:cs="宋体"/>
          <w:snapToGrid w:val="0"/>
          <w:color w:val="auto"/>
          <w:szCs w:val="22"/>
          <w:lang w:val="en-US" w:eastAsia="zh-CN"/>
        </w:rPr>
        <w:t>9</w:t>
      </w:r>
      <w:r>
        <w:rPr>
          <w:rFonts w:hint="eastAsia" w:hAnsi="宋体" w:cs="宋体"/>
          <w:snapToGrid w:val="0"/>
          <w:color w:val="auto"/>
          <w:szCs w:val="22"/>
        </w:rPr>
        <w:t>项，</w:t>
      </w:r>
      <w:r>
        <w:rPr>
          <w:rFonts w:hint="eastAsia" w:cs="宋体"/>
          <w:snapToGrid w:val="0"/>
          <w:color w:val="auto"/>
          <w:szCs w:val="22"/>
          <w:lang w:val="en-US" w:eastAsia="zh-CN"/>
        </w:rPr>
        <w:t>2项不</w:t>
      </w:r>
      <w:r>
        <w:rPr>
          <w:rFonts w:hint="eastAsia" w:hAnsi="宋体" w:cs="宋体"/>
          <w:snapToGrid w:val="0"/>
          <w:color w:val="auto"/>
          <w:szCs w:val="22"/>
        </w:rPr>
        <w:t>符合要求。</w:t>
      </w:r>
    </w:p>
    <w:p w14:paraId="7161A87E">
      <w:pPr>
        <w:pStyle w:val="4"/>
        <w:keepNext w:val="0"/>
        <w:tabs>
          <w:tab w:val="left" w:pos="8265"/>
        </w:tabs>
        <w:spacing w:before="120" w:beforeLines="0" w:after="120" w:afterLines="0"/>
        <w:rPr>
          <w:color w:val="auto"/>
        </w:rPr>
      </w:pPr>
      <w:r>
        <w:rPr>
          <w:rFonts w:hint="eastAsia"/>
          <w:color w:val="auto"/>
        </w:rPr>
        <w:t>3.</w:t>
      </w:r>
      <w:r>
        <w:rPr>
          <w:rFonts w:hint="eastAsia"/>
          <w:color w:val="auto"/>
          <w:lang w:val="en-US" w:eastAsia="zh-CN"/>
        </w:rPr>
        <w:t>2</w:t>
      </w:r>
      <w:r>
        <w:rPr>
          <w:rFonts w:hint="eastAsia"/>
          <w:color w:val="auto"/>
        </w:rPr>
        <w:t>.3 单元评价结论</w:t>
      </w:r>
    </w:p>
    <w:p w14:paraId="25F93F3A">
      <w:pPr>
        <w:ind w:firstLine="560"/>
        <w:rPr>
          <w:rFonts w:hint="eastAsia" w:hAnsi="宋体" w:eastAsia="宋体" w:cs="宋体"/>
          <w:color w:val="auto"/>
          <w:szCs w:val="28"/>
          <w:lang w:eastAsia="zh-CN"/>
        </w:rPr>
      </w:pPr>
      <w:r>
        <w:rPr>
          <w:rFonts w:hint="eastAsia" w:hAnsi="宋体" w:cs="宋体"/>
          <w:color w:val="auto"/>
          <w:szCs w:val="28"/>
        </w:rPr>
        <w:t>1、</w:t>
      </w:r>
      <w:r>
        <w:rPr>
          <w:rFonts w:hint="eastAsia" w:cs="宋体"/>
          <w:color w:val="auto"/>
          <w:szCs w:val="28"/>
          <w:lang w:val="en-US" w:eastAsia="zh-CN"/>
        </w:rPr>
        <w:t>可研报告</w:t>
      </w:r>
      <w:r>
        <w:rPr>
          <w:rFonts w:hint="eastAsia" w:hAnsi="宋体" w:cs="宋体"/>
          <w:color w:val="auto"/>
          <w:szCs w:val="28"/>
        </w:rPr>
        <w:t>根据矿山现场实际状况和矿体赋存条件，确定采用</w:t>
      </w:r>
      <w:r>
        <w:rPr>
          <w:rFonts w:hint="eastAsia" w:cs="宋体"/>
          <w:color w:val="auto"/>
          <w:szCs w:val="28"/>
          <w:lang w:val="en-US" w:eastAsia="zh-CN"/>
        </w:rPr>
        <w:t>平硐+斜坡道</w:t>
      </w:r>
      <w:r>
        <w:rPr>
          <w:rFonts w:hint="eastAsia" w:hAnsi="宋体" w:cs="宋体"/>
          <w:color w:val="auto"/>
          <w:szCs w:val="28"/>
        </w:rPr>
        <w:t>开拓方案是合理可行的。</w:t>
      </w:r>
      <w:r>
        <w:rPr>
          <w:rFonts w:hint="eastAsia" w:cs="宋体"/>
          <w:color w:val="auto"/>
          <w:szCs w:val="28"/>
          <w:lang w:eastAsia="zh-CN"/>
        </w:rPr>
        <w:t>该矿山一次性设计至最低中段，符合要求。</w:t>
      </w:r>
    </w:p>
    <w:p w14:paraId="70189703">
      <w:pPr>
        <w:ind w:firstLine="560"/>
        <w:rPr>
          <w:rFonts w:hint="eastAsia" w:hAnsi="宋体" w:cs="宋体"/>
          <w:color w:val="auto"/>
          <w:szCs w:val="28"/>
        </w:rPr>
      </w:pPr>
      <w:r>
        <w:rPr>
          <w:rFonts w:hint="eastAsia" w:hAnsi="宋体" w:cs="宋体"/>
          <w:color w:val="auto"/>
          <w:szCs w:val="28"/>
        </w:rPr>
        <w:t>2、矿山开拓工程施工过程中存在的主要危险因素是冒顶、片帮，危险等级为</w:t>
      </w:r>
      <w:r>
        <w:rPr>
          <w:rFonts w:hint="eastAsia" w:ascii="宋体" w:hAnsi="宋体" w:eastAsia="宋体" w:cs="宋体"/>
          <w:color w:val="auto"/>
          <w:sz w:val="28"/>
          <w:szCs w:val="28"/>
        </w:rPr>
        <w:t>Ⅳ</w:t>
      </w:r>
      <w:r>
        <w:rPr>
          <w:rFonts w:hint="eastAsia" w:hAnsi="宋体" w:cs="宋体"/>
          <w:color w:val="auto"/>
          <w:szCs w:val="28"/>
        </w:rPr>
        <w:t>级，上述事故发生均可造成人员伤亡、设备损坏，需加强防范。</w:t>
      </w:r>
    </w:p>
    <w:p w14:paraId="175CF99D">
      <w:pPr>
        <w:ind w:firstLine="560"/>
        <w:rPr>
          <w:rFonts w:hint="eastAsia"/>
          <w:color w:val="auto"/>
          <w:lang w:val="en-US" w:eastAsia="zh-CN"/>
        </w:rPr>
      </w:pPr>
      <w:r>
        <w:rPr>
          <w:rFonts w:hint="eastAsia" w:cs="宋体"/>
          <w:color w:val="auto"/>
          <w:szCs w:val="28"/>
          <w:lang w:val="en-US" w:eastAsia="zh-CN"/>
        </w:rPr>
        <w:t>3、</w:t>
      </w:r>
      <w:r>
        <w:rPr>
          <w:rFonts w:hint="eastAsia"/>
          <w:color w:val="auto"/>
          <w:lang w:val="en-US" w:eastAsia="zh-CN"/>
        </w:rPr>
        <w:t>下步安全设施设计时应对下列内容进行补充完善：</w:t>
      </w:r>
    </w:p>
    <w:p w14:paraId="04511B6A">
      <w:pPr>
        <w:ind w:firstLine="560"/>
        <w:rPr>
          <w:rFonts w:hint="eastAsia" w:cs="宋体"/>
          <w:color w:val="auto"/>
          <w:szCs w:val="28"/>
          <w:lang w:val="en-US" w:eastAsia="zh-CN"/>
        </w:rPr>
      </w:pPr>
      <w:r>
        <w:rPr>
          <w:rFonts w:hint="eastAsia" w:cs="宋体"/>
          <w:color w:val="auto"/>
          <w:szCs w:val="28"/>
          <w:lang w:val="en-US" w:eastAsia="zh-CN"/>
        </w:rPr>
        <w:t>(1)中段运输巷道宜布置在矿体下盘或下盘，该矿体为方解石，价值较低，若需布置在矿体中央，应明确巷道留设的保护矿柱等参数；</w:t>
      </w:r>
    </w:p>
    <w:p w14:paraId="04C710B4">
      <w:pPr>
        <w:ind w:firstLine="560"/>
        <w:rPr>
          <w:rFonts w:hint="default" w:cs="宋体"/>
          <w:color w:val="auto"/>
          <w:szCs w:val="28"/>
          <w:lang w:val="en-US" w:eastAsia="zh-CN"/>
        </w:rPr>
      </w:pPr>
      <w:r>
        <w:rPr>
          <w:rFonts w:hint="eastAsia" w:cs="宋体"/>
          <w:color w:val="auto"/>
          <w:szCs w:val="28"/>
          <w:lang w:val="en-US" w:eastAsia="zh-CN"/>
        </w:rPr>
        <w:t>(2)主要平硐和斜坡道布置在岩石移动范围之内，需明确保护措施；</w:t>
      </w:r>
    </w:p>
    <w:p w14:paraId="4873F445">
      <w:pPr>
        <w:ind w:firstLine="560"/>
        <w:rPr>
          <w:rFonts w:hint="eastAsia"/>
          <w:color w:val="auto"/>
          <w:lang w:val="en-US" w:eastAsia="zh-CN"/>
        </w:rPr>
      </w:pPr>
      <w:r>
        <w:rPr>
          <w:rFonts w:hint="eastAsia" w:ascii="宋体" w:hAnsi="宋体" w:eastAsia="宋体"/>
          <w:color w:val="auto"/>
          <w:lang w:val="en-US" w:eastAsia="zh-CN"/>
        </w:rPr>
        <w:t>(</w:t>
      </w:r>
      <w:r>
        <w:rPr>
          <w:rFonts w:hint="eastAsia"/>
          <w:color w:val="auto"/>
          <w:lang w:val="en-US" w:eastAsia="zh-CN"/>
        </w:rPr>
        <w:t>3</w:t>
      </w:r>
      <w:r>
        <w:rPr>
          <w:rFonts w:hint="eastAsia" w:ascii="宋体" w:hAnsi="宋体" w:eastAsia="宋体"/>
          <w:color w:val="auto"/>
          <w:lang w:val="en-US" w:eastAsia="zh-CN"/>
        </w:rPr>
        <w:t>)</w:t>
      </w:r>
      <w:r>
        <w:rPr>
          <w:rFonts w:hint="eastAsia"/>
          <w:color w:val="auto"/>
          <w:lang w:val="en-US" w:eastAsia="zh-CN"/>
        </w:rPr>
        <w:t>回风井口的风机功率较大，应在</w:t>
      </w:r>
      <w:r>
        <w:rPr>
          <w:color w:val="auto"/>
        </w:rPr>
        <w:t>主扇风机侧设置供人员通过的安全通道，安全通道</w:t>
      </w:r>
      <w:r>
        <w:rPr>
          <w:rFonts w:hint="eastAsia"/>
          <w:color w:val="auto"/>
          <w:lang w:eastAsia="zh-CN"/>
        </w:rPr>
        <w:t>与</w:t>
      </w:r>
      <w:r>
        <w:rPr>
          <w:rFonts w:hint="eastAsia"/>
          <w:color w:val="auto"/>
          <w:lang w:val="en-US" w:eastAsia="zh-CN"/>
        </w:rPr>
        <w:t>主通风机的水平距离应确保人员能正常、安全行走，且须</w:t>
      </w:r>
      <w:r>
        <w:rPr>
          <w:color w:val="auto"/>
        </w:rPr>
        <w:t>安设两道开向相反的密闭风门</w:t>
      </w:r>
      <w:r>
        <w:rPr>
          <w:rFonts w:hint="eastAsia"/>
          <w:color w:val="auto"/>
          <w:lang w:eastAsia="zh-CN"/>
        </w:rPr>
        <w:t>。</w:t>
      </w:r>
    </w:p>
    <w:p w14:paraId="46D439F7">
      <w:pPr>
        <w:pStyle w:val="3"/>
        <w:spacing w:before="120" w:beforeLines="0" w:after="120" w:afterLines="0" w:line="560" w:lineRule="exact"/>
        <w:rPr>
          <w:color w:val="auto"/>
        </w:rPr>
      </w:pPr>
      <w:bookmarkStart w:id="115" w:name="_Toc21587"/>
      <w:bookmarkStart w:id="116" w:name="_Toc15863"/>
      <w:r>
        <w:rPr>
          <w:rFonts w:hint="eastAsia"/>
          <w:color w:val="auto"/>
        </w:rPr>
        <w:t>3.</w:t>
      </w:r>
      <w:r>
        <w:rPr>
          <w:rFonts w:hint="eastAsia"/>
          <w:color w:val="auto"/>
          <w:lang w:val="en-US" w:eastAsia="zh-CN"/>
        </w:rPr>
        <w:t>3</w:t>
      </w:r>
      <w:r>
        <w:rPr>
          <w:rFonts w:hint="eastAsia"/>
          <w:color w:val="auto"/>
        </w:rPr>
        <w:t xml:space="preserve"> 运输单元</w:t>
      </w:r>
      <w:bookmarkEnd w:id="115"/>
      <w:bookmarkEnd w:id="116"/>
    </w:p>
    <w:p w14:paraId="6B83C2A9">
      <w:pPr>
        <w:keepNext/>
        <w:keepLines/>
        <w:tabs>
          <w:tab w:val="left" w:pos="8265"/>
        </w:tabs>
        <w:spacing w:before="120" w:after="120"/>
        <w:ind w:firstLine="0" w:firstLineChars="0"/>
        <w:jc w:val="left"/>
        <w:outlineLvl w:val="2"/>
        <w:rPr>
          <w:rFonts w:ascii="黑体" w:hAnsi="黑体" w:eastAsia="黑体"/>
          <w:bCs/>
          <w:color w:val="auto"/>
          <w:szCs w:val="28"/>
        </w:rPr>
      </w:pPr>
      <w:r>
        <w:rPr>
          <w:rFonts w:hint="eastAsia" w:ascii="黑体" w:hAnsi="黑体" w:eastAsia="黑体"/>
          <w:bCs/>
          <w:color w:val="auto"/>
          <w:szCs w:val="28"/>
        </w:rPr>
        <w:t>3.</w:t>
      </w:r>
      <w:r>
        <w:rPr>
          <w:rFonts w:hint="eastAsia" w:ascii="黑体" w:hAnsi="黑体" w:eastAsia="黑体"/>
          <w:bCs/>
          <w:color w:val="auto"/>
          <w:szCs w:val="28"/>
          <w:lang w:val="en-US" w:eastAsia="zh-CN"/>
        </w:rPr>
        <w:t>3</w:t>
      </w:r>
      <w:r>
        <w:rPr>
          <w:rFonts w:ascii="黑体" w:hAnsi="黑体" w:eastAsia="黑体"/>
          <w:bCs/>
          <w:color w:val="auto"/>
          <w:szCs w:val="28"/>
        </w:rPr>
        <w:t>.1</w:t>
      </w:r>
      <w:r>
        <w:rPr>
          <w:rFonts w:hint="eastAsia" w:ascii="黑体" w:hAnsi="黑体" w:eastAsia="黑体"/>
          <w:bCs/>
          <w:color w:val="auto"/>
          <w:szCs w:val="28"/>
        </w:rPr>
        <w:t xml:space="preserve"> 运输单元主要危险、有害因素评价</w:t>
      </w:r>
    </w:p>
    <w:p w14:paraId="59E9C484">
      <w:pPr>
        <w:ind w:firstLine="560"/>
        <w:rPr>
          <w:rFonts w:hint="eastAsia"/>
          <w:b/>
          <w:bCs/>
          <w:color w:val="auto"/>
          <w:szCs w:val="28"/>
        </w:rPr>
      </w:pPr>
      <w:r>
        <w:rPr>
          <w:rFonts w:hint="eastAsia"/>
          <w:color w:val="auto"/>
        </w:rPr>
        <w:t>该矿山拟采用</w:t>
      </w:r>
      <w:r>
        <w:rPr>
          <w:rFonts w:hint="eastAsia"/>
          <w:color w:val="auto"/>
          <w:lang w:val="en-US" w:eastAsia="zh-CN"/>
        </w:rPr>
        <w:t>平硐+斜坡道</w:t>
      </w:r>
      <w:r>
        <w:rPr>
          <w:rFonts w:hint="eastAsia"/>
          <w:color w:val="auto"/>
        </w:rPr>
        <w:t>开拓系统，</w:t>
      </w:r>
      <w:r>
        <w:rPr>
          <w:rFonts w:hint="eastAsia" w:hAnsi="宋体" w:cs="宋体"/>
          <w:color w:val="auto"/>
          <w:kern w:val="0"/>
          <w:szCs w:val="28"/>
          <w:lang w:bidi="ar"/>
        </w:rPr>
        <w:t>井下矿石与废石均采用具有矿安标志的20t矿用汽车运输。</w:t>
      </w:r>
      <w:r>
        <w:rPr>
          <w:rFonts w:hint="eastAsia"/>
          <w:color w:val="auto"/>
        </w:rPr>
        <w:t>运输单元预先危险性分析见下表3.</w:t>
      </w:r>
      <w:r>
        <w:rPr>
          <w:rFonts w:hint="eastAsia"/>
          <w:color w:val="auto"/>
          <w:lang w:val="en-US" w:eastAsia="zh-CN"/>
        </w:rPr>
        <w:t>3</w:t>
      </w:r>
      <w:r>
        <w:rPr>
          <w:rFonts w:hint="eastAsia"/>
          <w:color w:val="auto"/>
        </w:rPr>
        <w:t>-1。</w:t>
      </w:r>
    </w:p>
    <w:p w14:paraId="555BFC87">
      <w:pPr>
        <w:autoSpaceDE w:val="0"/>
        <w:autoSpaceDN w:val="0"/>
        <w:adjustRightInd w:val="0"/>
        <w:ind w:firstLine="0" w:firstLineChars="0"/>
        <w:jc w:val="center"/>
        <w:rPr>
          <w:b/>
          <w:bCs/>
          <w:color w:val="auto"/>
          <w:szCs w:val="28"/>
        </w:rPr>
      </w:pPr>
      <w:r>
        <w:rPr>
          <w:rFonts w:hint="eastAsia"/>
          <w:b/>
          <w:bCs/>
          <w:color w:val="auto"/>
          <w:szCs w:val="28"/>
        </w:rPr>
        <w:t>3.</w:t>
      </w:r>
      <w:r>
        <w:rPr>
          <w:rFonts w:hint="eastAsia"/>
          <w:b/>
          <w:bCs/>
          <w:color w:val="auto"/>
          <w:szCs w:val="28"/>
          <w:lang w:val="en-US" w:eastAsia="zh-CN"/>
        </w:rPr>
        <w:t>3</w:t>
      </w:r>
      <w:r>
        <w:rPr>
          <w:rFonts w:hint="eastAsia"/>
          <w:b/>
          <w:bCs/>
          <w:color w:val="auto"/>
          <w:szCs w:val="28"/>
        </w:rPr>
        <w:t xml:space="preserve">-1 </w:t>
      </w:r>
      <w:r>
        <w:rPr>
          <w:rFonts w:hint="eastAsia" w:cs="宋体"/>
          <w:b/>
          <w:bCs/>
          <w:color w:val="auto"/>
          <w:szCs w:val="28"/>
          <w:lang w:val="zh-CN"/>
        </w:rPr>
        <w:t>运输单元</w:t>
      </w:r>
      <w:r>
        <w:rPr>
          <w:rFonts w:cs="宋体"/>
          <w:b/>
          <w:bCs/>
          <w:color w:val="auto"/>
          <w:szCs w:val="28"/>
          <w:lang w:val="zh-CN"/>
        </w:rPr>
        <w:t>预先危险性分析表</w:t>
      </w:r>
    </w:p>
    <w:tbl>
      <w:tblPr>
        <w:tblStyle w:val="25"/>
        <w:tblW w:w="4997" w:type="pct"/>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653"/>
        <w:gridCol w:w="4669"/>
        <w:gridCol w:w="685"/>
        <w:gridCol w:w="1296"/>
        <w:gridCol w:w="675"/>
        <w:gridCol w:w="1530"/>
      </w:tblGrid>
      <w:tr w14:paraId="0C5F134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blHeader/>
        </w:trPr>
        <w:tc>
          <w:tcPr>
            <w:tcW w:w="343" w:type="pct"/>
            <w:tcBorders>
              <w:tl2br w:val="nil"/>
              <w:tr2bl w:val="nil"/>
            </w:tcBorders>
            <w:vAlign w:val="center"/>
          </w:tcPr>
          <w:p w14:paraId="233D5476">
            <w:pPr>
              <w:keepNext w:val="0"/>
              <w:keepLines w:val="0"/>
              <w:suppressLineNumbers w:val="0"/>
              <w:spacing w:before="0" w:beforeAutospacing="0" w:after="0" w:afterAutospacing="0" w:line="320" w:lineRule="exact"/>
              <w:ind w:left="0" w:right="0" w:firstLine="0" w:firstLineChars="0"/>
              <w:jc w:val="center"/>
              <w:rPr>
                <w:rFonts w:hint="default" w:hAnsi="宋体" w:cs="宋体"/>
                <w:b/>
                <w:bCs/>
                <w:color w:val="auto"/>
                <w:sz w:val="21"/>
                <w:szCs w:val="21"/>
              </w:rPr>
            </w:pPr>
            <w:r>
              <w:rPr>
                <w:rFonts w:hint="eastAsia" w:hAnsi="宋体" w:cs="宋体"/>
                <w:b/>
                <w:bCs/>
                <w:color w:val="auto"/>
                <w:sz w:val="21"/>
                <w:szCs w:val="21"/>
              </w:rPr>
              <w:t>危害因素</w:t>
            </w:r>
          </w:p>
        </w:tc>
        <w:tc>
          <w:tcPr>
            <w:tcW w:w="2454" w:type="pct"/>
            <w:tcBorders>
              <w:tl2br w:val="nil"/>
              <w:tr2bl w:val="nil"/>
            </w:tcBorders>
            <w:vAlign w:val="center"/>
          </w:tcPr>
          <w:p w14:paraId="6FDC7F52">
            <w:pPr>
              <w:keepNext w:val="0"/>
              <w:keepLines w:val="0"/>
              <w:suppressLineNumbers w:val="0"/>
              <w:spacing w:before="0" w:beforeAutospacing="0" w:after="0" w:afterAutospacing="0" w:line="320" w:lineRule="exact"/>
              <w:ind w:left="0" w:right="0" w:firstLine="0" w:firstLineChars="0"/>
              <w:jc w:val="center"/>
              <w:rPr>
                <w:rFonts w:hint="default" w:hAnsi="宋体" w:cs="宋体"/>
                <w:b/>
                <w:bCs/>
                <w:color w:val="auto"/>
                <w:sz w:val="21"/>
                <w:szCs w:val="21"/>
              </w:rPr>
            </w:pPr>
            <w:r>
              <w:rPr>
                <w:rFonts w:hint="eastAsia" w:hAnsi="宋体" w:cs="宋体"/>
                <w:b/>
                <w:bCs/>
                <w:color w:val="auto"/>
                <w:sz w:val="21"/>
                <w:szCs w:val="21"/>
              </w:rPr>
              <w:t>触发事件及原因分析</w:t>
            </w:r>
          </w:p>
        </w:tc>
        <w:tc>
          <w:tcPr>
            <w:tcW w:w="360" w:type="pct"/>
            <w:tcBorders>
              <w:tl2br w:val="nil"/>
              <w:tr2bl w:val="nil"/>
            </w:tcBorders>
            <w:vAlign w:val="center"/>
          </w:tcPr>
          <w:p w14:paraId="22992C1D">
            <w:pPr>
              <w:keepNext w:val="0"/>
              <w:keepLines w:val="0"/>
              <w:suppressLineNumbers w:val="0"/>
              <w:spacing w:before="0" w:beforeAutospacing="0" w:after="0" w:afterAutospacing="0" w:line="320" w:lineRule="exact"/>
              <w:ind w:left="0" w:right="0" w:firstLine="0" w:firstLineChars="0"/>
              <w:jc w:val="center"/>
              <w:rPr>
                <w:rFonts w:hint="default" w:hAnsi="宋体" w:cs="宋体"/>
                <w:b/>
                <w:bCs/>
                <w:color w:val="auto"/>
                <w:sz w:val="21"/>
                <w:szCs w:val="21"/>
              </w:rPr>
            </w:pPr>
            <w:r>
              <w:rPr>
                <w:rFonts w:hint="eastAsia" w:hAnsi="宋体" w:cs="宋体"/>
                <w:b/>
                <w:bCs/>
                <w:color w:val="auto"/>
                <w:sz w:val="21"/>
                <w:szCs w:val="21"/>
              </w:rPr>
              <w:t>表现方式</w:t>
            </w:r>
          </w:p>
        </w:tc>
        <w:tc>
          <w:tcPr>
            <w:tcW w:w="681" w:type="pct"/>
            <w:tcBorders>
              <w:tl2br w:val="nil"/>
              <w:tr2bl w:val="nil"/>
            </w:tcBorders>
            <w:vAlign w:val="center"/>
          </w:tcPr>
          <w:p w14:paraId="2CBBD054">
            <w:pPr>
              <w:keepNext w:val="0"/>
              <w:keepLines w:val="0"/>
              <w:suppressLineNumbers w:val="0"/>
              <w:spacing w:before="0" w:beforeAutospacing="0" w:after="0" w:afterAutospacing="0" w:line="320" w:lineRule="exact"/>
              <w:ind w:left="0" w:leftChars="0" w:right="0" w:rightChars="0" w:firstLine="0" w:firstLineChars="0"/>
              <w:jc w:val="center"/>
              <w:rPr>
                <w:rFonts w:hint="eastAsia" w:ascii="宋体" w:hAnsi="宋体" w:eastAsia="宋体" w:cs="宋体"/>
                <w:b/>
                <w:bCs/>
                <w:color w:val="auto"/>
                <w:kern w:val="2"/>
                <w:sz w:val="21"/>
                <w:szCs w:val="21"/>
                <w:lang w:val="en-US" w:eastAsia="zh-CN" w:bidi="ar-SA"/>
              </w:rPr>
            </w:pPr>
            <w:r>
              <w:rPr>
                <w:rFonts w:hint="eastAsia" w:hAnsi="宋体" w:cs="宋体"/>
                <w:b/>
                <w:bCs/>
                <w:color w:val="auto"/>
                <w:sz w:val="21"/>
                <w:szCs w:val="21"/>
              </w:rPr>
              <w:t>事故后</w:t>
            </w:r>
            <w:r>
              <w:rPr>
                <w:rFonts w:hint="eastAsia" w:ascii="宋体" w:hAnsi="宋体" w:eastAsia="宋体" w:cs="宋体"/>
                <w:b/>
                <w:bCs/>
                <w:color w:val="auto"/>
                <w:sz w:val="21"/>
                <w:szCs w:val="21"/>
              </w:rPr>
              <w:t>果及危害程度</w:t>
            </w:r>
          </w:p>
        </w:tc>
        <w:tc>
          <w:tcPr>
            <w:tcW w:w="355" w:type="pct"/>
            <w:tcBorders>
              <w:tl2br w:val="nil"/>
              <w:tr2bl w:val="nil"/>
            </w:tcBorders>
            <w:vAlign w:val="center"/>
          </w:tcPr>
          <w:p w14:paraId="3699EE59">
            <w:pPr>
              <w:keepNext w:val="0"/>
              <w:keepLines w:val="0"/>
              <w:suppressLineNumbers w:val="0"/>
              <w:spacing w:before="0" w:beforeAutospacing="0" w:after="0" w:afterAutospacing="0" w:line="320" w:lineRule="exact"/>
              <w:ind w:left="0" w:right="0" w:firstLine="0" w:firstLineChars="0"/>
              <w:jc w:val="center"/>
              <w:rPr>
                <w:rFonts w:hint="default" w:hAnsi="宋体" w:cs="宋体"/>
                <w:b/>
                <w:bCs/>
                <w:color w:val="auto"/>
                <w:sz w:val="21"/>
                <w:szCs w:val="21"/>
              </w:rPr>
            </w:pPr>
            <w:r>
              <w:rPr>
                <w:rFonts w:hint="eastAsia" w:hAnsi="宋体" w:cs="宋体"/>
                <w:b/>
                <w:bCs/>
                <w:color w:val="auto"/>
                <w:sz w:val="21"/>
                <w:szCs w:val="21"/>
              </w:rPr>
              <w:t>危险等级</w:t>
            </w:r>
          </w:p>
        </w:tc>
        <w:tc>
          <w:tcPr>
            <w:tcW w:w="804" w:type="pct"/>
            <w:tcBorders>
              <w:tl2br w:val="nil"/>
              <w:tr2bl w:val="nil"/>
            </w:tcBorders>
            <w:vAlign w:val="center"/>
          </w:tcPr>
          <w:p w14:paraId="30596014">
            <w:pPr>
              <w:keepNext w:val="0"/>
              <w:keepLines w:val="0"/>
              <w:suppressLineNumbers w:val="0"/>
              <w:spacing w:before="0" w:beforeAutospacing="0" w:after="0" w:afterAutospacing="0" w:line="320" w:lineRule="exact"/>
              <w:ind w:left="0" w:right="0" w:firstLine="0" w:firstLineChars="0"/>
              <w:jc w:val="center"/>
              <w:rPr>
                <w:rFonts w:hint="eastAsia" w:hAnsi="宋体" w:eastAsia="宋体" w:cs="宋体"/>
                <w:b/>
                <w:bCs/>
                <w:color w:val="auto"/>
                <w:sz w:val="21"/>
                <w:szCs w:val="21"/>
                <w:lang w:eastAsia="zh-CN"/>
              </w:rPr>
            </w:pPr>
            <w:r>
              <w:rPr>
                <w:rFonts w:hint="eastAsia" w:cs="宋体"/>
                <w:b/>
                <w:bCs/>
                <w:color w:val="auto"/>
                <w:sz w:val="21"/>
                <w:szCs w:val="21"/>
                <w:lang w:eastAsia="zh-CN"/>
              </w:rPr>
              <w:t>预防措施</w:t>
            </w:r>
          </w:p>
        </w:tc>
      </w:tr>
      <w:tr w14:paraId="6F579B7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47" w:hRule="atLeast"/>
        </w:trPr>
        <w:tc>
          <w:tcPr>
            <w:tcW w:w="654" w:type="dxa"/>
            <w:tcBorders>
              <w:tl2br w:val="nil"/>
              <w:tr2bl w:val="nil"/>
            </w:tcBorders>
            <w:vAlign w:val="center"/>
          </w:tcPr>
          <w:p w14:paraId="27AA8486">
            <w:pPr>
              <w:pStyle w:val="34"/>
              <w:keepNext w:val="0"/>
              <w:keepLines w:val="0"/>
              <w:suppressLineNumbers w:val="0"/>
              <w:spacing w:before="0" w:beforeAutospacing="0" w:after="0" w:afterAutospacing="0"/>
              <w:ind w:left="0" w:right="0" w:firstLine="0" w:firstLineChars="0"/>
              <w:rPr>
                <w:rFonts w:hint="default" w:eastAsia="宋体"/>
                <w:color w:val="auto"/>
                <w:sz w:val="21"/>
                <w:szCs w:val="21"/>
                <w:lang w:val="en-US" w:eastAsia="zh-CN"/>
              </w:rPr>
            </w:pPr>
            <w:r>
              <w:rPr>
                <w:rFonts w:hint="eastAsia"/>
                <w:color w:val="auto"/>
              </w:rPr>
              <w:t>车辆伤害</w:t>
            </w:r>
          </w:p>
        </w:tc>
        <w:tc>
          <w:tcPr>
            <w:tcW w:w="4669" w:type="dxa"/>
            <w:tcBorders>
              <w:tl2br w:val="nil"/>
              <w:tr2bl w:val="nil"/>
            </w:tcBorders>
            <w:vAlign w:val="top"/>
          </w:tcPr>
          <w:p w14:paraId="62741937">
            <w:pPr>
              <w:pStyle w:val="34"/>
              <w:keepNext w:val="0"/>
              <w:keepLines w:val="0"/>
              <w:suppressLineNumbers w:val="0"/>
              <w:spacing w:before="0" w:beforeAutospacing="0" w:after="0" w:afterAutospacing="0"/>
              <w:ind w:left="0" w:right="0"/>
              <w:rPr>
                <w:rFonts w:hint="eastAsia" w:eastAsia="宋体"/>
                <w:color w:val="auto"/>
                <w:lang w:eastAsia="zh-CN"/>
              </w:rPr>
            </w:pPr>
            <w:r>
              <w:rPr>
                <w:rFonts w:hint="eastAsia"/>
                <w:color w:val="auto"/>
              </w:rPr>
              <w:t>(1)装、运设备未按照设计进行选型，装、运输设备未按规定进行检验检测，运输设备维修不及时，带病运转</w:t>
            </w:r>
            <w:r>
              <w:rPr>
                <w:rFonts w:hint="eastAsia"/>
                <w:color w:val="auto"/>
                <w:lang w:eastAsia="zh-CN"/>
              </w:rPr>
              <w:t>。</w:t>
            </w:r>
          </w:p>
          <w:p w14:paraId="485F82C8">
            <w:pPr>
              <w:pStyle w:val="34"/>
              <w:keepNext w:val="0"/>
              <w:keepLines w:val="0"/>
              <w:suppressLineNumbers w:val="0"/>
              <w:spacing w:before="0" w:beforeAutospacing="0" w:after="0" w:afterAutospacing="0"/>
              <w:ind w:left="0" w:right="0"/>
              <w:rPr>
                <w:rFonts w:hint="eastAsia" w:eastAsia="宋体"/>
                <w:color w:val="auto"/>
                <w:lang w:eastAsia="zh-CN"/>
              </w:rPr>
            </w:pPr>
            <w:r>
              <w:rPr>
                <w:rFonts w:hint="eastAsia"/>
                <w:color w:val="auto"/>
              </w:rPr>
              <w:t>(2)巷道断面、坡度、转弯半径等不符合设计规定，危险路段标志不清</w:t>
            </w:r>
            <w:r>
              <w:rPr>
                <w:rFonts w:hint="eastAsia"/>
                <w:color w:val="auto"/>
                <w:lang w:eastAsia="zh-CN"/>
              </w:rPr>
              <w:t>。</w:t>
            </w:r>
          </w:p>
          <w:p w14:paraId="156E8258">
            <w:pPr>
              <w:pStyle w:val="34"/>
              <w:keepNext w:val="0"/>
              <w:keepLines w:val="0"/>
              <w:suppressLineNumbers w:val="0"/>
              <w:spacing w:before="0" w:beforeAutospacing="0" w:after="0" w:afterAutospacing="0"/>
              <w:ind w:left="0" w:right="0"/>
              <w:rPr>
                <w:rFonts w:hint="eastAsia" w:eastAsia="宋体"/>
                <w:color w:val="auto"/>
                <w:lang w:eastAsia="zh-CN"/>
              </w:rPr>
            </w:pPr>
            <w:r>
              <w:rPr>
                <w:rFonts w:hint="eastAsia"/>
                <w:color w:val="auto"/>
              </w:rPr>
              <w:t>(3)无轨运输的斜坡道，未设人行道或躲避硐室</w:t>
            </w:r>
            <w:r>
              <w:rPr>
                <w:rFonts w:hint="eastAsia"/>
                <w:color w:val="auto"/>
                <w:lang w:eastAsia="zh-CN"/>
              </w:rPr>
              <w:t>。</w:t>
            </w:r>
            <w:r>
              <w:rPr>
                <w:rFonts w:hint="eastAsia"/>
                <w:color w:val="auto"/>
              </w:rPr>
              <w:t>行人的无轨运输水平巷道未设人行道</w:t>
            </w:r>
            <w:r>
              <w:rPr>
                <w:rFonts w:hint="eastAsia"/>
                <w:color w:val="auto"/>
                <w:lang w:eastAsia="zh-CN"/>
              </w:rPr>
              <w:t>。</w:t>
            </w:r>
          </w:p>
          <w:p w14:paraId="509124F8">
            <w:pPr>
              <w:pStyle w:val="34"/>
              <w:keepNext w:val="0"/>
              <w:keepLines w:val="0"/>
              <w:suppressLineNumbers w:val="0"/>
              <w:spacing w:before="0" w:beforeAutospacing="0" w:after="0" w:afterAutospacing="0"/>
              <w:ind w:left="0" w:right="0"/>
              <w:rPr>
                <w:rFonts w:hint="eastAsia" w:eastAsia="宋体"/>
                <w:color w:val="auto"/>
                <w:lang w:eastAsia="zh-CN"/>
              </w:rPr>
            </w:pPr>
            <w:r>
              <w:rPr>
                <w:rFonts w:hint="eastAsia"/>
                <w:color w:val="auto"/>
              </w:rPr>
              <w:t>(4)斜坡道长度超过300～400m，未能设置长度不小于20m，并能满足错车要求的缓坡段</w:t>
            </w:r>
            <w:r>
              <w:rPr>
                <w:rFonts w:hint="eastAsia"/>
                <w:color w:val="auto"/>
                <w:lang w:eastAsia="zh-CN"/>
              </w:rPr>
              <w:t>。</w:t>
            </w:r>
          </w:p>
          <w:p w14:paraId="592E5D0D">
            <w:pPr>
              <w:pStyle w:val="34"/>
              <w:keepNext w:val="0"/>
              <w:keepLines w:val="0"/>
              <w:suppressLineNumbers w:val="0"/>
              <w:spacing w:before="0" w:beforeAutospacing="0" w:after="0" w:afterAutospacing="0"/>
              <w:ind w:left="0" w:right="0"/>
              <w:rPr>
                <w:rFonts w:hint="eastAsia" w:eastAsia="宋体"/>
                <w:color w:val="auto"/>
                <w:lang w:eastAsia="zh-CN"/>
              </w:rPr>
            </w:pPr>
            <w:r>
              <w:rPr>
                <w:rFonts w:hint="eastAsia"/>
                <w:color w:val="auto"/>
              </w:rPr>
              <w:t>(5)超载、超速、危险地段未限速</w:t>
            </w:r>
            <w:r>
              <w:rPr>
                <w:rFonts w:hint="eastAsia"/>
                <w:color w:val="auto"/>
                <w:lang w:eastAsia="zh-CN"/>
              </w:rPr>
              <w:t>。</w:t>
            </w:r>
          </w:p>
          <w:p w14:paraId="2156F8DA">
            <w:pPr>
              <w:pStyle w:val="34"/>
              <w:keepNext w:val="0"/>
              <w:keepLines w:val="0"/>
              <w:suppressLineNumbers w:val="0"/>
              <w:spacing w:before="0" w:beforeAutospacing="0" w:after="0" w:afterAutospacing="0"/>
              <w:ind w:left="0" w:right="0" w:firstLine="0" w:firstLineChars="0"/>
              <w:rPr>
                <w:rFonts w:hint="default"/>
                <w:color w:val="auto"/>
                <w:sz w:val="21"/>
                <w:szCs w:val="21"/>
                <w:highlight w:val="red"/>
              </w:rPr>
            </w:pPr>
            <w:r>
              <w:rPr>
                <w:rFonts w:hint="eastAsia"/>
                <w:color w:val="auto"/>
              </w:rPr>
              <w:t>(6)熄火下滑；在斜坡上停车时，未采取可靠的挡车措施</w:t>
            </w:r>
            <w:r>
              <w:rPr>
                <w:rFonts w:hint="eastAsia"/>
                <w:color w:val="auto"/>
                <w:lang w:eastAsia="zh-CN"/>
              </w:rPr>
              <w:t>。</w:t>
            </w:r>
          </w:p>
        </w:tc>
        <w:tc>
          <w:tcPr>
            <w:tcW w:w="685" w:type="dxa"/>
            <w:tcBorders>
              <w:tl2br w:val="nil"/>
              <w:tr2bl w:val="nil"/>
            </w:tcBorders>
            <w:vAlign w:val="center"/>
          </w:tcPr>
          <w:p w14:paraId="5D7B8593">
            <w:pPr>
              <w:pStyle w:val="34"/>
              <w:keepNext w:val="0"/>
              <w:keepLines w:val="0"/>
              <w:suppressLineNumbers w:val="0"/>
              <w:spacing w:before="0" w:beforeAutospacing="0" w:after="0" w:afterAutospacing="0"/>
              <w:ind w:left="0" w:right="0" w:firstLine="0" w:firstLineChars="0"/>
              <w:rPr>
                <w:rFonts w:hint="default"/>
                <w:color w:val="auto"/>
                <w:sz w:val="21"/>
                <w:szCs w:val="21"/>
                <w:highlight w:val="red"/>
              </w:rPr>
            </w:pPr>
            <w:r>
              <w:rPr>
                <w:rFonts w:hint="eastAsia"/>
                <w:color w:val="auto"/>
              </w:rPr>
              <w:t>车辆伤害</w:t>
            </w:r>
          </w:p>
        </w:tc>
        <w:tc>
          <w:tcPr>
            <w:tcW w:w="1296" w:type="dxa"/>
            <w:tcBorders>
              <w:tl2br w:val="nil"/>
              <w:tr2bl w:val="nil"/>
            </w:tcBorders>
            <w:vAlign w:val="center"/>
          </w:tcPr>
          <w:p w14:paraId="3D3D3065">
            <w:pPr>
              <w:pStyle w:val="34"/>
              <w:keepNext w:val="0"/>
              <w:keepLines w:val="0"/>
              <w:suppressLineNumbers w:val="0"/>
              <w:spacing w:before="0" w:beforeAutospacing="0" w:after="0" w:afterAutospacing="0"/>
              <w:ind w:left="0" w:right="0" w:firstLine="0" w:firstLineChars="0"/>
              <w:rPr>
                <w:rFonts w:hint="eastAsia" w:ascii="宋体" w:hAnsi="宋体" w:eastAsia="宋体" w:cstheme="minorBidi"/>
                <w:color w:val="auto"/>
                <w:kern w:val="2"/>
                <w:sz w:val="21"/>
                <w:szCs w:val="21"/>
                <w:lang w:val="en-US" w:eastAsia="zh-CN" w:bidi="ar-SA"/>
              </w:rPr>
            </w:pPr>
            <w:r>
              <w:rPr>
                <w:rFonts w:hint="eastAsia"/>
                <w:color w:val="auto"/>
              </w:rPr>
              <w:t>人身伤害、设备损坏</w:t>
            </w:r>
          </w:p>
        </w:tc>
        <w:tc>
          <w:tcPr>
            <w:tcW w:w="676" w:type="dxa"/>
            <w:tcBorders>
              <w:tl2br w:val="nil"/>
              <w:tr2bl w:val="nil"/>
            </w:tcBorders>
            <w:vAlign w:val="center"/>
          </w:tcPr>
          <w:p w14:paraId="4E4A3A36">
            <w:pPr>
              <w:pStyle w:val="34"/>
              <w:keepNext w:val="0"/>
              <w:keepLines w:val="0"/>
              <w:suppressLineNumbers w:val="0"/>
              <w:spacing w:before="0" w:beforeAutospacing="0" w:after="0" w:afterAutospacing="0"/>
              <w:ind w:left="0" w:right="0" w:firstLine="0" w:firstLineChars="0"/>
              <w:rPr>
                <w:rFonts w:hint="default"/>
                <w:color w:val="auto"/>
                <w:sz w:val="21"/>
                <w:szCs w:val="21"/>
                <w:highlight w:val="red"/>
              </w:rPr>
            </w:pPr>
            <w:r>
              <w:rPr>
                <w:rFonts w:hint="eastAsia"/>
                <w:color w:val="auto"/>
              </w:rPr>
              <w:fldChar w:fldCharType="begin"/>
            </w:r>
            <w:r>
              <w:rPr>
                <w:rFonts w:hint="eastAsia"/>
                <w:color w:val="auto"/>
              </w:rPr>
              <w:instrText xml:space="preserve"> = 3 \* ROMAN </w:instrText>
            </w:r>
            <w:r>
              <w:rPr>
                <w:rFonts w:hint="eastAsia"/>
                <w:color w:val="auto"/>
              </w:rPr>
              <w:fldChar w:fldCharType="separate"/>
            </w:r>
            <w:r>
              <w:rPr>
                <w:rFonts w:hint="eastAsia"/>
                <w:color w:val="auto"/>
              </w:rPr>
              <w:t>Ⅲ</w:t>
            </w:r>
            <w:r>
              <w:rPr>
                <w:rFonts w:hint="eastAsia"/>
                <w:color w:val="auto"/>
              </w:rPr>
              <w:fldChar w:fldCharType="end"/>
            </w:r>
            <w:r>
              <w:rPr>
                <w:rFonts w:hint="eastAsia"/>
                <w:color w:val="auto"/>
              </w:rPr>
              <w:t>级</w:t>
            </w:r>
          </w:p>
        </w:tc>
        <w:tc>
          <w:tcPr>
            <w:tcW w:w="1530" w:type="dxa"/>
            <w:tcBorders>
              <w:tl2br w:val="nil"/>
              <w:tr2bl w:val="nil"/>
            </w:tcBorders>
            <w:vAlign w:val="center"/>
          </w:tcPr>
          <w:p w14:paraId="06F95BBE">
            <w:pPr>
              <w:pStyle w:val="34"/>
              <w:keepNext w:val="0"/>
              <w:keepLines w:val="0"/>
              <w:suppressLineNumbers w:val="0"/>
              <w:spacing w:before="0" w:beforeAutospacing="0" w:after="0" w:afterAutospacing="0"/>
              <w:ind w:left="0" w:right="0" w:firstLine="0" w:firstLineChars="0"/>
              <w:rPr>
                <w:rFonts w:hint="eastAsia"/>
                <w:color w:val="auto"/>
              </w:rPr>
            </w:pPr>
            <w:r>
              <w:rPr>
                <w:rFonts w:hint="eastAsia"/>
                <w:color w:val="auto"/>
              </w:rPr>
              <w:t>见本报告4.2.3井下运输单元安全对策措施</w:t>
            </w:r>
          </w:p>
        </w:tc>
      </w:tr>
    </w:tbl>
    <w:p w14:paraId="64FE2441">
      <w:pPr>
        <w:ind w:firstLine="560"/>
        <w:rPr>
          <w:color w:val="auto"/>
        </w:rPr>
      </w:pPr>
      <w:r>
        <w:rPr>
          <w:color w:val="auto"/>
        </w:rPr>
        <w:t>通过预先危险性分析得知</w:t>
      </w:r>
      <w:r>
        <w:rPr>
          <w:rFonts w:hint="eastAsia"/>
          <w:color w:val="auto"/>
          <w:lang w:eastAsia="zh-CN"/>
        </w:rPr>
        <w:t>，</w:t>
      </w:r>
      <w:r>
        <w:rPr>
          <w:color w:val="auto"/>
        </w:rPr>
        <w:t>车辆伤害事故危险等级为Ⅲ级，</w:t>
      </w:r>
      <w:r>
        <w:rPr>
          <w:rFonts w:hint="eastAsia"/>
          <w:color w:val="auto"/>
          <w:lang w:val="en-US" w:eastAsia="zh-CN"/>
        </w:rPr>
        <w:t>可能造成</w:t>
      </w:r>
      <w:r>
        <w:rPr>
          <w:rFonts w:hint="eastAsia"/>
          <w:color w:val="auto"/>
        </w:rPr>
        <w:t>人身伤害、设备损坏</w:t>
      </w:r>
      <w:r>
        <w:rPr>
          <w:rFonts w:hint="eastAsia"/>
          <w:color w:val="auto"/>
          <w:lang w:eastAsia="zh-CN"/>
        </w:rPr>
        <w:t>，</w:t>
      </w:r>
      <w:r>
        <w:rPr>
          <w:color w:val="auto"/>
        </w:rPr>
        <w:t>应重点予以防范</w:t>
      </w:r>
      <w:r>
        <w:rPr>
          <w:rFonts w:hint="eastAsia"/>
          <w:color w:val="auto"/>
          <w:lang w:eastAsia="zh-CN"/>
        </w:rPr>
        <w:t>。</w:t>
      </w:r>
    </w:p>
    <w:p w14:paraId="3CD79856">
      <w:pPr>
        <w:keepNext/>
        <w:keepLines/>
        <w:tabs>
          <w:tab w:val="left" w:pos="8265"/>
        </w:tabs>
        <w:spacing w:before="120" w:after="120"/>
        <w:ind w:firstLine="0" w:firstLineChars="0"/>
        <w:jc w:val="left"/>
        <w:outlineLvl w:val="2"/>
        <w:rPr>
          <w:rFonts w:ascii="黑体" w:hAnsi="黑体" w:eastAsia="黑体"/>
          <w:bCs/>
          <w:color w:val="auto"/>
          <w:szCs w:val="28"/>
        </w:rPr>
      </w:pPr>
      <w:r>
        <w:rPr>
          <w:rFonts w:hint="eastAsia" w:ascii="黑体" w:hAnsi="黑体" w:eastAsia="黑体"/>
          <w:bCs/>
          <w:color w:val="auto"/>
          <w:szCs w:val="28"/>
        </w:rPr>
        <w:t>3.</w:t>
      </w:r>
      <w:r>
        <w:rPr>
          <w:rFonts w:hint="eastAsia" w:ascii="黑体" w:hAnsi="黑体" w:eastAsia="黑体"/>
          <w:bCs/>
          <w:color w:val="auto"/>
          <w:szCs w:val="28"/>
          <w:lang w:val="en-US" w:eastAsia="zh-CN"/>
        </w:rPr>
        <w:t>3</w:t>
      </w:r>
      <w:r>
        <w:rPr>
          <w:rFonts w:ascii="黑体" w:hAnsi="黑体" w:eastAsia="黑体"/>
          <w:bCs/>
          <w:color w:val="auto"/>
          <w:szCs w:val="28"/>
        </w:rPr>
        <w:t>.</w:t>
      </w:r>
      <w:r>
        <w:rPr>
          <w:rFonts w:hint="eastAsia" w:ascii="黑体" w:hAnsi="黑体" w:eastAsia="黑体"/>
          <w:bCs/>
          <w:color w:val="auto"/>
          <w:szCs w:val="28"/>
        </w:rPr>
        <w:t>2 运输单元符合性评价</w:t>
      </w:r>
    </w:p>
    <w:p w14:paraId="4DEC2721">
      <w:pPr>
        <w:ind w:firstLine="0" w:firstLineChars="0"/>
        <w:jc w:val="center"/>
        <w:rPr>
          <w:b/>
          <w:color w:val="auto"/>
          <w:szCs w:val="28"/>
        </w:rPr>
      </w:pPr>
      <w:r>
        <w:rPr>
          <w:rFonts w:hint="eastAsia"/>
          <w:b/>
          <w:color w:val="auto"/>
          <w:szCs w:val="28"/>
        </w:rPr>
        <w:t>表3.</w:t>
      </w:r>
      <w:r>
        <w:rPr>
          <w:rFonts w:hint="eastAsia"/>
          <w:b/>
          <w:color w:val="auto"/>
          <w:szCs w:val="28"/>
          <w:lang w:val="en-US" w:eastAsia="zh-CN"/>
        </w:rPr>
        <w:t>3</w:t>
      </w:r>
      <w:r>
        <w:rPr>
          <w:rFonts w:hint="eastAsia"/>
          <w:b/>
          <w:color w:val="auto"/>
          <w:szCs w:val="28"/>
        </w:rPr>
        <w:t>-2 运输单元安全检查表</w:t>
      </w:r>
    </w:p>
    <w:tbl>
      <w:tblPr>
        <w:tblStyle w:val="24"/>
        <w:tblW w:w="4996"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673"/>
        <w:gridCol w:w="3169"/>
        <w:gridCol w:w="2422"/>
        <w:gridCol w:w="2593"/>
        <w:gridCol w:w="649"/>
      </w:tblGrid>
      <w:tr w14:paraId="75753C4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158" w:hRule="atLeast"/>
          <w:tblHeader/>
          <w:jc w:val="center"/>
        </w:trPr>
        <w:tc>
          <w:tcPr>
            <w:tcW w:w="354" w:type="pct"/>
            <w:tcBorders>
              <w:tl2br w:val="nil"/>
              <w:tr2bl w:val="nil"/>
            </w:tcBorders>
            <w:vAlign w:val="center"/>
          </w:tcPr>
          <w:p w14:paraId="09641A89">
            <w:pPr>
              <w:keepNext w:val="0"/>
              <w:keepLines w:val="0"/>
              <w:suppressLineNumbers w:val="0"/>
              <w:adjustRightInd w:val="0"/>
              <w:snapToGrid w:val="0"/>
              <w:spacing w:before="0" w:beforeAutospacing="0" w:after="0" w:afterAutospacing="0" w:line="300" w:lineRule="exact"/>
              <w:ind w:left="0" w:right="0" w:firstLine="0" w:firstLineChars="0"/>
              <w:jc w:val="center"/>
              <w:rPr>
                <w:rFonts w:hint="default" w:hAnsi="宋体" w:cs="宋体"/>
                <w:b/>
                <w:color w:val="auto"/>
                <w:sz w:val="21"/>
                <w:szCs w:val="21"/>
              </w:rPr>
            </w:pPr>
            <w:r>
              <w:rPr>
                <w:rFonts w:hint="eastAsia" w:hAnsi="宋体" w:cs="宋体"/>
                <w:b/>
                <w:color w:val="auto"/>
                <w:sz w:val="21"/>
                <w:szCs w:val="21"/>
              </w:rPr>
              <w:t>序号</w:t>
            </w:r>
          </w:p>
        </w:tc>
        <w:tc>
          <w:tcPr>
            <w:tcW w:w="1666" w:type="pct"/>
            <w:tcBorders>
              <w:tl2br w:val="nil"/>
              <w:tr2bl w:val="nil"/>
            </w:tcBorders>
            <w:vAlign w:val="center"/>
          </w:tcPr>
          <w:p w14:paraId="2A7193C1">
            <w:pPr>
              <w:keepNext w:val="0"/>
              <w:keepLines w:val="0"/>
              <w:suppressLineNumbers w:val="0"/>
              <w:adjustRightInd w:val="0"/>
              <w:snapToGrid w:val="0"/>
              <w:spacing w:before="0" w:beforeAutospacing="0" w:after="0" w:afterAutospacing="0" w:line="300" w:lineRule="exact"/>
              <w:ind w:left="0" w:right="0" w:firstLine="0" w:firstLineChars="0"/>
              <w:jc w:val="center"/>
              <w:rPr>
                <w:rFonts w:hint="default" w:hAnsi="宋体" w:cs="宋体"/>
                <w:b/>
                <w:color w:val="auto"/>
                <w:sz w:val="21"/>
                <w:szCs w:val="21"/>
              </w:rPr>
            </w:pPr>
            <w:r>
              <w:rPr>
                <w:rFonts w:hint="eastAsia" w:hAnsi="宋体" w:cs="宋体"/>
                <w:b/>
                <w:color w:val="auto"/>
                <w:sz w:val="21"/>
                <w:szCs w:val="21"/>
              </w:rPr>
              <w:t>检查内容</w:t>
            </w:r>
          </w:p>
        </w:tc>
        <w:tc>
          <w:tcPr>
            <w:tcW w:w="1273" w:type="pct"/>
            <w:tcBorders>
              <w:tl2br w:val="nil"/>
              <w:tr2bl w:val="nil"/>
            </w:tcBorders>
            <w:vAlign w:val="center"/>
          </w:tcPr>
          <w:p w14:paraId="0BC9766C">
            <w:pPr>
              <w:keepNext w:val="0"/>
              <w:keepLines w:val="0"/>
              <w:suppressLineNumbers w:val="0"/>
              <w:adjustRightInd w:val="0"/>
              <w:snapToGrid w:val="0"/>
              <w:spacing w:before="0" w:beforeAutospacing="0" w:after="0" w:afterAutospacing="0" w:line="300" w:lineRule="exact"/>
              <w:ind w:left="0" w:right="0" w:firstLine="0" w:firstLineChars="0"/>
              <w:jc w:val="center"/>
              <w:rPr>
                <w:rFonts w:hint="default" w:hAnsi="宋体" w:cs="宋体"/>
                <w:b/>
                <w:color w:val="auto"/>
                <w:sz w:val="21"/>
                <w:szCs w:val="21"/>
              </w:rPr>
            </w:pPr>
            <w:r>
              <w:rPr>
                <w:rFonts w:hint="eastAsia" w:hAnsi="宋体" w:cs="宋体"/>
                <w:b/>
                <w:color w:val="auto"/>
                <w:sz w:val="21"/>
                <w:szCs w:val="21"/>
              </w:rPr>
              <w:t>检查依据</w:t>
            </w:r>
          </w:p>
        </w:tc>
        <w:tc>
          <w:tcPr>
            <w:tcW w:w="1363" w:type="pct"/>
            <w:tcBorders>
              <w:tl2br w:val="nil"/>
              <w:tr2bl w:val="nil"/>
            </w:tcBorders>
            <w:vAlign w:val="center"/>
          </w:tcPr>
          <w:p w14:paraId="257FE7E1">
            <w:pPr>
              <w:keepNext w:val="0"/>
              <w:keepLines w:val="0"/>
              <w:suppressLineNumbers w:val="0"/>
              <w:adjustRightInd w:val="0"/>
              <w:snapToGrid w:val="0"/>
              <w:spacing w:before="0" w:beforeAutospacing="0" w:after="0" w:afterAutospacing="0" w:line="300" w:lineRule="exact"/>
              <w:ind w:left="0" w:right="0" w:firstLine="0" w:firstLineChars="0"/>
              <w:jc w:val="center"/>
              <w:rPr>
                <w:rFonts w:hint="default" w:hAnsi="宋体" w:cs="宋体"/>
                <w:b/>
                <w:color w:val="auto"/>
                <w:sz w:val="21"/>
                <w:szCs w:val="21"/>
              </w:rPr>
            </w:pPr>
            <w:r>
              <w:rPr>
                <w:rFonts w:hint="eastAsia" w:hAnsi="宋体" w:cs="宋体"/>
                <w:b/>
                <w:color w:val="auto"/>
                <w:sz w:val="21"/>
                <w:szCs w:val="21"/>
              </w:rPr>
              <w:t>检查情况</w:t>
            </w:r>
          </w:p>
        </w:tc>
        <w:tc>
          <w:tcPr>
            <w:tcW w:w="341" w:type="pct"/>
            <w:tcBorders>
              <w:tl2br w:val="nil"/>
              <w:tr2bl w:val="nil"/>
            </w:tcBorders>
            <w:vAlign w:val="center"/>
          </w:tcPr>
          <w:p w14:paraId="0BA674B0">
            <w:pPr>
              <w:keepNext w:val="0"/>
              <w:keepLines w:val="0"/>
              <w:suppressLineNumbers w:val="0"/>
              <w:adjustRightInd w:val="0"/>
              <w:snapToGrid w:val="0"/>
              <w:spacing w:before="0" w:beforeAutospacing="0" w:after="0" w:afterAutospacing="0" w:line="300" w:lineRule="exact"/>
              <w:ind w:left="0" w:right="0" w:firstLine="0" w:firstLineChars="0"/>
              <w:jc w:val="center"/>
              <w:rPr>
                <w:rFonts w:hint="default" w:hAnsi="宋体" w:cs="宋体"/>
                <w:b/>
                <w:color w:val="auto"/>
                <w:sz w:val="21"/>
                <w:szCs w:val="21"/>
              </w:rPr>
            </w:pPr>
            <w:r>
              <w:rPr>
                <w:rFonts w:hint="eastAsia" w:hAnsi="宋体" w:cs="宋体"/>
                <w:b/>
                <w:color w:val="auto"/>
                <w:sz w:val="21"/>
                <w:szCs w:val="21"/>
              </w:rPr>
              <w:t>检查结果</w:t>
            </w:r>
          </w:p>
        </w:tc>
      </w:tr>
      <w:tr w14:paraId="662DC7E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158" w:hRule="atLeast"/>
          <w:jc w:val="center"/>
        </w:trPr>
        <w:tc>
          <w:tcPr>
            <w:tcW w:w="354" w:type="pct"/>
            <w:tcBorders>
              <w:tl2br w:val="nil"/>
              <w:tr2bl w:val="nil"/>
            </w:tcBorders>
            <w:vAlign w:val="center"/>
          </w:tcPr>
          <w:p w14:paraId="51667EE5">
            <w:pPr>
              <w:keepNext w:val="0"/>
              <w:keepLines w:val="0"/>
              <w:suppressLineNumbers w:val="0"/>
              <w:adjustRightInd w:val="0"/>
              <w:snapToGrid w:val="0"/>
              <w:spacing w:before="0" w:beforeAutospacing="0" w:after="0" w:afterAutospacing="0" w:line="300" w:lineRule="exact"/>
              <w:ind w:left="0" w:right="0" w:firstLine="0" w:firstLineChars="0"/>
              <w:jc w:val="center"/>
              <w:rPr>
                <w:rFonts w:hint="default" w:hAnsi="宋体" w:cs="宋体"/>
                <w:bCs/>
                <w:color w:val="auto"/>
                <w:sz w:val="21"/>
                <w:szCs w:val="21"/>
              </w:rPr>
            </w:pPr>
            <w:r>
              <w:rPr>
                <w:rFonts w:hint="eastAsia" w:hAnsi="宋体" w:cs="宋体"/>
                <w:bCs/>
                <w:color w:val="auto"/>
                <w:sz w:val="21"/>
                <w:szCs w:val="21"/>
              </w:rPr>
              <w:t>1</w:t>
            </w:r>
          </w:p>
        </w:tc>
        <w:tc>
          <w:tcPr>
            <w:tcW w:w="1666" w:type="pct"/>
            <w:tcBorders>
              <w:tl2br w:val="nil"/>
              <w:tr2bl w:val="nil"/>
            </w:tcBorders>
            <w:shd w:val="clear" w:color="auto" w:fill="auto"/>
            <w:vAlign w:val="center"/>
          </w:tcPr>
          <w:p w14:paraId="4B9F5433">
            <w:pPr>
              <w:pStyle w:val="34"/>
              <w:keepNext w:val="0"/>
              <w:keepLines w:val="0"/>
              <w:suppressLineNumbers w:val="0"/>
              <w:spacing w:before="0" w:beforeAutospacing="0" w:after="0" w:afterAutospacing="0"/>
              <w:ind w:left="0" w:right="0" w:firstLine="0" w:firstLineChars="0"/>
              <w:rPr>
                <w:rFonts w:hint="default" w:ascii="宋体" w:hAnsi="宋体" w:eastAsia="宋体" w:cstheme="minorBidi"/>
                <w:color w:val="auto"/>
                <w:kern w:val="2"/>
                <w:sz w:val="21"/>
                <w:szCs w:val="22"/>
                <w:lang w:val="en-US" w:eastAsia="zh-CN" w:bidi="ar-SA"/>
              </w:rPr>
            </w:pPr>
            <w:r>
              <w:rPr>
                <w:rFonts w:hint="eastAsia"/>
                <w:color w:val="auto"/>
              </w:rPr>
              <w:t>行人的运输巷道和斜坡道应按下列要求设置人行道或躲避硐室</w:t>
            </w:r>
            <w:r>
              <w:rPr>
                <w:rFonts w:hint="eastAsia"/>
                <w:color w:val="auto"/>
                <w:lang w:eastAsia="zh-CN"/>
              </w:rPr>
              <w:t>。</w:t>
            </w:r>
            <w:r>
              <w:rPr>
                <w:rFonts w:hint="eastAsia"/>
                <w:color w:val="auto"/>
              </w:rPr>
              <w:t>人行道的高度不小于</w:t>
            </w:r>
            <w:r>
              <w:rPr>
                <w:rFonts w:hint="eastAsia"/>
                <w:color w:val="auto"/>
                <w:lang w:eastAsia="zh-CN"/>
              </w:rPr>
              <w:t>1.</w:t>
            </w:r>
            <w:r>
              <w:rPr>
                <w:rFonts w:hint="eastAsia"/>
                <w:color w:val="auto"/>
              </w:rPr>
              <w:t>9m，宽度不小于</w:t>
            </w:r>
            <w:r>
              <w:rPr>
                <w:rFonts w:hint="eastAsia"/>
                <w:color w:val="auto"/>
                <w:lang w:eastAsia="zh-CN"/>
              </w:rPr>
              <w:t>1.</w:t>
            </w:r>
            <w:r>
              <w:rPr>
                <w:rFonts w:hint="eastAsia"/>
                <w:color w:val="auto"/>
              </w:rPr>
              <w:t>2m</w:t>
            </w:r>
            <w:r>
              <w:rPr>
                <w:rFonts w:hint="eastAsia"/>
                <w:color w:val="auto"/>
                <w:lang w:eastAsia="zh-CN"/>
              </w:rPr>
              <w:t>；</w:t>
            </w:r>
            <w:r>
              <w:rPr>
                <w:rFonts w:hint="eastAsia"/>
                <w:color w:val="auto"/>
              </w:rPr>
              <w:t>躲避硐室的高度不小于1.9m，深度和宽度均不小于1.0m</w:t>
            </w:r>
            <w:r>
              <w:rPr>
                <w:rFonts w:hint="eastAsia"/>
                <w:color w:val="auto"/>
                <w:lang w:eastAsia="zh-CN"/>
              </w:rPr>
              <w:t>；</w:t>
            </w:r>
            <w:r>
              <w:rPr>
                <w:rFonts w:hint="eastAsia"/>
                <w:color w:val="auto"/>
              </w:rPr>
              <w:t>避室间距</w:t>
            </w:r>
            <w:r>
              <w:rPr>
                <w:rFonts w:hint="eastAsia"/>
                <w:color w:val="auto"/>
                <w:lang w:eastAsia="zh-CN"/>
              </w:rPr>
              <w:t>：</w:t>
            </w:r>
            <w:r>
              <w:rPr>
                <w:rFonts w:hint="eastAsia"/>
                <w:color w:val="auto"/>
              </w:rPr>
              <w:t>曲线段不超过15m，直线段不超过50m躲避室应有明显的标志，并保持干净、无障码物</w:t>
            </w:r>
            <w:r>
              <w:rPr>
                <w:rFonts w:hint="eastAsia"/>
                <w:color w:val="auto"/>
                <w:lang w:eastAsia="zh-CN"/>
              </w:rPr>
              <w:t>。</w:t>
            </w:r>
          </w:p>
        </w:tc>
        <w:tc>
          <w:tcPr>
            <w:tcW w:w="1273" w:type="pct"/>
            <w:tcBorders>
              <w:tl2br w:val="nil"/>
              <w:tr2bl w:val="nil"/>
            </w:tcBorders>
            <w:shd w:val="clear" w:color="auto" w:fill="auto"/>
            <w:vAlign w:val="center"/>
          </w:tcPr>
          <w:p w14:paraId="0707E15B">
            <w:pPr>
              <w:pStyle w:val="34"/>
              <w:keepNext w:val="0"/>
              <w:keepLines w:val="0"/>
              <w:suppressLineNumbers w:val="0"/>
              <w:spacing w:before="0" w:beforeAutospacing="0" w:after="0" w:afterAutospacing="0"/>
              <w:ind w:left="0" w:right="0" w:firstLine="0" w:firstLineChars="0"/>
              <w:jc w:val="center"/>
              <w:rPr>
                <w:rFonts w:hint="eastAsia" w:ascii="宋体" w:hAnsi="宋体" w:eastAsia="宋体"/>
                <w:color w:val="auto"/>
                <w:lang w:eastAsia="zh-CN"/>
              </w:rPr>
            </w:pPr>
            <w:r>
              <w:rPr>
                <w:rFonts w:hint="eastAsia" w:ascii="宋体" w:hAnsi="宋体" w:eastAsia="宋体"/>
                <w:color w:val="auto"/>
                <w:lang w:eastAsia="zh-CN"/>
              </w:rPr>
              <w:t>《金属非金属矿山安全规程》(GB</w:t>
            </w:r>
            <w:r>
              <w:rPr>
                <w:rFonts w:hint="eastAsia" w:ascii="宋体" w:hAnsi="宋体" w:eastAsia="宋体"/>
                <w:color w:val="auto"/>
                <w:lang w:val="en-US" w:eastAsia="zh-CN"/>
              </w:rPr>
              <w:t>1</w:t>
            </w:r>
            <w:r>
              <w:rPr>
                <w:rFonts w:hint="eastAsia" w:ascii="宋体" w:hAnsi="宋体" w:eastAsia="宋体"/>
                <w:color w:val="auto"/>
                <w:lang w:eastAsia="zh-CN"/>
              </w:rPr>
              <w:t>6423-20</w:t>
            </w:r>
            <w:r>
              <w:rPr>
                <w:rFonts w:hint="eastAsia" w:ascii="宋体" w:hAnsi="宋体" w:eastAsia="宋体"/>
                <w:color w:val="auto"/>
                <w:lang w:val="en-US" w:eastAsia="zh-CN"/>
              </w:rPr>
              <w:t>20</w:t>
            </w:r>
            <w:r>
              <w:rPr>
                <w:rFonts w:hint="eastAsia" w:ascii="宋体" w:hAnsi="宋体" w:eastAsia="宋体"/>
                <w:color w:val="auto"/>
                <w:lang w:eastAsia="zh-CN"/>
              </w:rPr>
              <w:t>)</w:t>
            </w:r>
          </w:p>
          <w:p w14:paraId="5B495F04">
            <w:pPr>
              <w:pStyle w:val="34"/>
              <w:keepNext w:val="0"/>
              <w:keepLines w:val="0"/>
              <w:suppressLineNumbers w:val="0"/>
              <w:spacing w:before="0" w:beforeAutospacing="0" w:after="0" w:afterAutospacing="0"/>
              <w:ind w:left="0" w:right="0" w:firstLine="0" w:firstLineChars="0"/>
              <w:jc w:val="center"/>
              <w:rPr>
                <w:rFonts w:hint="eastAsia" w:ascii="宋体" w:hAnsi="宋体" w:eastAsia="宋体"/>
                <w:color w:val="auto"/>
                <w:lang w:val="en-US" w:eastAsia="zh-CN"/>
              </w:rPr>
            </w:pPr>
            <w:r>
              <w:rPr>
                <w:rFonts w:hint="eastAsia" w:ascii="宋体" w:hAnsi="宋体" w:eastAsia="宋体"/>
                <w:color w:val="auto"/>
                <w:lang w:val="en-US" w:eastAsia="zh-CN"/>
              </w:rPr>
              <w:t>第</w:t>
            </w:r>
            <w:r>
              <w:rPr>
                <w:rFonts w:hint="eastAsia" w:ascii="宋体" w:hAnsi="宋体" w:eastAsia="宋体"/>
                <w:color w:val="auto"/>
              </w:rPr>
              <w:t>6.2.5.6</w:t>
            </w:r>
            <w:r>
              <w:rPr>
                <w:rFonts w:hint="eastAsia" w:ascii="宋体" w:hAnsi="宋体" w:eastAsia="宋体"/>
                <w:color w:val="auto"/>
                <w:lang w:val="en-US" w:eastAsia="zh-CN"/>
              </w:rPr>
              <w:t>条</w:t>
            </w:r>
          </w:p>
        </w:tc>
        <w:tc>
          <w:tcPr>
            <w:tcW w:w="1363" w:type="pct"/>
            <w:tcBorders>
              <w:tl2br w:val="nil"/>
              <w:tr2bl w:val="nil"/>
            </w:tcBorders>
            <w:shd w:val="clear" w:color="auto" w:fill="auto"/>
            <w:vAlign w:val="center"/>
          </w:tcPr>
          <w:p w14:paraId="6951A1F0">
            <w:pPr>
              <w:pStyle w:val="34"/>
              <w:keepNext w:val="0"/>
              <w:keepLines w:val="0"/>
              <w:suppressLineNumbers w:val="0"/>
              <w:spacing w:before="0" w:beforeAutospacing="0" w:after="0" w:afterAutospacing="0"/>
              <w:ind w:left="0" w:right="0" w:firstLine="0" w:firstLineChars="0"/>
              <w:rPr>
                <w:rFonts w:hint="default" w:ascii="宋体" w:hAnsi="宋体" w:eastAsia="宋体" w:cstheme="minorBidi"/>
                <w:color w:val="auto"/>
                <w:kern w:val="2"/>
                <w:sz w:val="21"/>
                <w:szCs w:val="22"/>
                <w:lang w:val="en-US" w:eastAsia="zh-CN" w:bidi="ar-SA"/>
              </w:rPr>
            </w:pPr>
            <w:r>
              <w:rPr>
                <w:rFonts w:hint="eastAsia"/>
                <w:color w:val="auto"/>
                <w:lang w:val="en-US" w:eastAsia="zh-CN"/>
              </w:rPr>
              <w:t>巷道断面较大，人行道宽度和高度能够满足要求</w:t>
            </w:r>
            <w:r>
              <w:rPr>
                <w:rFonts w:hint="eastAsia"/>
                <w:color w:val="auto"/>
                <w:lang w:eastAsia="zh-CN"/>
              </w:rPr>
              <w:t>。</w:t>
            </w:r>
          </w:p>
        </w:tc>
        <w:tc>
          <w:tcPr>
            <w:tcW w:w="341" w:type="pct"/>
            <w:tcBorders>
              <w:tl2br w:val="nil"/>
              <w:tr2bl w:val="nil"/>
            </w:tcBorders>
            <w:shd w:val="clear" w:color="auto" w:fill="auto"/>
            <w:vAlign w:val="center"/>
          </w:tcPr>
          <w:p w14:paraId="62A58BCE">
            <w:pPr>
              <w:pStyle w:val="34"/>
              <w:keepNext w:val="0"/>
              <w:keepLines w:val="0"/>
              <w:suppressLineNumbers w:val="0"/>
              <w:spacing w:before="0" w:beforeAutospacing="0" w:after="0" w:afterAutospacing="0"/>
              <w:ind w:left="0" w:right="0" w:firstLine="0" w:firstLineChars="0"/>
              <w:rPr>
                <w:rFonts w:hint="default" w:ascii="宋体" w:hAnsi="宋体" w:eastAsia="宋体" w:cstheme="minorBidi"/>
                <w:color w:val="auto"/>
                <w:kern w:val="2"/>
                <w:sz w:val="21"/>
                <w:szCs w:val="22"/>
                <w:lang w:val="en-US" w:eastAsia="zh-CN" w:bidi="ar-SA"/>
              </w:rPr>
            </w:pPr>
            <w:r>
              <w:rPr>
                <w:rFonts w:hint="eastAsia"/>
                <w:color w:val="auto"/>
              </w:rPr>
              <w:t>符合</w:t>
            </w:r>
          </w:p>
        </w:tc>
      </w:tr>
      <w:tr w14:paraId="3F3D784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96" w:hRule="atLeast"/>
          <w:jc w:val="center"/>
        </w:trPr>
        <w:tc>
          <w:tcPr>
            <w:tcW w:w="354" w:type="pct"/>
            <w:tcBorders>
              <w:tl2br w:val="nil"/>
              <w:tr2bl w:val="nil"/>
            </w:tcBorders>
            <w:vAlign w:val="center"/>
          </w:tcPr>
          <w:p w14:paraId="62D3A132">
            <w:pPr>
              <w:keepNext w:val="0"/>
              <w:keepLines w:val="0"/>
              <w:suppressLineNumbers w:val="0"/>
              <w:tabs>
                <w:tab w:val="left" w:pos="7080"/>
              </w:tabs>
              <w:spacing w:before="0" w:beforeAutospacing="0" w:after="0" w:afterAutospacing="0" w:line="300" w:lineRule="exact"/>
              <w:ind w:left="0" w:right="0" w:firstLine="0" w:firstLineChars="0"/>
              <w:jc w:val="center"/>
              <w:rPr>
                <w:rFonts w:hint="default" w:hAnsi="宋体"/>
                <w:color w:val="auto"/>
                <w:sz w:val="21"/>
                <w:szCs w:val="21"/>
              </w:rPr>
            </w:pPr>
            <w:r>
              <w:rPr>
                <w:rFonts w:hint="eastAsia" w:hAnsi="宋体"/>
                <w:color w:val="auto"/>
                <w:sz w:val="21"/>
                <w:szCs w:val="21"/>
              </w:rPr>
              <w:t>2</w:t>
            </w:r>
          </w:p>
        </w:tc>
        <w:tc>
          <w:tcPr>
            <w:tcW w:w="1666" w:type="pct"/>
            <w:tcBorders>
              <w:tl2br w:val="nil"/>
              <w:tr2bl w:val="nil"/>
            </w:tcBorders>
            <w:shd w:val="clear" w:color="auto" w:fill="auto"/>
            <w:vAlign w:val="center"/>
          </w:tcPr>
          <w:p w14:paraId="5188165C">
            <w:pPr>
              <w:pStyle w:val="34"/>
              <w:keepNext w:val="0"/>
              <w:keepLines w:val="0"/>
              <w:suppressLineNumbers w:val="0"/>
              <w:spacing w:before="0" w:beforeAutospacing="0" w:after="0" w:afterAutospacing="0"/>
              <w:ind w:left="0" w:right="0"/>
              <w:rPr>
                <w:rFonts w:hint="eastAsia"/>
                <w:color w:val="auto"/>
                <w:lang w:eastAsia="zh-CN"/>
              </w:rPr>
            </w:pPr>
            <w:r>
              <w:rPr>
                <w:rFonts w:hint="eastAsia"/>
                <w:color w:val="auto"/>
                <w:lang w:eastAsia="zh-CN"/>
              </w:rPr>
              <w:t>在水平巷道、斜井和斜坡道中运输设备之间、运输设备与巷道壁或者巷道内设施之间的间隙，符合下列规定：</w:t>
            </w:r>
          </w:p>
          <w:p w14:paraId="32AB4E18">
            <w:pPr>
              <w:pStyle w:val="34"/>
              <w:keepNext w:val="0"/>
              <w:keepLines w:val="0"/>
              <w:suppressLineNumbers w:val="0"/>
              <w:spacing w:before="0" w:beforeAutospacing="0" w:after="0" w:afterAutospacing="0"/>
              <w:ind w:left="0" w:right="0" w:firstLine="0" w:firstLineChars="0"/>
              <w:rPr>
                <w:rFonts w:hint="default" w:ascii="宋体" w:hAnsi="宋体" w:eastAsia="宋体" w:cstheme="minorBidi"/>
                <w:color w:val="auto"/>
                <w:kern w:val="2"/>
                <w:sz w:val="21"/>
                <w:szCs w:val="22"/>
                <w:lang w:val="en-US" w:eastAsia="zh-CN" w:bidi="ar-SA"/>
              </w:rPr>
            </w:pPr>
            <w:r>
              <w:rPr>
                <w:rFonts w:hint="eastAsia"/>
                <w:color w:val="auto"/>
                <w:lang w:eastAsia="zh-CN"/>
              </w:rPr>
              <w:t>有轨运输不小于0.3m：无轨运输不小于0.6m。</w:t>
            </w:r>
          </w:p>
        </w:tc>
        <w:tc>
          <w:tcPr>
            <w:tcW w:w="1273" w:type="pct"/>
            <w:tcBorders>
              <w:tl2br w:val="nil"/>
              <w:tr2bl w:val="nil"/>
            </w:tcBorders>
            <w:shd w:val="clear" w:color="auto" w:fill="auto"/>
            <w:vAlign w:val="center"/>
          </w:tcPr>
          <w:p w14:paraId="602478B8">
            <w:pPr>
              <w:pStyle w:val="34"/>
              <w:keepNext w:val="0"/>
              <w:keepLines w:val="0"/>
              <w:suppressLineNumbers w:val="0"/>
              <w:spacing w:before="0" w:beforeAutospacing="0" w:after="0" w:afterAutospacing="0"/>
              <w:ind w:left="0" w:right="0" w:firstLine="0" w:firstLineChars="0"/>
              <w:jc w:val="center"/>
              <w:rPr>
                <w:rFonts w:hint="eastAsia" w:ascii="宋体" w:hAnsi="宋体" w:eastAsia="宋体"/>
                <w:color w:val="auto"/>
                <w:lang w:eastAsia="zh-CN"/>
              </w:rPr>
            </w:pPr>
            <w:r>
              <w:rPr>
                <w:rFonts w:hint="eastAsia" w:ascii="宋体" w:hAnsi="宋体" w:eastAsia="宋体"/>
                <w:color w:val="auto"/>
                <w:lang w:eastAsia="zh-CN"/>
              </w:rPr>
              <w:t>《金属非金属矿山安全规程》(GB</w:t>
            </w:r>
            <w:r>
              <w:rPr>
                <w:rFonts w:hint="eastAsia" w:ascii="宋体" w:hAnsi="宋体" w:eastAsia="宋体"/>
                <w:color w:val="auto"/>
                <w:lang w:val="en-US" w:eastAsia="zh-CN"/>
              </w:rPr>
              <w:t>1</w:t>
            </w:r>
            <w:r>
              <w:rPr>
                <w:rFonts w:hint="eastAsia" w:ascii="宋体" w:hAnsi="宋体" w:eastAsia="宋体"/>
                <w:color w:val="auto"/>
                <w:lang w:eastAsia="zh-CN"/>
              </w:rPr>
              <w:t>6423-20</w:t>
            </w:r>
            <w:r>
              <w:rPr>
                <w:rFonts w:hint="eastAsia" w:ascii="宋体" w:hAnsi="宋体" w:eastAsia="宋体"/>
                <w:color w:val="auto"/>
                <w:lang w:val="en-US" w:eastAsia="zh-CN"/>
              </w:rPr>
              <w:t>20</w:t>
            </w:r>
            <w:r>
              <w:rPr>
                <w:rFonts w:hint="eastAsia" w:ascii="宋体" w:hAnsi="宋体" w:eastAsia="宋体"/>
                <w:color w:val="auto"/>
                <w:lang w:eastAsia="zh-CN"/>
              </w:rPr>
              <w:t>)</w:t>
            </w:r>
          </w:p>
          <w:p w14:paraId="45904B67">
            <w:pPr>
              <w:pStyle w:val="34"/>
              <w:keepNext w:val="0"/>
              <w:keepLines w:val="0"/>
              <w:suppressLineNumbers w:val="0"/>
              <w:spacing w:before="0" w:beforeAutospacing="0" w:after="0" w:afterAutospacing="0"/>
              <w:ind w:left="0" w:right="0" w:firstLine="0" w:firstLineChars="0"/>
              <w:jc w:val="center"/>
              <w:rPr>
                <w:rFonts w:hint="eastAsia" w:ascii="宋体" w:hAnsi="宋体" w:eastAsia="宋体"/>
                <w:color w:val="auto"/>
                <w:lang w:val="en-US" w:eastAsia="zh-CN"/>
              </w:rPr>
            </w:pPr>
            <w:r>
              <w:rPr>
                <w:rFonts w:hint="eastAsia" w:ascii="宋体" w:hAnsi="宋体" w:eastAsia="宋体"/>
                <w:color w:val="auto"/>
                <w:lang w:val="en-US" w:eastAsia="zh-CN"/>
              </w:rPr>
              <w:t>第</w:t>
            </w:r>
            <w:r>
              <w:rPr>
                <w:rFonts w:hint="eastAsia" w:ascii="宋体" w:hAnsi="宋体" w:eastAsia="宋体"/>
                <w:color w:val="auto"/>
              </w:rPr>
              <w:t>6.2.5.7</w:t>
            </w:r>
            <w:r>
              <w:rPr>
                <w:rFonts w:hint="eastAsia" w:ascii="宋体" w:hAnsi="宋体" w:eastAsia="宋体"/>
                <w:color w:val="auto"/>
                <w:lang w:val="en-US" w:eastAsia="zh-CN"/>
              </w:rPr>
              <w:t>条</w:t>
            </w:r>
          </w:p>
        </w:tc>
        <w:tc>
          <w:tcPr>
            <w:tcW w:w="1363" w:type="pct"/>
            <w:tcBorders>
              <w:tl2br w:val="nil"/>
              <w:tr2bl w:val="nil"/>
            </w:tcBorders>
            <w:shd w:val="clear" w:color="auto" w:fill="auto"/>
            <w:vAlign w:val="center"/>
          </w:tcPr>
          <w:p w14:paraId="31189E62">
            <w:pPr>
              <w:pStyle w:val="34"/>
              <w:keepNext w:val="0"/>
              <w:keepLines w:val="0"/>
              <w:suppressLineNumbers w:val="0"/>
              <w:spacing w:before="0" w:beforeAutospacing="0" w:after="0" w:afterAutospacing="0"/>
              <w:ind w:left="0" w:right="0" w:firstLine="0" w:firstLineChars="0"/>
              <w:rPr>
                <w:rFonts w:hint="eastAsia" w:ascii="宋体" w:hAnsi="宋体" w:eastAsia="宋体" w:cstheme="minorBidi"/>
                <w:color w:val="auto"/>
                <w:kern w:val="2"/>
                <w:sz w:val="21"/>
                <w:szCs w:val="22"/>
                <w:lang w:val="en-US" w:eastAsia="zh-CN" w:bidi="ar-SA"/>
              </w:rPr>
            </w:pPr>
            <w:r>
              <w:rPr>
                <w:rFonts w:hint="eastAsia"/>
                <w:color w:val="auto"/>
                <w:lang w:val="en-US" w:eastAsia="zh-CN"/>
              </w:rPr>
              <w:t>巷道宽度足够，无轨运输设备与巷道壁或设施之间的间隙能够满足要求</w:t>
            </w:r>
            <w:r>
              <w:rPr>
                <w:rFonts w:hint="eastAsia"/>
                <w:color w:val="auto"/>
                <w:lang w:eastAsia="zh-CN"/>
              </w:rPr>
              <w:t>。</w:t>
            </w:r>
          </w:p>
        </w:tc>
        <w:tc>
          <w:tcPr>
            <w:tcW w:w="341" w:type="pct"/>
            <w:tcBorders>
              <w:tl2br w:val="nil"/>
              <w:tr2bl w:val="nil"/>
            </w:tcBorders>
            <w:shd w:val="clear" w:color="auto" w:fill="auto"/>
            <w:vAlign w:val="center"/>
          </w:tcPr>
          <w:p w14:paraId="6CB9D9E9">
            <w:pPr>
              <w:pStyle w:val="34"/>
              <w:keepNext w:val="0"/>
              <w:keepLines w:val="0"/>
              <w:suppressLineNumbers w:val="0"/>
              <w:spacing w:before="0" w:beforeAutospacing="0" w:after="0" w:afterAutospacing="0"/>
              <w:ind w:left="0" w:right="0" w:firstLine="0" w:firstLineChars="0"/>
              <w:rPr>
                <w:rFonts w:hint="default" w:ascii="宋体" w:hAnsi="宋体" w:eastAsia="宋体" w:cstheme="minorBidi"/>
                <w:color w:val="auto"/>
                <w:kern w:val="2"/>
                <w:sz w:val="21"/>
                <w:szCs w:val="22"/>
                <w:lang w:val="en-US" w:eastAsia="zh-CN" w:bidi="ar-SA"/>
              </w:rPr>
            </w:pPr>
            <w:r>
              <w:rPr>
                <w:rFonts w:hint="eastAsia"/>
                <w:color w:val="auto"/>
              </w:rPr>
              <w:t>符合</w:t>
            </w:r>
          </w:p>
        </w:tc>
      </w:tr>
      <w:tr w14:paraId="74CA84F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96" w:hRule="atLeast"/>
          <w:jc w:val="center"/>
        </w:trPr>
        <w:tc>
          <w:tcPr>
            <w:tcW w:w="354" w:type="pct"/>
            <w:tcBorders>
              <w:tl2br w:val="nil"/>
              <w:tr2bl w:val="nil"/>
            </w:tcBorders>
            <w:vAlign w:val="center"/>
          </w:tcPr>
          <w:p w14:paraId="38CD7610">
            <w:pPr>
              <w:keepNext w:val="0"/>
              <w:keepLines w:val="0"/>
              <w:suppressLineNumbers w:val="0"/>
              <w:tabs>
                <w:tab w:val="left" w:pos="7080"/>
              </w:tabs>
              <w:spacing w:before="0" w:beforeAutospacing="0" w:after="0" w:afterAutospacing="0" w:line="300" w:lineRule="exact"/>
              <w:ind w:left="0" w:right="0" w:firstLine="0" w:firstLineChars="0"/>
              <w:jc w:val="center"/>
              <w:rPr>
                <w:rFonts w:hint="eastAsia" w:hAnsi="宋体" w:eastAsia="宋体"/>
                <w:color w:val="auto"/>
                <w:sz w:val="21"/>
                <w:szCs w:val="21"/>
                <w:lang w:val="en-US" w:eastAsia="zh-CN"/>
              </w:rPr>
            </w:pPr>
            <w:r>
              <w:rPr>
                <w:rFonts w:hint="eastAsia"/>
                <w:color w:val="auto"/>
                <w:sz w:val="21"/>
                <w:szCs w:val="21"/>
                <w:lang w:val="en-US" w:eastAsia="zh-CN"/>
              </w:rPr>
              <w:t>3</w:t>
            </w:r>
          </w:p>
        </w:tc>
        <w:tc>
          <w:tcPr>
            <w:tcW w:w="1666" w:type="pct"/>
            <w:tcBorders>
              <w:tl2br w:val="nil"/>
              <w:tr2bl w:val="nil"/>
            </w:tcBorders>
            <w:shd w:val="clear" w:color="auto" w:fill="auto"/>
            <w:vAlign w:val="center"/>
          </w:tcPr>
          <w:p w14:paraId="4CD85362">
            <w:pPr>
              <w:pStyle w:val="34"/>
              <w:keepNext w:val="0"/>
              <w:keepLines w:val="0"/>
              <w:suppressLineNumbers w:val="0"/>
              <w:spacing w:before="0" w:beforeAutospacing="0" w:after="0" w:afterAutospacing="0"/>
              <w:ind w:left="0" w:right="0"/>
              <w:rPr>
                <w:rFonts w:hint="eastAsia"/>
                <w:color w:val="auto"/>
                <w:lang w:eastAsia="zh-CN"/>
              </w:rPr>
            </w:pPr>
            <w:r>
              <w:rPr>
                <w:rFonts w:hint="eastAsia"/>
                <w:color w:val="auto"/>
                <w:lang w:eastAsia="zh-CN"/>
              </w:rPr>
              <w:t>无轨设备</w:t>
            </w:r>
            <w:r>
              <w:rPr>
                <w:rFonts w:hint="eastAsia"/>
                <w:color w:val="auto"/>
                <w:lang w:val="en-US" w:eastAsia="zh-CN"/>
              </w:rPr>
              <w:t>应</w:t>
            </w:r>
            <w:r>
              <w:rPr>
                <w:rFonts w:hint="eastAsia"/>
                <w:color w:val="auto"/>
                <w:lang w:eastAsia="zh-CN"/>
              </w:rPr>
              <w:t>符合下列规定：
</w:t>
            </w:r>
          </w:p>
          <w:p w14:paraId="3EF7420B">
            <w:pPr>
              <w:pStyle w:val="34"/>
              <w:keepNext w:val="0"/>
              <w:keepLines w:val="0"/>
              <w:suppressLineNumbers w:val="0"/>
              <w:spacing w:before="0" w:beforeAutospacing="0" w:after="0" w:afterAutospacing="0"/>
              <w:ind w:left="0" w:right="0"/>
              <w:rPr>
                <w:rFonts w:hint="eastAsia"/>
                <w:color w:val="auto"/>
                <w:lang w:eastAsia="zh-CN"/>
              </w:rPr>
            </w:pPr>
            <w:r>
              <w:rPr>
                <w:rFonts w:hint="eastAsia"/>
                <w:color w:val="auto"/>
                <w:lang w:val="en-US" w:eastAsia="zh-CN"/>
              </w:rPr>
              <w:t>——</w:t>
            </w:r>
            <w:r>
              <w:rPr>
                <w:rFonts w:hint="eastAsia"/>
                <w:color w:val="auto"/>
                <w:lang w:eastAsia="zh-CN"/>
              </w:rPr>
              <w:t>采用电动机或者柴油发动机驱动；</w:t>
            </w:r>
          </w:p>
          <w:p w14:paraId="52AD31E5">
            <w:pPr>
              <w:pStyle w:val="34"/>
              <w:keepNext w:val="0"/>
              <w:keepLines w:val="0"/>
              <w:suppressLineNumbers w:val="0"/>
              <w:spacing w:before="0" w:beforeAutospacing="0" w:after="0" w:afterAutospacing="0"/>
              <w:ind w:left="0" w:right="0"/>
              <w:rPr>
                <w:rFonts w:hint="eastAsia"/>
                <w:color w:val="auto"/>
                <w:lang w:eastAsia="zh-CN"/>
              </w:rPr>
            </w:pPr>
            <w:r>
              <w:rPr>
                <w:rFonts w:hint="eastAsia"/>
                <w:color w:val="auto"/>
                <w:lang w:val="en-US" w:eastAsia="zh-CN"/>
              </w:rPr>
              <w:t>——</w:t>
            </w:r>
            <w:r>
              <w:rPr>
                <w:rFonts w:hint="eastAsia"/>
                <w:color w:val="auto"/>
                <w:lang w:eastAsia="zh-CN"/>
              </w:rPr>
              <w:t>柴油发动机尾气中：CO的体积浓度小于或等于1500×10</w:t>
            </w:r>
            <w:r>
              <w:rPr>
                <w:rFonts w:hint="eastAsia"/>
                <w:color w:val="auto"/>
                <w:vertAlign w:val="superscript"/>
                <w:lang w:eastAsia="zh-CN"/>
              </w:rPr>
              <w:t>-</w:t>
            </w:r>
            <w:r>
              <w:rPr>
                <w:rFonts w:hint="eastAsia"/>
                <w:color w:val="auto"/>
                <w:vertAlign w:val="superscript"/>
                <w:lang w:val="en-US" w:eastAsia="zh-CN"/>
              </w:rPr>
              <w:t>6</w:t>
            </w:r>
            <w:r>
              <w:rPr>
                <w:rFonts w:hint="eastAsia"/>
                <w:color w:val="auto"/>
                <w:lang w:eastAsia="zh-CN"/>
              </w:rPr>
              <w:t>，NO的体积浓度小于或等于900×10</w:t>
            </w:r>
            <w:r>
              <w:rPr>
                <w:rFonts w:hint="eastAsia"/>
                <w:color w:val="auto"/>
                <w:vertAlign w:val="superscript"/>
                <w:lang w:eastAsia="zh-CN"/>
              </w:rPr>
              <w:t>-</w:t>
            </w:r>
            <w:r>
              <w:rPr>
                <w:rFonts w:hint="eastAsia"/>
                <w:color w:val="auto"/>
                <w:vertAlign w:val="superscript"/>
                <w:lang w:val="en-US" w:eastAsia="zh-CN"/>
              </w:rPr>
              <w:t>6</w:t>
            </w:r>
            <w:r>
              <w:rPr>
                <w:rFonts w:hint="eastAsia"/>
                <w:color w:val="auto"/>
                <w:lang w:eastAsia="zh-CN"/>
              </w:rPr>
              <w:t>；
</w:t>
            </w:r>
          </w:p>
          <w:p w14:paraId="184ECCB5">
            <w:pPr>
              <w:pStyle w:val="34"/>
              <w:keepNext w:val="0"/>
              <w:keepLines w:val="0"/>
              <w:suppressLineNumbers w:val="0"/>
              <w:spacing w:before="0" w:beforeAutospacing="0" w:after="0" w:afterAutospacing="0"/>
              <w:ind w:left="0" w:right="0"/>
              <w:rPr>
                <w:rFonts w:hint="eastAsia"/>
                <w:color w:val="auto"/>
                <w:lang w:eastAsia="zh-CN"/>
              </w:rPr>
            </w:pPr>
            <w:r>
              <w:rPr>
                <w:rFonts w:hint="eastAsia"/>
                <w:color w:val="auto"/>
                <w:lang w:val="en-US" w:eastAsia="zh-CN"/>
              </w:rPr>
              <w:t>——每</w:t>
            </w:r>
            <w:r>
              <w:rPr>
                <w:rFonts w:hint="eastAsia"/>
                <w:color w:val="auto"/>
                <w:lang w:eastAsia="zh-CN"/>
              </w:rPr>
              <w:t>台设备均应配备灭火装置；</w:t>
            </w:r>
          </w:p>
          <w:p w14:paraId="10A0DEAA">
            <w:pPr>
              <w:pStyle w:val="34"/>
              <w:keepNext w:val="0"/>
              <w:keepLines w:val="0"/>
              <w:suppressLineNumbers w:val="0"/>
              <w:spacing w:before="0" w:beforeAutospacing="0" w:after="0" w:afterAutospacing="0"/>
              <w:ind w:left="0" w:right="0"/>
              <w:rPr>
                <w:rFonts w:hint="eastAsia"/>
                <w:color w:val="auto"/>
                <w:lang w:eastAsia="zh-CN"/>
              </w:rPr>
            </w:pPr>
            <w:r>
              <w:rPr>
                <w:rFonts w:hint="eastAsia"/>
                <w:color w:val="auto"/>
                <w:lang w:val="en-US" w:eastAsia="zh-CN"/>
              </w:rPr>
              <w:t>——刹</w:t>
            </w:r>
            <w:r>
              <w:rPr>
                <w:rFonts w:hint="eastAsia"/>
                <w:color w:val="auto"/>
                <w:lang w:eastAsia="zh-CN"/>
              </w:rPr>
              <w:t>车系统、灯光系统、</w:t>
            </w:r>
            <w:r>
              <w:rPr>
                <w:rFonts w:hint="eastAsia"/>
                <w:color w:val="auto"/>
                <w:lang w:val="en-US" w:eastAsia="zh-CN"/>
              </w:rPr>
              <w:t>警报</w:t>
            </w:r>
            <w:r>
              <w:rPr>
                <w:rFonts w:hint="eastAsia"/>
                <w:color w:val="auto"/>
                <w:lang w:eastAsia="zh-CN"/>
              </w:rPr>
              <w:t>系统应齐全有效：
</w:t>
            </w:r>
          </w:p>
          <w:p w14:paraId="1CB76CD6">
            <w:pPr>
              <w:pStyle w:val="34"/>
              <w:keepNext w:val="0"/>
              <w:keepLines w:val="0"/>
              <w:suppressLineNumbers w:val="0"/>
              <w:spacing w:before="0" w:beforeAutospacing="0" w:after="0" w:afterAutospacing="0"/>
              <w:ind w:left="0" w:right="0"/>
              <w:rPr>
                <w:rFonts w:hint="eastAsia"/>
                <w:color w:val="auto"/>
                <w:lang w:eastAsia="zh-CN"/>
              </w:rPr>
            </w:pPr>
            <w:r>
              <w:rPr>
                <w:rFonts w:hint="eastAsia"/>
                <w:color w:val="auto"/>
                <w:lang w:val="en-US" w:eastAsia="zh-CN"/>
              </w:rPr>
              <w:t>——</w:t>
            </w:r>
            <w:r>
              <w:rPr>
                <w:rFonts w:hint="eastAsia"/>
                <w:color w:val="auto"/>
                <w:lang w:eastAsia="zh-CN"/>
              </w:rPr>
              <w:t>操作人员上方应有防护板或者防护</w:t>
            </w:r>
            <w:r>
              <w:rPr>
                <w:rFonts w:hint="eastAsia"/>
                <w:color w:val="auto"/>
                <w:lang w:val="en-US" w:eastAsia="zh-CN"/>
              </w:rPr>
              <w:t>网；</w:t>
            </w:r>
            <w:r>
              <w:rPr>
                <w:rFonts w:hint="eastAsia"/>
                <w:color w:val="auto"/>
                <w:lang w:eastAsia="zh-CN"/>
              </w:rPr>
              <w:t>
</w:t>
            </w:r>
          </w:p>
          <w:p w14:paraId="0F5A7790">
            <w:pPr>
              <w:pStyle w:val="34"/>
              <w:keepNext w:val="0"/>
              <w:keepLines w:val="0"/>
              <w:suppressLineNumbers w:val="0"/>
              <w:spacing w:before="0" w:beforeAutospacing="0" w:after="0" w:afterAutospacing="0"/>
              <w:ind w:left="0" w:right="0"/>
              <w:rPr>
                <w:rFonts w:hint="eastAsia"/>
                <w:color w:val="auto"/>
                <w:lang w:eastAsia="zh-CN"/>
              </w:rPr>
            </w:pPr>
            <w:r>
              <w:rPr>
                <w:rFonts w:hint="eastAsia"/>
                <w:color w:val="auto"/>
                <w:lang w:val="en-US" w:eastAsia="zh-CN"/>
              </w:rPr>
              <w:t>——</w:t>
            </w:r>
            <w:r>
              <w:rPr>
                <w:rFonts w:hint="eastAsia"/>
                <w:color w:val="auto"/>
                <w:lang w:eastAsia="zh-CN"/>
              </w:rPr>
              <w:t>用于运输人员、油料的无轨设备应采用湿式制动器；
</w:t>
            </w:r>
          </w:p>
          <w:p w14:paraId="63FD4A58">
            <w:pPr>
              <w:pStyle w:val="34"/>
              <w:keepNext w:val="0"/>
              <w:keepLines w:val="0"/>
              <w:suppressLineNumbers w:val="0"/>
              <w:spacing w:before="0" w:beforeAutospacing="0" w:after="0" w:afterAutospacing="0"/>
              <w:ind w:left="0" w:right="0"/>
              <w:rPr>
                <w:rFonts w:hint="eastAsia"/>
                <w:color w:val="auto"/>
                <w:lang w:eastAsia="zh-CN"/>
              </w:rPr>
            </w:pPr>
            <w:r>
              <w:rPr>
                <w:rFonts w:hint="eastAsia"/>
                <w:color w:val="auto"/>
                <w:lang w:val="en-US" w:eastAsia="zh-CN"/>
              </w:rPr>
              <w:t>——</w:t>
            </w:r>
            <w:r>
              <w:rPr>
                <w:rFonts w:hint="eastAsia"/>
                <w:color w:val="auto"/>
                <w:lang w:eastAsia="zh-CN"/>
              </w:rPr>
              <w:t>井下专用运人车应有行车制动系统、驻车制动系统和应急制动系统；
</w:t>
            </w:r>
          </w:p>
          <w:p w14:paraId="7B82BA1A">
            <w:pPr>
              <w:pStyle w:val="34"/>
              <w:keepNext w:val="0"/>
              <w:keepLines w:val="0"/>
              <w:suppressLineNumbers w:val="0"/>
              <w:spacing w:before="0" w:beforeAutospacing="0" w:after="0" w:afterAutospacing="0"/>
              <w:ind w:left="0" w:right="0" w:firstLine="0" w:firstLineChars="0"/>
              <w:rPr>
                <w:rFonts w:hint="eastAsia" w:ascii="宋体" w:hAnsi="宋体" w:eastAsia="宋体" w:cstheme="minorBidi"/>
                <w:color w:val="auto"/>
                <w:kern w:val="2"/>
                <w:sz w:val="21"/>
                <w:szCs w:val="22"/>
                <w:lang w:val="en-US" w:eastAsia="zh-CN" w:bidi="ar-SA"/>
              </w:rPr>
            </w:pPr>
            <w:r>
              <w:rPr>
                <w:rFonts w:hint="eastAsia"/>
                <w:color w:val="auto"/>
                <w:lang w:val="en-US" w:eastAsia="zh-CN"/>
              </w:rPr>
              <w:t>——</w:t>
            </w:r>
            <w:r>
              <w:rPr>
                <w:rFonts w:hint="eastAsia"/>
                <w:color w:val="auto"/>
                <w:lang w:eastAsia="zh-CN"/>
              </w:rPr>
              <w:t>行车制动系统和急制动系统至少有一个为失效安全型。</w:t>
            </w:r>
          </w:p>
        </w:tc>
        <w:tc>
          <w:tcPr>
            <w:tcW w:w="1273" w:type="pct"/>
            <w:tcBorders>
              <w:tl2br w:val="nil"/>
              <w:tr2bl w:val="nil"/>
            </w:tcBorders>
            <w:shd w:val="clear" w:color="auto" w:fill="auto"/>
            <w:vAlign w:val="center"/>
          </w:tcPr>
          <w:p w14:paraId="6DA16BA3">
            <w:pPr>
              <w:pStyle w:val="34"/>
              <w:keepNext w:val="0"/>
              <w:keepLines w:val="0"/>
              <w:suppressLineNumbers w:val="0"/>
              <w:spacing w:before="0" w:beforeAutospacing="0" w:after="0" w:afterAutospacing="0"/>
              <w:ind w:left="0" w:right="0" w:firstLine="0" w:firstLineChars="0"/>
              <w:jc w:val="center"/>
              <w:rPr>
                <w:rFonts w:hint="eastAsia" w:ascii="宋体" w:hAnsi="宋体" w:eastAsia="宋体"/>
                <w:color w:val="auto"/>
                <w:lang w:eastAsia="zh-CN"/>
              </w:rPr>
            </w:pPr>
            <w:r>
              <w:rPr>
                <w:rFonts w:hint="eastAsia" w:ascii="宋体" w:hAnsi="宋体" w:eastAsia="宋体"/>
                <w:color w:val="auto"/>
                <w:lang w:eastAsia="zh-CN"/>
              </w:rPr>
              <w:t>《金属非金属矿山安全规程》(GB</w:t>
            </w:r>
            <w:r>
              <w:rPr>
                <w:rFonts w:hint="eastAsia" w:ascii="宋体" w:hAnsi="宋体" w:eastAsia="宋体"/>
                <w:color w:val="auto"/>
                <w:lang w:val="en-US" w:eastAsia="zh-CN"/>
              </w:rPr>
              <w:t>1</w:t>
            </w:r>
            <w:r>
              <w:rPr>
                <w:rFonts w:hint="eastAsia" w:ascii="宋体" w:hAnsi="宋体" w:eastAsia="宋体"/>
                <w:color w:val="auto"/>
                <w:lang w:eastAsia="zh-CN"/>
              </w:rPr>
              <w:t>6423-2020)</w:t>
            </w:r>
          </w:p>
          <w:p w14:paraId="3B864C73">
            <w:pPr>
              <w:pStyle w:val="34"/>
              <w:keepNext w:val="0"/>
              <w:keepLines w:val="0"/>
              <w:suppressLineNumbers w:val="0"/>
              <w:spacing w:before="0" w:beforeAutospacing="0" w:after="0" w:afterAutospacing="0"/>
              <w:ind w:left="0" w:right="0" w:firstLine="0" w:firstLineChars="0"/>
              <w:jc w:val="center"/>
              <w:rPr>
                <w:rFonts w:hint="eastAsia" w:ascii="宋体" w:hAnsi="宋体" w:eastAsia="宋体"/>
                <w:color w:val="auto"/>
                <w:lang w:val="en-US" w:eastAsia="zh-CN"/>
              </w:rPr>
            </w:pPr>
            <w:r>
              <w:rPr>
                <w:rFonts w:hint="eastAsia" w:ascii="宋体" w:hAnsi="宋体" w:eastAsia="宋体"/>
                <w:color w:val="auto"/>
                <w:lang w:val="en-US" w:eastAsia="zh-CN"/>
              </w:rPr>
              <w:t>第</w:t>
            </w:r>
            <w:r>
              <w:rPr>
                <w:rFonts w:hint="eastAsia" w:ascii="宋体" w:hAnsi="宋体" w:eastAsia="宋体"/>
                <w:color w:val="auto"/>
              </w:rPr>
              <w:t>6.3</w:t>
            </w:r>
            <w:r>
              <w:rPr>
                <w:rFonts w:hint="eastAsia" w:ascii="宋体" w:hAnsi="宋体" w:eastAsia="宋体"/>
                <w:color w:val="auto"/>
                <w:lang w:val="en-US" w:eastAsia="zh-CN"/>
              </w:rPr>
              <w:t>.</w:t>
            </w:r>
            <w:r>
              <w:rPr>
                <w:rFonts w:hint="eastAsia" w:ascii="宋体" w:hAnsi="宋体" w:eastAsia="宋体"/>
                <w:color w:val="auto"/>
              </w:rPr>
              <w:t>4.2</w:t>
            </w:r>
            <w:r>
              <w:rPr>
                <w:rFonts w:hint="eastAsia" w:ascii="宋体" w:hAnsi="宋体" w:eastAsia="宋体"/>
                <w:color w:val="auto"/>
                <w:lang w:val="en-US" w:eastAsia="zh-CN"/>
              </w:rPr>
              <w:t>条</w:t>
            </w:r>
          </w:p>
        </w:tc>
        <w:tc>
          <w:tcPr>
            <w:tcW w:w="1363" w:type="pct"/>
            <w:tcBorders>
              <w:tl2br w:val="nil"/>
              <w:tr2bl w:val="nil"/>
            </w:tcBorders>
            <w:shd w:val="clear" w:color="auto" w:fill="auto"/>
            <w:vAlign w:val="center"/>
          </w:tcPr>
          <w:p w14:paraId="391767C7">
            <w:pPr>
              <w:pStyle w:val="34"/>
              <w:keepNext w:val="0"/>
              <w:keepLines w:val="0"/>
              <w:suppressLineNumbers w:val="0"/>
              <w:spacing w:before="0" w:beforeAutospacing="0" w:after="0" w:afterAutospacing="0"/>
              <w:ind w:left="0" w:right="0" w:firstLine="0" w:firstLineChars="0"/>
              <w:rPr>
                <w:rFonts w:hint="default" w:ascii="宋体" w:hAnsi="宋体" w:eastAsia="宋体" w:cstheme="minorBidi"/>
                <w:color w:val="auto"/>
                <w:kern w:val="2"/>
                <w:sz w:val="21"/>
                <w:szCs w:val="22"/>
                <w:lang w:val="en-US" w:eastAsia="zh-CN" w:bidi="ar-SA"/>
              </w:rPr>
            </w:pPr>
            <w:r>
              <w:rPr>
                <w:rFonts w:hint="eastAsia"/>
                <w:color w:val="auto"/>
                <w:lang w:val="en-US" w:eastAsia="zh-CN"/>
              </w:rPr>
              <w:t>可研报告中采用20t矿用无轨运输车运输矿石、物料，车辆带有刹车、灯光、警报系统及司机位防护板</w:t>
            </w:r>
            <w:r>
              <w:rPr>
                <w:rFonts w:hint="eastAsia"/>
                <w:color w:val="auto"/>
                <w:lang w:eastAsia="zh-CN"/>
              </w:rPr>
              <w:t>。</w:t>
            </w:r>
            <w:r>
              <w:rPr>
                <w:rFonts w:hint="eastAsia"/>
                <w:color w:val="auto"/>
                <w:lang w:val="en-US" w:eastAsia="zh-CN"/>
              </w:rPr>
              <w:t>采用柴油发动机，有废弃净化装置，每台设备配备灭火器。未明确运输人员、油料的设备要求。</w:t>
            </w:r>
          </w:p>
        </w:tc>
        <w:tc>
          <w:tcPr>
            <w:tcW w:w="341" w:type="pct"/>
            <w:tcBorders>
              <w:tl2br w:val="nil"/>
              <w:tr2bl w:val="nil"/>
            </w:tcBorders>
            <w:shd w:val="clear" w:color="auto" w:fill="auto"/>
            <w:vAlign w:val="center"/>
          </w:tcPr>
          <w:p w14:paraId="18F19207">
            <w:pPr>
              <w:pStyle w:val="34"/>
              <w:keepNext w:val="0"/>
              <w:keepLines w:val="0"/>
              <w:suppressLineNumbers w:val="0"/>
              <w:spacing w:before="0" w:beforeAutospacing="0" w:after="0" w:afterAutospacing="0"/>
              <w:ind w:left="0" w:right="0" w:firstLine="0" w:firstLineChars="0"/>
              <w:rPr>
                <w:rFonts w:hint="eastAsia" w:ascii="宋体" w:hAnsi="宋体" w:eastAsia="宋体" w:cstheme="minorBidi"/>
                <w:color w:val="auto"/>
                <w:kern w:val="2"/>
                <w:sz w:val="21"/>
                <w:szCs w:val="22"/>
                <w:lang w:val="en-US" w:eastAsia="zh-CN" w:bidi="ar-SA"/>
              </w:rPr>
            </w:pPr>
            <w:r>
              <w:rPr>
                <w:rFonts w:hint="eastAsia"/>
                <w:color w:val="auto"/>
                <w:lang w:val="en-US" w:eastAsia="zh-CN"/>
              </w:rPr>
              <w:t>不</w:t>
            </w:r>
            <w:r>
              <w:rPr>
                <w:rFonts w:hint="eastAsia"/>
                <w:color w:val="auto"/>
              </w:rPr>
              <w:t>符合</w:t>
            </w:r>
          </w:p>
        </w:tc>
      </w:tr>
      <w:tr w14:paraId="272AA39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96" w:hRule="atLeast"/>
          <w:jc w:val="center"/>
        </w:trPr>
        <w:tc>
          <w:tcPr>
            <w:tcW w:w="354" w:type="pct"/>
            <w:tcBorders>
              <w:tl2br w:val="nil"/>
              <w:tr2bl w:val="nil"/>
            </w:tcBorders>
            <w:vAlign w:val="center"/>
          </w:tcPr>
          <w:p w14:paraId="590717C3">
            <w:pPr>
              <w:keepNext w:val="0"/>
              <w:keepLines w:val="0"/>
              <w:suppressLineNumbers w:val="0"/>
              <w:tabs>
                <w:tab w:val="left" w:pos="7080"/>
              </w:tabs>
              <w:spacing w:before="0" w:beforeAutospacing="0" w:after="0" w:afterAutospacing="0" w:line="300" w:lineRule="exact"/>
              <w:ind w:left="0" w:right="0" w:firstLine="0" w:firstLineChars="0"/>
              <w:jc w:val="center"/>
              <w:rPr>
                <w:rFonts w:hint="eastAsia" w:hAnsi="宋体" w:eastAsia="宋体"/>
                <w:color w:val="auto"/>
                <w:sz w:val="21"/>
                <w:szCs w:val="21"/>
                <w:lang w:val="en-US" w:eastAsia="zh-CN"/>
              </w:rPr>
            </w:pPr>
            <w:r>
              <w:rPr>
                <w:rFonts w:hint="eastAsia"/>
                <w:color w:val="auto"/>
                <w:sz w:val="21"/>
                <w:szCs w:val="21"/>
                <w:lang w:val="en-US" w:eastAsia="zh-CN"/>
              </w:rPr>
              <w:t>4</w:t>
            </w:r>
          </w:p>
        </w:tc>
        <w:tc>
          <w:tcPr>
            <w:tcW w:w="1666" w:type="pct"/>
            <w:tcBorders>
              <w:tl2br w:val="nil"/>
              <w:tr2bl w:val="nil"/>
            </w:tcBorders>
            <w:shd w:val="clear" w:color="auto" w:fill="auto"/>
            <w:vAlign w:val="center"/>
          </w:tcPr>
          <w:p w14:paraId="5F505C79">
            <w:pPr>
              <w:pStyle w:val="34"/>
              <w:keepNext w:val="0"/>
              <w:keepLines w:val="0"/>
              <w:suppressLineNumbers w:val="0"/>
              <w:spacing w:before="0" w:beforeAutospacing="0" w:after="0" w:afterAutospacing="0"/>
              <w:ind w:left="0" w:right="0"/>
              <w:rPr>
                <w:rFonts w:hint="eastAsia"/>
                <w:color w:val="auto"/>
                <w:lang w:eastAsia="zh-CN"/>
              </w:rPr>
            </w:pPr>
            <w:r>
              <w:rPr>
                <w:rFonts w:hint="eastAsia"/>
                <w:color w:val="auto"/>
                <w:lang w:eastAsia="zh-CN"/>
              </w:rPr>
              <w:t>无轨运输系统应符合下列要求：</w:t>
            </w:r>
          </w:p>
          <w:p w14:paraId="6369E538">
            <w:pPr>
              <w:pStyle w:val="34"/>
              <w:keepNext w:val="0"/>
              <w:keepLines w:val="0"/>
              <w:suppressLineNumbers w:val="0"/>
              <w:spacing w:before="0" w:beforeAutospacing="0" w:after="0" w:afterAutospacing="0"/>
              <w:ind w:left="0" w:right="0"/>
              <w:rPr>
                <w:rFonts w:hint="eastAsia"/>
                <w:color w:val="auto"/>
                <w:lang w:eastAsia="zh-CN"/>
              </w:rPr>
            </w:pPr>
            <w:r>
              <w:rPr>
                <w:rFonts w:hint="eastAsia"/>
                <w:color w:val="auto"/>
                <w:lang w:val="en-US" w:eastAsia="zh-CN"/>
              </w:rPr>
              <w:t>——</w:t>
            </w:r>
            <w:r>
              <w:rPr>
                <w:rFonts w:hint="eastAsia"/>
                <w:color w:val="auto"/>
                <w:lang w:eastAsia="zh-CN"/>
              </w:rPr>
              <w:t>设备部至巷道板的距离不小于0.6m；
</w:t>
            </w:r>
          </w:p>
          <w:p w14:paraId="728E33F0">
            <w:pPr>
              <w:pStyle w:val="34"/>
              <w:keepNext w:val="0"/>
              <w:keepLines w:val="0"/>
              <w:suppressLineNumbers w:val="0"/>
              <w:spacing w:before="0" w:beforeAutospacing="0" w:after="0" w:afterAutospacing="0"/>
              <w:ind w:left="0" w:right="0"/>
              <w:rPr>
                <w:rFonts w:hint="eastAsia"/>
                <w:color w:val="auto"/>
                <w:lang w:eastAsia="zh-CN"/>
              </w:rPr>
            </w:pPr>
            <w:r>
              <w:rPr>
                <w:rFonts w:hint="eastAsia"/>
                <w:color w:val="auto"/>
                <w:lang w:val="en-US" w:eastAsia="zh-CN"/>
              </w:rPr>
              <w:t>——</w:t>
            </w:r>
            <w:r>
              <w:rPr>
                <w:rFonts w:hint="eastAsia"/>
                <w:color w:val="auto"/>
                <w:lang w:eastAsia="zh-CN"/>
              </w:rPr>
              <w:t>斜坡道每400m应设置一段坡度不大于3％、长度不小于20m的缓坡段；</w:t>
            </w:r>
          </w:p>
          <w:p w14:paraId="4FC00AB6">
            <w:pPr>
              <w:pStyle w:val="34"/>
              <w:keepNext w:val="0"/>
              <w:keepLines w:val="0"/>
              <w:suppressLineNumbers w:val="0"/>
              <w:spacing w:before="0" w:beforeAutospacing="0" w:after="0" w:afterAutospacing="0"/>
              <w:ind w:left="0" w:right="0"/>
              <w:rPr>
                <w:rFonts w:hint="eastAsia"/>
                <w:color w:val="auto"/>
                <w:lang w:eastAsia="zh-CN"/>
              </w:rPr>
            </w:pPr>
            <w:r>
              <w:rPr>
                <w:rFonts w:hint="eastAsia"/>
                <w:color w:val="auto"/>
                <w:lang w:val="en-US" w:eastAsia="zh-CN"/>
              </w:rPr>
              <w:t>——</w:t>
            </w:r>
            <w:r>
              <w:rPr>
                <w:rFonts w:hint="eastAsia"/>
                <w:color w:val="auto"/>
                <w:lang w:eastAsia="zh-CN"/>
              </w:rPr>
              <w:t>错车道应设置在缓坡段；
</w:t>
            </w:r>
          </w:p>
          <w:p w14:paraId="2B69229D">
            <w:pPr>
              <w:pStyle w:val="34"/>
              <w:keepNext w:val="0"/>
              <w:keepLines w:val="0"/>
              <w:suppressLineNumbers w:val="0"/>
              <w:spacing w:before="0" w:beforeAutospacing="0" w:after="0" w:afterAutospacing="0"/>
              <w:ind w:left="0" w:right="0"/>
              <w:rPr>
                <w:rFonts w:hint="eastAsia"/>
                <w:color w:val="auto"/>
                <w:lang w:eastAsia="zh-CN"/>
              </w:rPr>
            </w:pPr>
            <w:r>
              <w:rPr>
                <w:rFonts w:hint="eastAsia"/>
                <w:color w:val="auto"/>
                <w:lang w:val="en-US" w:eastAsia="zh-CN"/>
              </w:rPr>
              <w:t>——</w:t>
            </w:r>
            <w:r>
              <w:rPr>
                <w:rFonts w:hint="eastAsia"/>
                <w:color w:val="auto"/>
                <w:lang w:eastAsia="zh-CN"/>
              </w:rPr>
              <w:t>斜坡道坡度：承载5人以上的运人车辆通行的，不大于16％；承载5人以下的运人车辆通行的，不大于20％；
</w:t>
            </w:r>
          </w:p>
          <w:p w14:paraId="6344B3CC">
            <w:pPr>
              <w:pStyle w:val="34"/>
              <w:keepNext w:val="0"/>
              <w:keepLines w:val="0"/>
              <w:suppressLineNumbers w:val="0"/>
              <w:spacing w:before="0" w:beforeAutospacing="0" w:after="0" w:afterAutospacing="0"/>
              <w:ind w:left="0" w:right="0"/>
              <w:rPr>
                <w:rFonts w:hint="eastAsia"/>
                <w:color w:val="auto"/>
                <w:lang w:eastAsia="zh-CN"/>
              </w:rPr>
            </w:pPr>
            <w:r>
              <w:rPr>
                <w:rFonts w:hint="eastAsia"/>
                <w:color w:val="auto"/>
                <w:lang w:val="en-US" w:eastAsia="zh-CN"/>
              </w:rPr>
              <w:t>——</w:t>
            </w:r>
            <w:r>
              <w:rPr>
                <w:rFonts w:hint="eastAsia"/>
                <w:color w:val="auto"/>
                <w:lang w:eastAsia="zh-CN"/>
              </w:rPr>
              <w:t>斜坡道路面应平整；主要斜坡道应有良好的混土、青或级配均匀的碎石路面；
</w:t>
            </w:r>
          </w:p>
          <w:p w14:paraId="2DC74456">
            <w:pPr>
              <w:pStyle w:val="34"/>
              <w:keepNext w:val="0"/>
              <w:keepLines w:val="0"/>
              <w:suppressLineNumbers w:val="0"/>
              <w:spacing w:before="0" w:beforeAutospacing="0" w:after="0" w:afterAutospacing="0"/>
              <w:ind w:left="0" w:right="0" w:firstLine="0" w:firstLineChars="0"/>
              <w:rPr>
                <w:rFonts w:hint="eastAsia" w:ascii="宋体" w:hAnsi="宋体" w:eastAsia="宋体" w:cstheme="minorBidi"/>
                <w:color w:val="auto"/>
                <w:kern w:val="2"/>
                <w:sz w:val="21"/>
                <w:szCs w:val="22"/>
                <w:lang w:val="en-US" w:eastAsia="zh-CN" w:bidi="ar-SA"/>
              </w:rPr>
            </w:pPr>
            <w:r>
              <w:rPr>
                <w:rFonts w:hint="eastAsia"/>
                <w:color w:val="auto"/>
                <w:lang w:val="en-US" w:eastAsia="zh-CN"/>
              </w:rPr>
              <w:t>——</w:t>
            </w:r>
            <w:r>
              <w:rPr>
                <w:rFonts w:hint="eastAsia"/>
                <w:color w:val="auto"/>
                <w:lang w:eastAsia="zh-CN"/>
              </w:rPr>
              <w:t>溜井卸矿口应设置格筛、防坠梁、车挡等防坠设施。车挡的高度不小于运输设备车轮轮胎直径的1/3。</w:t>
            </w:r>
          </w:p>
        </w:tc>
        <w:tc>
          <w:tcPr>
            <w:tcW w:w="1273" w:type="pct"/>
            <w:tcBorders>
              <w:tl2br w:val="nil"/>
              <w:tr2bl w:val="nil"/>
            </w:tcBorders>
            <w:shd w:val="clear" w:color="auto" w:fill="auto"/>
            <w:vAlign w:val="center"/>
          </w:tcPr>
          <w:p w14:paraId="223607EE">
            <w:pPr>
              <w:pStyle w:val="34"/>
              <w:keepNext w:val="0"/>
              <w:keepLines w:val="0"/>
              <w:suppressLineNumbers w:val="0"/>
              <w:spacing w:before="0" w:beforeAutospacing="0" w:after="0" w:afterAutospacing="0"/>
              <w:ind w:left="0" w:right="0" w:firstLine="0" w:firstLineChars="0"/>
              <w:jc w:val="center"/>
              <w:rPr>
                <w:rFonts w:hint="eastAsia" w:ascii="宋体" w:hAnsi="宋体" w:eastAsia="宋体"/>
                <w:color w:val="auto"/>
                <w:lang w:eastAsia="zh-CN"/>
              </w:rPr>
            </w:pPr>
            <w:r>
              <w:rPr>
                <w:rFonts w:hint="eastAsia" w:ascii="宋体" w:hAnsi="宋体" w:eastAsia="宋体"/>
                <w:color w:val="auto"/>
                <w:lang w:eastAsia="zh-CN"/>
              </w:rPr>
              <w:t>《金属非金属矿山安全规程》(GB</w:t>
            </w:r>
            <w:r>
              <w:rPr>
                <w:rFonts w:hint="eastAsia" w:ascii="宋体" w:hAnsi="宋体" w:eastAsia="宋体"/>
                <w:color w:val="auto"/>
                <w:lang w:val="en-US" w:eastAsia="zh-CN"/>
              </w:rPr>
              <w:t>1</w:t>
            </w:r>
            <w:r>
              <w:rPr>
                <w:rFonts w:hint="eastAsia" w:ascii="宋体" w:hAnsi="宋体" w:eastAsia="宋体"/>
                <w:color w:val="auto"/>
                <w:lang w:eastAsia="zh-CN"/>
              </w:rPr>
              <w:t>6423-2020)</w:t>
            </w:r>
          </w:p>
          <w:p w14:paraId="70D8C9A9">
            <w:pPr>
              <w:pStyle w:val="34"/>
              <w:keepNext w:val="0"/>
              <w:keepLines w:val="0"/>
              <w:suppressLineNumbers w:val="0"/>
              <w:spacing w:before="0" w:beforeAutospacing="0" w:after="0" w:afterAutospacing="0"/>
              <w:ind w:left="0" w:right="0" w:firstLine="0" w:firstLineChars="0"/>
              <w:jc w:val="center"/>
              <w:rPr>
                <w:rFonts w:hint="eastAsia" w:ascii="宋体" w:hAnsi="宋体" w:eastAsia="宋体"/>
                <w:color w:val="auto"/>
                <w:lang w:val="en-US" w:eastAsia="zh-CN"/>
              </w:rPr>
            </w:pPr>
            <w:r>
              <w:rPr>
                <w:rFonts w:hint="eastAsia" w:ascii="宋体" w:hAnsi="宋体" w:eastAsia="宋体"/>
                <w:color w:val="auto"/>
                <w:lang w:val="en-US" w:eastAsia="zh-CN"/>
              </w:rPr>
              <w:t>第</w:t>
            </w:r>
            <w:r>
              <w:rPr>
                <w:rFonts w:hint="eastAsia" w:ascii="宋体" w:hAnsi="宋体" w:eastAsia="宋体"/>
                <w:color w:val="auto"/>
              </w:rPr>
              <w:t>6</w:t>
            </w:r>
            <w:r>
              <w:rPr>
                <w:rFonts w:hint="eastAsia" w:ascii="宋体" w:hAnsi="宋体" w:eastAsia="宋体"/>
                <w:color w:val="auto"/>
                <w:lang w:val="en-US" w:eastAsia="zh-CN"/>
              </w:rPr>
              <w:t>.</w:t>
            </w:r>
            <w:r>
              <w:rPr>
                <w:rFonts w:hint="eastAsia" w:ascii="宋体" w:hAnsi="宋体" w:eastAsia="宋体"/>
                <w:color w:val="auto"/>
                <w:lang w:eastAsia="zh-CN"/>
              </w:rPr>
              <w:t>3.</w:t>
            </w:r>
            <w:r>
              <w:rPr>
                <w:rFonts w:hint="eastAsia" w:ascii="宋体" w:hAnsi="宋体" w:eastAsia="宋体"/>
                <w:color w:val="auto"/>
              </w:rPr>
              <w:t>4.4</w:t>
            </w:r>
            <w:r>
              <w:rPr>
                <w:rFonts w:hint="eastAsia" w:ascii="宋体" w:hAnsi="宋体" w:eastAsia="宋体"/>
                <w:color w:val="auto"/>
                <w:lang w:val="en-US" w:eastAsia="zh-CN"/>
              </w:rPr>
              <w:t>条</w:t>
            </w:r>
          </w:p>
        </w:tc>
        <w:tc>
          <w:tcPr>
            <w:tcW w:w="1363" w:type="pct"/>
            <w:tcBorders>
              <w:tl2br w:val="nil"/>
              <w:tr2bl w:val="nil"/>
            </w:tcBorders>
            <w:shd w:val="clear" w:color="auto" w:fill="auto"/>
            <w:vAlign w:val="center"/>
          </w:tcPr>
          <w:p w14:paraId="3E3E052E">
            <w:pPr>
              <w:pStyle w:val="34"/>
              <w:keepNext w:val="0"/>
              <w:keepLines w:val="0"/>
              <w:suppressLineNumbers w:val="0"/>
              <w:spacing w:before="0" w:beforeAutospacing="0" w:after="0" w:afterAutospacing="0"/>
              <w:ind w:left="0" w:right="0" w:firstLine="0" w:firstLineChars="0"/>
              <w:rPr>
                <w:rFonts w:hint="default" w:ascii="宋体" w:hAnsi="宋体" w:eastAsia="宋体" w:cstheme="minorBidi"/>
                <w:color w:val="auto"/>
                <w:kern w:val="2"/>
                <w:sz w:val="21"/>
                <w:szCs w:val="22"/>
                <w:lang w:val="en-US" w:eastAsia="zh-CN" w:bidi="ar-SA"/>
              </w:rPr>
            </w:pPr>
            <w:r>
              <w:rPr>
                <w:rFonts w:hint="eastAsia"/>
                <w:color w:val="auto"/>
                <w:lang w:val="en-US" w:eastAsia="zh-CN"/>
              </w:rPr>
              <w:t>无轨设备至巷道顶板距离不小于0.6m；每隔200m设置一个错车道和缓坡段；斜坡道坡度10%。可研中未明确缓坡段坡度、长度要求</w:t>
            </w:r>
            <w:r>
              <w:rPr>
                <w:rFonts w:hint="eastAsia"/>
                <w:color w:val="auto"/>
                <w:lang w:eastAsia="zh-CN"/>
              </w:rPr>
              <w:t>。</w:t>
            </w:r>
          </w:p>
        </w:tc>
        <w:tc>
          <w:tcPr>
            <w:tcW w:w="341" w:type="pct"/>
            <w:tcBorders>
              <w:tl2br w:val="nil"/>
              <w:tr2bl w:val="nil"/>
            </w:tcBorders>
            <w:shd w:val="clear" w:color="auto" w:fill="auto"/>
            <w:vAlign w:val="center"/>
          </w:tcPr>
          <w:p w14:paraId="2DEAC249">
            <w:pPr>
              <w:pStyle w:val="34"/>
              <w:keepNext w:val="0"/>
              <w:keepLines w:val="0"/>
              <w:suppressLineNumbers w:val="0"/>
              <w:spacing w:before="0" w:beforeAutospacing="0" w:after="0" w:afterAutospacing="0"/>
              <w:ind w:left="0" w:right="0" w:firstLine="0" w:firstLineChars="0"/>
              <w:rPr>
                <w:rFonts w:hint="eastAsia" w:ascii="宋体" w:hAnsi="宋体" w:eastAsia="宋体" w:cstheme="minorBidi"/>
                <w:color w:val="auto"/>
                <w:kern w:val="2"/>
                <w:sz w:val="21"/>
                <w:szCs w:val="22"/>
                <w:lang w:val="en-US" w:eastAsia="zh-CN" w:bidi="ar-SA"/>
              </w:rPr>
            </w:pPr>
            <w:r>
              <w:rPr>
                <w:rFonts w:hint="eastAsia"/>
                <w:color w:val="auto"/>
                <w:lang w:val="en-US" w:eastAsia="zh-CN"/>
              </w:rPr>
              <w:t>不</w:t>
            </w:r>
            <w:r>
              <w:rPr>
                <w:rFonts w:hint="eastAsia"/>
                <w:color w:val="auto"/>
              </w:rPr>
              <w:t>符合</w:t>
            </w:r>
          </w:p>
        </w:tc>
      </w:tr>
      <w:tr w14:paraId="5BDB99A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96" w:hRule="atLeast"/>
          <w:jc w:val="center"/>
        </w:trPr>
        <w:tc>
          <w:tcPr>
            <w:tcW w:w="354" w:type="pct"/>
            <w:tcBorders>
              <w:tl2br w:val="nil"/>
              <w:tr2bl w:val="nil"/>
            </w:tcBorders>
            <w:vAlign w:val="center"/>
          </w:tcPr>
          <w:p w14:paraId="184B21C4">
            <w:pPr>
              <w:keepNext w:val="0"/>
              <w:keepLines w:val="0"/>
              <w:suppressLineNumbers w:val="0"/>
              <w:tabs>
                <w:tab w:val="left" w:pos="7080"/>
              </w:tabs>
              <w:spacing w:before="0" w:beforeAutospacing="0" w:after="0" w:afterAutospacing="0" w:line="300" w:lineRule="exact"/>
              <w:ind w:left="0" w:right="0" w:firstLine="0" w:firstLineChars="0"/>
              <w:jc w:val="center"/>
              <w:rPr>
                <w:rFonts w:hint="eastAsia" w:hAnsi="宋体" w:eastAsia="宋体"/>
                <w:color w:val="auto"/>
                <w:sz w:val="21"/>
                <w:szCs w:val="21"/>
                <w:lang w:val="en-US" w:eastAsia="zh-CN"/>
              </w:rPr>
            </w:pPr>
            <w:r>
              <w:rPr>
                <w:rFonts w:hint="eastAsia"/>
                <w:color w:val="auto"/>
                <w:sz w:val="21"/>
                <w:szCs w:val="21"/>
                <w:lang w:val="en-US" w:eastAsia="zh-CN"/>
              </w:rPr>
              <w:t>5</w:t>
            </w:r>
          </w:p>
        </w:tc>
        <w:tc>
          <w:tcPr>
            <w:tcW w:w="1666" w:type="pct"/>
            <w:tcBorders>
              <w:tl2br w:val="nil"/>
              <w:tr2bl w:val="nil"/>
            </w:tcBorders>
            <w:shd w:val="clear" w:color="auto" w:fill="auto"/>
            <w:vAlign w:val="center"/>
          </w:tcPr>
          <w:p w14:paraId="3E4F6C7B">
            <w:pPr>
              <w:pStyle w:val="34"/>
              <w:keepNext w:val="0"/>
              <w:keepLines w:val="0"/>
              <w:suppressLineNumbers w:val="0"/>
              <w:spacing w:before="0" w:beforeAutospacing="0" w:after="0" w:afterAutospacing="0"/>
              <w:ind w:left="0" w:right="0"/>
              <w:rPr>
                <w:rFonts w:hint="eastAsia"/>
                <w:color w:val="auto"/>
                <w:lang w:eastAsia="zh-CN"/>
              </w:rPr>
            </w:pPr>
            <w:r>
              <w:rPr>
                <w:rFonts w:hint="eastAsia"/>
                <w:color w:val="auto"/>
                <w:lang w:eastAsia="zh-CN"/>
              </w:rPr>
              <w:t>无轨设备运行应遵守下列规定：</w:t>
            </w:r>
            <w:r>
              <w:rPr>
                <w:rFonts w:hint="eastAsia"/>
                <w:color w:val="auto"/>
                <w:lang w:val="en-US" w:eastAsia="zh-CN"/>
              </w:rPr>
              <w:t>——</w:t>
            </w:r>
            <w:r>
              <w:rPr>
                <w:rFonts w:hint="eastAsia"/>
                <w:color w:val="auto"/>
                <w:lang w:eastAsia="zh-CN"/>
              </w:rPr>
              <w:t>不超载；</w:t>
            </w:r>
          </w:p>
          <w:p w14:paraId="28E909B6">
            <w:pPr>
              <w:pStyle w:val="34"/>
              <w:keepNext w:val="0"/>
              <w:keepLines w:val="0"/>
              <w:suppressLineNumbers w:val="0"/>
              <w:spacing w:before="0" w:beforeAutospacing="0" w:after="0" w:afterAutospacing="0"/>
              <w:ind w:left="0" w:right="0"/>
              <w:rPr>
                <w:rFonts w:hint="eastAsia"/>
                <w:color w:val="auto"/>
                <w:lang w:eastAsia="zh-CN"/>
              </w:rPr>
            </w:pPr>
            <w:r>
              <w:rPr>
                <w:rFonts w:hint="eastAsia"/>
                <w:color w:val="auto"/>
                <w:lang w:val="en-US" w:eastAsia="zh-CN"/>
              </w:rPr>
              <w:t>——</w:t>
            </w:r>
            <w:r>
              <w:rPr>
                <w:rFonts w:hint="eastAsia"/>
                <w:color w:val="auto"/>
                <w:lang w:eastAsia="zh-CN"/>
              </w:rPr>
              <w:t>不</w:t>
            </w:r>
            <w:r>
              <w:rPr>
                <w:rFonts w:hint="eastAsia"/>
                <w:color w:val="auto"/>
                <w:lang w:val="en-US" w:eastAsia="zh-CN"/>
              </w:rPr>
              <w:t>熄火</w:t>
            </w:r>
            <w:r>
              <w:rPr>
                <w:rFonts w:hint="eastAsia"/>
                <w:color w:val="auto"/>
                <w:lang w:eastAsia="zh-CN"/>
              </w:rPr>
              <w:t>下滑；
</w:t>
            </w:r>
          </w:p>
          <w:p w14:paraId="2C4CF0C5">
            <w:pPr>
              <w:pStyle w:val="34"/>
              <w:keepNext w:val="0"/>
              <w:keepLines w:val="0"/>
              <w:suppressLineNumbers w:val="0"/>
              <w:spacing w:before="0" w:beforeAutospacing="0" w:after="0" w:afterAutospacing="0"/>
              <w:ind w:left="0" w:right="0"/>
              <w:rPr>
                <w:rFonts w:hint="eastAsia"/>
                <w:color w:val="auto"/>
                <w:lang w:eastAsia="zh-CN"/>
              </w:rPr>
            </w:pPr>
            <w:r>
              <w:rPr>
                <w:rFonts w:hint="eastAsia"/>
                <w:color w:val="auto"/>
                <w:lang w:val="en-US" w:eastAsia="zh-CN"/>
              </w:rPr>
              <w:t>——</w:t>
            </w:r>
            <w:r>
              <w:rPr>
                <w:rFonts w:hint="eastAsia"/>
                <w:color w:val="auto"/>
                <w:lang w:eastAsia="zh-CN"/>
              </w:rPr>
              <w:t>避让行人；
</w:t>
            </w:r>
          </w:p>
          <w:p w14:paraId="5B299FBD">
            <w:pPr>
              <w:pStyle w:val="34"/>
              <w:keepNext w:val="0"/>
              <w:keepLines w:val="0"/>
              <w:suppressLineNumbers w:val="0"/>
              <w:spacing w:before="0" w:beforeAutospacing="0" w:after="0" w:afterAutospacing="0"/>
              <w:ind w:left="0" w:right="0"/>
              <w:rPr>
                <w:rFonts w:hint="eastAsia"/>
                <w:color w:val="auto"/>
                <w:lang w:eastAsia="zh-CN"/>
              </w:rPr>
            </w:pPr>
            <w:r>
              <w:rPr>
                <w:rFonts w:hint="eastAsia"/>
                <w:color w:val="auto"/>
                <w:lang w:val="en-US" w:eastAsia="zh-CN"/>
              </w:rPr>
              <w:t>——</w:t>
            </w:r>
            <w:r>
              <w:rPr>
                <w:rFonts w:hint="eastAsia"/>
                <w:color w:val="auto"/>
                <w:lang w:eastAsia="zh-CN"/>
              </w:rPr>
              <w:t>不站在铲斗内作业；</w:t>
            </w:r>
          </w:p>
          <w:p w14:paraId="68B5BA40">
            <w:pPr>
              <w:pStyle w:val="34"/>
              <w:keepNext w:val="0"/>
              <w:keepLines w:val="0"/>
              <w:suppressLineNumbers w:val="0"/>
              <w:spacing w:before="0" w:beforeAutospacing="0" w:after="0" w:afterAutospacing="0"/>
              <w:ind w:left="0" w:right="0"/>
              <w:rPr>
                <w:rFonts w:hint="eastAsia"/>
                <w:color w:val="auto"/>
                <w:lang w:eastAsia="zh-CN"/>
              </w:rPr>
            </w:pPr>
            <w:r>
              <w:rPr>
                <w:rFonts w:hint="eastAsia"/>
                <w:color w:val="auto"/>
                <w:lang w:val="en-US" w:eastAsia="zh-CN"/>
              </w:rPr>
              <w:t>——</w:t>
            </w:r>
            <w:r>
              <w:rPr>
                <w:rFonts w:hint="eastAsia"/>
                <w:color w:val="auto"/>
                <w:lang w:eastAsia="zh-CN"/>
              </w:rPr>
              <w:t>不在设备的工作臂、升举的铲斗下方停留；
</w:t>
            </w:r>
          </w:p>
          <w:p w14:paraId="23B73F99">
            <w:pPr>
              <w:pStyle w:val="34"/>
              <w:keepNext w:val="0"/>
              <w:keepLines w:val="0"/>
              <w:suppressLineNumbers w:val="0"/>
              <w:spacing w:before="0" w:beforeAutospacing="0" w:after="0" w:afterAutospacing="0"/>
              <w:ind w:left="0" w:right="0"/>
              <w:rPr>
                <w:rFonts w:hint="eastAsia"/>
                <w:color w:val="auto"/>
                <w:lang w:eastAsia="zh-CN"/>
              </w:rPr>
            </w:pPr>
            <w:r>
              <w:rPr>
                <w:rFonts w:hint="eastAsia"/>
                <w:color w:val="auto"/>
                <w:lang w:val="en-US" w:eastAsia="zh-CN"/>
              </w:rPr>
              <w:t>——</w:t>
            </w:r>
            <w:r>
              <w:rPr>
                <w:rFonts w:hint="eastAsia"/>
                <w:color w:val="auto"/>
                <w:lang w:eastAsia="zh-CN"/>
              </w:rPr>
              <w:t>不从设备的工作臂、升举的铲斗下方通过；
</w:t>
            </w:r>
          </w:p>
          <w:p w14:paraId="72A86083">
            <w:pPr>
              <w:pStyle w:val="34"/>
              <w:keepNext w:val="0"/>
              <w:keepLines w:val="0"/>
              <w:suppressLineNumbers w:val="0"/>
              <w:spacing w:before="0" w:beforeAutospacing="0" w:after="0" w:afterAutospacing="0"/>
              <w:ind w:left="0" w:right="0"/>
              <w:rPr>
                <w:rFonts w:hint="eastAsia"/>
                <w:color w:val="auto"/>
                <w:lang w:eastAsia="zh-CN"/>
              </w:rPr>
            </w:pPr>
            <w:r>
              <w:rPr>
                <w:rFonts w:hint="eastAsia"/>
                <w:color w:val="auto"/>
                <w:lang w:val="en-US" w:eastAsia="zh-CN"/>
              </w:rPr>
              <w:t>——</w:t>
            </w:r>
            <w:r>
              <w:rPr>
                <w:rFonts w:hint="eastAsia"/>
                <w:color w:val="auto"/>
                <w:lang w:eastAsia="zh-CN"/>
              </w:rPr>
              <w:t>车辆间距不小于50m；
</w:t>
            </w:r>
          </w:p>
          <w:p w14:paraId="178AC71C">
            <w:pPr>
              <w:pStyle w:val="34"/>
              <w:keepNext w:val="0"/>
              <w:keepLines w:val="0"/>
              <w:suppressLineNumbers w:val="0"/>
              <w:spacing w:before="0" w:beforeAutospacing="0" w:after="0" w:afterAutospacing="0"/>
              <w:ind w:left="0" w:right="0"/>
              <w:rPr>
                <w:rFonts w:hint="eastAsia"/>
                <w:color w:val="auto"/>
                <w:lang w:eastAsia="zh-CN"/>
              </w:rPr>
            </w:pPr>
            <w:r>
              <w:rPr>
                <w:rFonts w:hint="eastAsia"/>
                <w:color w:val="auto"/>
                <w:lang w:val="en-US" w:eastAsia="zh-CN"/>
              </w:rPr>
              <w:t>——</w:t>
            </w:r>
            <w:r>
              <w:rPr>
                <w:rFonts w:hint="eastAsia"/>
                <w:color w:val="auto"/>
                <w:lang w:eastAsia="zh-CN"/>
              </w:rPr>
              <w:t>在斜坡道上停车时采取可靠的挡车</w:t>
            </w:r>
            <w:r>
              <w:rPr>
                <w:rFonts w:hint="eastAsia"/>
                <w:color w:val="auto"/>
                <w:lang w:val="en-US" w:eastAsia="zh-CN"/>
              </w:rPr>
              <w:t>措施</w:t>
            </w:r>
            <w:r>
              <w:rPr>
                <w:rFonts w:hint="eastAsia"/>
                <w:color w:val="auto"/>
                <w:lang w:eastAsia="zh-CN"/>
              </w:rPr>
              <w:t>；</w:t>
            </w:r>
          </w:p>
          <w:p w14:paraId="1154CA63">
            <w:pPr>
              <w:pStyle w:val="34"/>
              <w:keepNext w:val="0"/>
              <w:keepLines w:val="0"/>
              <w:suppressLineNumbers w:val="0"/>
              <w:spacing w:before="0" w:beforeAutospacing="0" w:after="0" w:afterAutospacing="0"/>
              <w:ind w:left="0" w:right="0"/>
              <w:rPr>
                <w:rFonts w:hint="eastAsia"/>
                <w:color w:val="auto"/>
                <w:lang w:eastAsia="zh-CN"/>
              </w:rPr>
            </w:pPr>
            <w:r>
              <w:rPr>
                <w:rFonts w:hint="eastAsia"/>
                <w:color w:val="auto"/>
                <w:lang w:val="en-US" w:eastAsia="zh-CN"/>
              </w:rPr>
              <w:t>——</w:t>
            </w:r>
            <w:r>
              <w:rPr>
                <w:rFonts w:hint="eastAsia"/>
                <w:color w:val="auto"/>
                <w:lang w:eastAsia="zh-CN"/>
              </w:rPr>
              <w:t>司机离开前停车制动并</w:t>
            </w:r>
            <w:r>
              <w:rPr>
                <w:rFonts w:hint="eastAsia"/>
                <w:color w:val="auto"/>
                <w:lang w:val="en-US" w:eastAsia="zh-CN"/>
              </w:rPr>
              <w:t>熄</w:t>
            </w:r>
            <w:r>
              <w:rPr>
                <w:rFonts w:hint="eastAsia"/>
                <w:color w:val="auto"/>
                <w:lang w:eastAsia="zh-CN"/>
              </w:rPr>
              <w:t>灭柴油发动机、切断电动设备电源；</w:t>
            </w:r>
          </w:p>
          <w:p w14:paraId="642B01C7">
            <w:pPr>
              <w:pStyle w:val="34"/>
              <w:keepNext w:val="0"/>
              <w:keepLines w:val="0"/>
              <w:suppressLineNumbers w:val="0"/>
              <w:spacing w:before="0" w:beforeAutospacing="0" w:after="0" w:afterAutospacing="0"/>
              <w:ind w:left="0" w:right="0" w:firstLine="0" w:firstLineChars="0"/>
              <w:rPr>
                <w:rFonts w:hint="eastAsia" w:ascii="宋体" w:hAnsi="宋体" w:eastAsia="宋体" w:cstheme="minorBidi"/>
                <w:color w:val="auto"/>
                <w:kern w:val="2"/>
                <w:sz w:val="21"/>
                <w:szCs w:val="22"/>
                <w:lang w:val="en-US" w:eastAsia="zh-CN" w:bidi="ar-SA"/>
              </w:rPr>
            </w:pPr>
            <w:r>
              <w:rPr>
                <w:rFonts w:hint="eastAsia"/>
                <w:color w:val="auto"/>
                <w:lang w:val="en-US" w:eastAsia="zh-CN"/>
              </w:rPr>
              <w:t>——</w:t>
            </w:r>
            <w:r>
              <w:rPr>
                <w:rFonts w:hint="eastAsia"/>
                <w:color w:val="auto"/>
                <w:lang w:eastAsia="zh-CN"/>
              </w:rPr>
              <w:t>维修前柴油设备</w:t>
            </w:r>
            <w:r>
              <w:rPr>
                <w:rFonts w:hint="eastAsia"/>
                <w:color w:val="auto"/>
                <w:lang w:val="en-US" w:eastAsia="zh-CN"/>
              </w:rPr>
              <w:t>熄</w:t>
            </w:r>
            <w:r>
              <w:rPr>
                <w:rFonts w:hint="eastAsia"/>
                <w:color w:val="auto"/>
                <w:lang w:eastAsia="zh-CN"/>
              </w:rPr>
              <w:t>火，切断电动设备电源。</w:t>
            </w:r>
          </w:p>
        </w:tc>
        <w:tc>
          <w:tcPr>
            <w:tcW w:w="1273" w:type="pct"/>
            <w:tcBorders>
              <w:tl2br w:val="nil"/>
              <w:tr2bl w:val="nil"/>
            </w:tcBorders>
            <w:shd w:val="clear" w:color="auto" w:fill="auto"/>
            <w:vAlign w:val="center"/>
          </w:tcPr>
          <w:p w14:paraId="37EAEBAA">
            <w:pPr>
              <w:pStyle w:val="34"/>
              <w:keepNext w:val="0"/>
              <w:keepLines w:val="0"/>
              <w:suppressLineNumbers w:val="0"/>
              <w:spacing w:before="0" w:beforeAutospacing="0" w:after="0" w:afterAutospacing="0"/>
              <w:ind w:left="0" w:right="0" w:firstLine="0" w:firstLineChars="0"/>
              <w:jc w:val="center"/>
              <w:rPr>
                <w:rFonts w:hint="eastAsia" w:ascii="宋体" w:hAnsi="宋体" w:eastAsia="宋体"/>
                <w:color w:val="auto"/>
                <w:lang w:eastAsia="zh-CN"/>
              </w:rPr>
            </w:pPr>
            <w:r>
              <w:rPr>
                <w:rFonts w:hint="eastAsia" w:ascii="宋体" w:hAnsi="宋体" w:eastAsia="宋体"/>
                <w:color w:val="auto"/>
                <w:lang w:eastAsia="zh-CN"/>
              </w:rPr>
              <w:t>《金属非金属矿山安全规程》(GB</w:t>
            </w:r>
            <w:r>
              <w:rPr>
                <w:rFonts w:hint="eastAsia" w:ascii="宋体" w:hAnsi="宋体" w:eastAsia="宋体"/>
                <w:color w:val="auto"/>
                <w:lang w:val="en-US" w:eastAsia="zh-CN"/>
              </w:rPr>
              <w:t>1</w:t>
            </w:r>
            <w:r>
              <w:rPr>
                <w:rFonts w:hint="eastAsia" w:ascii="宋体" w:hAnsi="宋体" w:eastAsia="宋体"/>
                <w:color w:val="auto"/>
                <w:lang w:eastAsia="zh-CN"/>
              </w:rPr>
              <w:t>6423-2020)</w:t>
            </w:r>
          </w:p>
          <w:p w14:paraId="3C4409D2">
            <w:pPr>
              <w:pStyle w:val="34"/>
              <w:keepNext w:val="0"/>
              <w:keepLines w:val="0"/>
              <w:suppressLineNumbers w:val="0"/>
              <w:spacing w:before="0" w:beforeAutospacing="0" w:after="0" w:afterAutospacing="0"/>
              <w:ind w:left="0" w:right="0" w:firstLine="0" w:firstLineChars="0"/>
              <w:jc w:val="center"/>
              <w:rPr>
                <w:rFonts w:hint="default" w:ascii="宋体" w:hAnsi="宋体" w:eastAsia="宋体"/>
                <w:color w:val="auto"/>
                <w:lang w:val="en-US" w:eastAsia="zh-CN"/>
              </w:rPr>
            </w:pPr>
            <w:r>
              <w:rPr>
                <w:rFonts w:hint="eastAsia" w:ascii="宋体" w:hAnsi="宋体" w:eastAsia="宋体"/>
                <w:color w:val="auto"/>
                <w:lang w:val="en-US" w:eastAsia="zh-CN"/>
              </w:rPr>
              <w:t>第</w:t>
            </w:r>
            <w:r>
              <w:rPr>
                <w:rFonts w:hint="eastAsia" w:ascii="宋体" w:hAnsi="宋体" w:eastAsia="宋体"/>
                <w:color w:val="auto"/>
                <w:lang w:eastAsia="zh-CN"/>
              </w:rPr>
              <w:t>6</w:t>
            </w:r>
            <w:r>
              <w:rPr>
                <w:rFonts w:hint="eastAsia" w:ascii="宋体" w:hAnsi="宋体" w:eastAsia="宋体"/>
                <w:color w:val="auto"/>
                <w:lang w:val="en-US" w:eastAsia="zh-CN"/>
              </w:rPr>
              <w:t>.</w:t>
            </w:r>
            <w:r>
              <w:rPr>
                <w:rFonts w:hint="eastAsia" w:ascii="宋体" w:hAnsi="宋体" w:eastAsia="宋体"/>
                <w:color w:val="auto"/>
                <w:lang w:eastAsia="zh-CN"/>
              </w:rPr>
              <w:t>3.4.5</w:t>
            </w:r>
            <w:r>
              <w:rPr>
                <w:rFonts w:hint="eastAsia" w:ascii="宋体" w:hAnsi="宋体" w:eastAsia="宋体"/>
                <w:color w:val="auto"/>
                <w:lang w:val="en-US" w:eastAsia="zh-CN"/>
              </w:rPr>
              <w:t>条</w:t>
            </w:r>
          </w:p>
        </w:tc>
        <w:tc>
          <w:tcPr>
            <w:tcW w:w="1363" w:type="pct"/>
            <w:tcBorders>
              <w:tl2br w:val="nil"/>
              <w:tr2bl w:val="nil"/>
            </w:tcBorders>
            <w:shd w:val="clear" w:color="auto" w:fill="auto"/>
            <w:vAlign w:val="center"/>
          </w:tcPr>
          <w:p w14:paraId="1F43091B">
            <w:pPr>
              <w:pStyle w:val="34"/>
              <w:keepNext w:val="0"/>
              <w:keepLines w:val="0"/>
              <w:suppressLineNumbers w:val="0"/>
              <w:spacing w:before="0" w:beforeAutospacing="0" w:after="0" w:afterAutospacing="0"/>
              <w:ind w:left="0" w:right="0" w:firstLine="0" w:firstLineChars="0"/>
              <w:rPr>
                <w:rFonts w:hint="eastAsia" w:ascii="宋体" w:hAnsi="宋体" w:eastAsia="宋体" w:cstheme="minorBidi"/>
                <w:color w:val="auto"/>
                <w:kern w:val="2"/>
                <w:sz w:val="21"/>
                <w:szCs w:val="22"/>
                <w:lang w:val="en-US" w:eastAsia="zh-CN" w:bidi="ar-SA"/>
              </w:rPr>
            </w:pPr>
            <w:r>
              <w:rPr>
                <w:rFonts w:hint="eastAsia"/>
                <w:color w:val="auto"/>
                <w:lang w:val="en-US" w:eastAsia="zh-CN"/>
              </w:rPr>
              <w:t>可研中未明确运行时无轨设备管理要求</w:t>
            </w:r>
            <w:r>
              <w:rPr>
                <w:rFonts w:hint="eastAsia"/>
                <w:color w:val="auto"/>
                <w:lang w:eastAsia="zh-CN"/>
              </w:rPr>
              <w:t>。</w:t>
            </w:r>
          </w:p>
        </w:tc>
        <w:tc>
          <w:tcPr>
            <w:tcW w:w="341" w:type="pct"/>
            <w:tcBorders>
              <w:tl2br w:val="nil"/>
              <w:tr2bl w:val="nil"/>
            </w:tcBorders>
            <w:shd w:val="clear" w:color="auto" w:fill="auto"/>
            <w:vAlign w:val="center"/>
          </w:tcPr>
          <w:p w14:paraId="08A2A330">
            <w:pPr>
              <w:pStyle w:val="34"/>
              <w:keepNext w:val="0"/>
              <w:keepLines w:val="0"/>
              <w:suppressLineNumbers w:val="0"/>
              <w:spacing w:before="0" w:beforeAutospacing="0" w:after="0" w:afterAutospacing="0"/>
              <w:ind w:left="0" w:right="0" w:firstLine="0" w:firstLineChars="0"/>
              <w:rPr>
                <w:rFonts w:hint="eastAsia" w:ascii="宋体" w:hAnsi="宋体" w:eastAsia="宋体" w:cstheme="minorBidi"/>
                <w:color w:val="auto"/>
                <w:kern w:val="2"/>
                <w:sz w:val="21"/>
                <w:szCs w:val="22"/>
                <w:lang w:val="en-US" w:eastAsia="zh-CN" w:bidi="ar-SA"/>
              </w:rPr>
            </w:pPr>
            <w:r>
              <w:rPr>
                <w:rFonts w:hint="eastAsia"/>
                <w:color w:val="auto"/>
                <w:lang w:val="en-US" w:eastAsia="zh-CN"/>
              </w:rPr>
              <w:t>不</w:t>
            </w:r>
            <w:r>
              <w:rPr>
                <w:rFonts w:hint="eastAsia"/>
                <w:color w:val="auto"/>
              </w:rPr>
              <w:t>符合</w:t>
            </w:r>
          </w:p>
        </w:tc>
      </w:tr>
    </w:tbl>
    <w:p w14:paraId="6CA4CF93">
      <w:pPr>
        <w:keepNext w:val="0"/>
        <w:keepLines w:val="0"/>
        <w:pageBreakBefore w:val="0"/>
        <w:widowControl w:val="0"/>
        <w:kinsoku/>
        <w:wordWrap/>
        <w:overflowPunct/>
        <w:topLinePunct w:val="0"/>
        <w:autoSpaceDE/>
        <w:autoSpaceDN/>
        <w:bidi w:val="0"/>
        <w:spacing w:line="520" w:lineRule="exact"/>
        <w:ind w:firstLine="560" w:firstLineChars="200"/>
        <w:textAlignment w:val="auto"/>
        <w:rPr>
          <w:rFonts w:hint="eastAsia" w:hAnsi="宋体" w:cs="宋体"/>
          <w:snapToGrid w:val="0"/>
          <w:color w:val="auto"/>
          <w:szCs w:val="22"/>
          <w:lang w:val="en-US" w:eastAsia="zh-CN"/>
        </w:rPr>
      </w:pPr>
      <w:r>
        <w:rPr>
          <w:rFonts w:hint="eastAsia" w:hAnsi="宋体" w:cs="宋体"/>
          <w:snapToGrid w:val="0"/>
          <w:color w:val="auto"/>
          <w:szCs w:val="22"/>
        </w:rPr>
        <w:t>本单元通过安全检查表法共检查</w:t>
      </w:r>
      <w:r>
        <w:rPr>
          <w:rFonts w:hint="eastAsia" w:cs="宋体"/>
          <w:snapToGrid w:val="0"/>
          <w:color w:val="auto"/>
          <w:szCs w:val="22"/>
          <w:lang w:val="en-US" w:eastAsia="zh-CN"/>
        </w:rPr>
        <w:t>5</w:t>
      </w:r>
      <w:r>
        <w:rPr>
          <w:rFonts w:hint="eastAsia" w:hAnsi="宋体" w:cs="宋体"/>
          <w:snapToGrid w:val="0"/>
          <w:color w:val="auto"/>
          <w:szCs w:val="22"/>
        </w:rPr>
        <w:t>项，</w:t>
      </w:r>
      <w:r>
        <w:rPr>
          <w:rFonts w:hint="eastAsia" w:cs="宋体"/>
          <w:snapToGrid w:val="0"/>
          <w:color w:val="auto"/>
          <w:szCs w:val="22"/>
          <w:lang w:val="en-US" w:eastAsia="zh-CN"/>
        </w:rPr>
        <w:t>3项不</w:t>
      </w:r>
      <w:r>
        <w:rPr>
          <w:rFonts w:hint="eastAsia" w:hAnsi="宋体" w:cs="宋体"/>
          <w:snapToGrid w:val="0"/>
          <w:color w:val="auto"/>
          <w:szCs w:val="22"/>
        </w:rPr>
        <w:t>符合要求。</w:t>
      </w:r>
      <w:r>
        <w:rPr>
          <w:rFonts w:hint="eastAsia" w:hAnsi="宋体" w:cs="宋体"/>
          <w:snapToGrid w:val="0"/>
          <w:color w:val="auto"/>
          <w:szCs w:val="22"/>
          <w:lang w:val="en-US" w:eastAsia="zh-CN"/>
        </w:rPr>
        <w:t>不符合项为：</w:t>
      </w:r>
    </w:p>
    <w:p w14:paraId="686E9669">
      <w:pPr>
        <w:pStyle w:val="32"/>
        <w:keepNext w:val="0"/>
        <w:keepLines w:val="0"/>
        <w:pageBreakBefore w:val="0"/>
        <w:widowControl w:val="0"/>
        <w:kinsoku/>
        <w:wordWrap/>
        <w:overflowPunct/>
        <w:topLinePunct w:val="0"/>
        <w:autoSpaceDE/>
        <w:autoSpaceDN/>
        <w:bidi w:val="0"/>
        <w:spacing w:before="0" w:beforeLines="0" w:line="520" w:lineRule="exact"/>
        <w:ind w:firstLine="560" w:firstLineChars="200"/>
        <w:textAlignment w:val="auto"/>
        <w:rPr>
          <w:rFonts w:hint="eastAsia"/>
          <w:color w:val="auto"/>
          <w:lang w:eastAsia="zh-CN"/>
        </w:rPr>
      </w:pPr>
      <w:r>
        <w:rPr>
          <w:rFonts w:hint="eastAsia"/>
          <w:color w:val="auto"/>
          <w:lang w:val="en-US" w:eastAsia="zh-CN"/>
        </w:rPr>
        <w:t>1.可研中未明确缓坡段的坡度、长度要求</w:t>
      </w:r>
      <w:r>
        <w:rPr>
          <w:rFonts w:hint="eastAsia"/>
          <w:color w:val="auto"/>
          <w:lang w:eastAsia="zh-CN"/>
        </w:rPr>
        <w:t>。</w:t>
      </w:r>
    </w:p>
    <w:p w14:paraId="6F304DEF">
      <w:pPr>
        <w:pStyle w:val="32"/>
        <w:keepNext w:val="0"/>
        <w:keepLines w:val="0"/>
        <w:pageBreakBefore w:val="0"/>
        <w:widowControl w:val="0"/>
        <w:kinsoku/>
        <w:wordWrap/>
        <w:overflowPunct/>
        <w:topLinePunct w:val="0"/>
        <w:autoSpaceDE/>
        <w:autoSpaceDN/>
        <w:bidi w:val="0"/>
        <w:spacing w:before="0" w:beforeLines="0" w:line="520" w:lineRule="exact"/>
        <w:ind w:firstLine="560" w:firstLineChars="200"/>
        <w:textAlignment w:val="auto"/>
        <w:rPr>
          <w:rFonts w:hint="eastAsia"/>
          <w:color w:val="auto"/>
          <w:lang w:eastAsia="zh-CN"/>
        </w:rPr>
      </w:pPr>
      <w:r>
        <w:rPr>
          <w:rFonts w:hint="eastAsia"/>
          <w:color w:val="auto"/>
          <w:lang w:val="en-US" w:eastAsia="zh-CN"/>
        </w:rPr>
        <w:t>2.可研中未明确运行时无轨设备管理要求</w:t>
      </w:r>
      <w:r>
        <w:rPr>
          <w:rFonts w:hint="eastAsia"/>
          <w:color w:val="auto"/>
          <w:lang w:eastAsia="zh-CN"/>
        </w:rPr>
        <w:t>。</w:t>
      </w:r>
    </w:p>
    <w:p w14:paraId="75EC12C0">
      <w:pPr>
        <w:pStyle w:val="32"/>
        <w:keepNext w:val="0"/>
        <w:keepLines w:val="0"/>
        <w:pageBreakBefore w:val="0"/>
        <w:widowControl w:val="0"/>
        <w:kinsoku/>
        <w:wordWrap/>
        <w:overflowPunct/>
        <w:topLinePunct w:val="0"/>
        <w:autoSpaceDE/>
        <w:autoSpaceDN/>
        <w:bidi w:val="0"/>
        <w:spacing w:before="0" w:beforeLines="0" w:line="520" w:lineRule="exact"/>
        <w:ind w:firstLine="560" w:firstLineChars="200"/>
        <w:textAlignment w:val="auto"/>
        <w:rPr>
          <w:rFonts w:hint="default"/>
          <w:color w:val="auto"/>
          <w:lang w:val="en-US" w:eastAsia="zh-CN"/>
        </w:rPr>
      </w:pPr>
      <w:r>
        <w:rPr>
          <w:rFonts w:hint="eastAsia"/>
          <w:color w:val="auto"/>
          <w:lang w:val="en-US" w:eastAsia="zh-CN"/>
        </w:rPr>
        <w:t>3.未明确运输人员、油料的无轨设备要求。</w:t>
      </w:r>
    </w:p>
    <w:p w14:paraId="24FB60AA">
      <w:pPr>
        <w:keepNext/>
        <w:keepLines/>
        <w:tabs>
          <w:tab w:val="left" w:pos="8265"/>
        </w:tabs>
        <w:spacing w:before="120" w:after="120"/>
        <w:ind w:firstLine="0" w:firstLineChars="0"/>
        <w:jc w:val="left"/>
        <w:outlineLvl w:val="2"/>
        <w:rPr>
          <w:rFonts w:ascii="黑体" w:hAnsi="黑体" w:eastAsia="黑体"/>
          <w:bCs/>
          <w:color w:val="auto"/>
          <w:szCs w:val="28"/>
        </w:rPr>
      </w:pPr>
      <w:r>
        <w:rPr>
          <w:rFonts w:hint="eastAsia" w:ascii="黑体" w:hAnsi="黑体" w:eastAsia="黑体"/>
          <w:bCs/>
          <w:color w:val="auto"/>
          <w:szCs w:val="28"/>
        </w:rPr>
        <w:t>3.</w:t>
      </w:r>
      <w:r>
        <w:rPr>
          <w:rFonts w:hint="eastAsia" w:ascii="黑体" w:hAnsi="黑体" w:eastAsia="黑体"/>
          <w:bCs/>
          <w:color w:val="auto"/>
          <w:szCs w:val="28"/>
          <w:lang w:val="en-US" w:eastAsia="zh-CN"/>
        </w:rPr>
        <w:t>3</w:t>
      </w:r>
      <w:r>
        <w:rPr>
          <w:rFonts w:ascii="黑体" w:hAnsi="黑体" w:eastAsia="黑体"/>
          <w:bCs/>
          <w:color w:val="auto"/>
          <w:szCs w:val="28"/>
        </w:rPr>
        <w:t>.</w:t>
      </w:r>
      <w:r>
        <w:rPr>
          <w:rFonts w:hint="eastAsia" w:ascii="黑体" w:hAnsi="黑体" w:eastAsia="黑体"/>
          <w:bCs/>
          <w:color w:val="auto"/>
          <w:szCs w:val="28"/>
        </w:rPr>
        <w:t>3 单元评价总结</w:t>
      </w:r>
    </w:p>
    <w:p w14:paraId="2E49D7F1">
      <w:pPr>
        <w:ind w:firstLine="560"/>
        <w:rPr>
          <w:rFonts w:hint="eastAsia" w:eastAsia="宋体"/>
          <w:color w:val="auto"/>
          <w:lang w:val="en-US" w:eastAsia="zh-CN"/>
        </w:rPr>
      </w:pPr>
      <w:r>
        <w:rPr>
          <w:rFonts w:hint="eastAsia"/>
          <w:color w:val="auto"/>
          <w:lang w:val="en-US" w:eastAsia="zh-CN"/>
        </w:rPr>
        <w:t>1、该矿地下开采采用平硐-斜坡道开拓，井下采用无轨汽车运输，主要用于运输矿石、岩石</w:t>
      </w:r>
      <w:r>
        <w:rPr>
          <w:rFonts w:hint="eastAsia"/>
          <w:color w:val="auto"/>
          <w:lang w:eastAsia="zh-CN"/>
        </w:rPr>
        <w:t>。</w:t>
      </w:r>
      <w:r>
        <w:rPr>
          <w:rFonts w:hint="eastAsia"/>
          <w:color w:val="auto"/>
          <w:lang w:val="en-US" w:eastAsia="zh-CN"/>
        </w:rPr>
        <w:t>经检查，</w:t>
      </w:r>
      <w:r>
        <w:rPr>
          <w:rFonts w:hint="eastAsia"/>
          <w:color w:val="auto"/>
        </w:rPr>
        <w:t>该</w:t>
      </w:r>
      <w:r>
        <w:rPr>
          <w:rFonts w:hint="eastAsia"/>
          <w:color w:val="auto"/>
          <w:lang w:val="en-US" w:eastAsia="zh-CN"/>
        </w:rPr>
        <w:t>提升运输</w:t>
      </w:r>
      <w:r>
        <w:rPr>
          <w:rFonts w:hint="eastAsia"/>
          <w:color w:val="auto"/>
        </w:rPr>
        <w:t>方案</w:t>
      </w:r>
      <w:r>
        <w:rPr>
          <w:rFonts w:hint="eastAsia"/>
          <w:color w:val="auto"/>
          <w:lang w:val="en-US" w:eastAsia="zh-CN"/>
        </w:rPr>
        <w:t>总体</w:t>
      </w:r>
      <w:r>
        <w:rPr>
          <w:rFonts w:hint="eastAsia"/>
          <w:color w:val="auto"/>
        </w:rPr>
        <w:t>可行，满足矿山生产能力要求</w:t>
      </w:r>
      <w:r>
        <w:rPr>
          <w:rFonts w:hint="eastAsia"/>
          <w:color w:val="auto"/>
          <w:lang w:eastAsia="zh-CN"/>
        </w:rPr>
        <w:t>。</w:t>
      </w:r>
    </w:p>
    <w:p w14:paraId="2FBC616C">
      <w:pPr>
        <w:ind w:firstLine="560"/>
        <w:rPr>
          <w:rFonts w:hint="eastAsia"/>
          <w:color w:val="auto"/>
          <w:lang w:val="en-US" w:eastAsia="zh-CN"/>
        </w:rPr>
      </w:pPr>
      <w:r>
        <w:rPr>
          <w:rFonts w:hint="eastAsia"/>
          <w:color w:val="auto"/>
          <w:lang w:val="en-US" w:eastAsia="zh-CN"/>
        </w:rPr>
        <w:t>2、矿山运输系统存在的主要危险因素有“车辆伤害”危险。通过预先危险性分析得知：车辆伤害事故危险等级为</w:t>
      </w:r>
      <w:r>
        <w:rPr>
          <w:rFonts w:hint="eastAsia"/>
          <w:color w:val="auto"/>
        </w:rPr>
        <w:t>Ⅲ级，应重点予以防范</w:t>
      </w:r>
      <w:r>
        <w:rPr>
          <w:rFonts w:hint="eastAsia"/>
          <w:color w:val="auto"/>
          <w:lang w:val="en-US" w:eastAsia="zh-CN"/>
        </w:rPr>
        <w:t>。</w:t>
      </w:r>
    </w:p>
    <w:p w14:paraId="0AB07E83">
      <w:pPr>
        <w:ind w:firstLine="560"/>
        <w:rPr>
          <w:rFonts w:hint="eastAsia"/>
          <w:color w:val="auto"/>
          <w:lang w:val="en-US" w:eastAsia="zh-CN"/>
        </w:rPr>
      </w:pPr>
      <w:r>
        <w:rPr>
          <w:rFonts w:hint="eastAsia"/>
          <w:color w:val="auto"/>
          <w:lang w:val="en-US" w:eastAsia="zh-CN"/>
        </w:rPr>
        <w:t>3、该矿运输方案总体可行，下步安全设施设计时应对下列内容进行补充完善：</w:t>
      </w:r>
    </w:p>
    <w:p w14:paraId="18F5F45E">
      <w:pPr>
        <w:ind w:firstLine="560"/>
        <w:rPr>
          <w:rFonts w:hint="eastAsia"/>
          <w:color w:val="auto"/>
          <w:lang w:val="en-US" w:eastAsia="zh-CN"/>
        </w:rPr>
      </w:pPr>
      <w:r>
        <w:rPr>
          <w:rFonts w:hint="eastAsia"/>
          <w:color w:val="auto"/>
          <w:lang w:val="en-US" w:eastAsia="zh-CN"/>
        </w:rPr>
        <w:t>(1)缓坡段的坡度、长度；</w:t>
      </w:r>
    </w:p>
    <w:p w14:paraId="7373690B">
      <w:pPr>
        <w:ind w:firstLine="560"/>
        <w:rPr>
          <w:rFonts w:hint="eastAsia"/>
          <w:color w:val="auto"/>
          <w:lang w:val="en-US" w:eastAsia="zh-CN"/>
        </w:rPr>
      </w:pPr>
      <w:r>
        <w:rPr>
          <w:rFonts w:hint="eastAsia" w:ascii="宋体" w:hAnsi="宋体" w:eastAsia="宋体"/>
          <w:color w:val="auto"/>
          <w:lang w:val="en-US" w:eastAsia="zh-CN"/>
        </w:rPr>
        <w:t>(</w:t>
      </w:r>
      <w:r>
        <w:rPr>
          <w:rFonts w:hint="eastAsia"/>
          <w:color w:val="auto"/>
          <w:lang w:val="en-US" w:eastAsia="zh-CN"/>
        </w:rPr>
        <w:t>2</w:t>
      </w:r>
      <w:r>
        <w:rPr>
          <w:rFonts w:hint="eastAsia" w:ascii="宋体" w:hAnsi="宋体" w:eastAsia="宋体"/>
          <w:color w:val="auto"/>
          <w:lang w:val="en-US" w:eastAsia="zh-CN"/>
        </w:rPr>
        <w:t>)无轨设备管理要求</w:t>
      </w:r>
      <w:r>
        <w:rPr>
          <w:rFonts w:hint="eastAsia"/>
          <w:color w:val="auto"/>
          <w:lang w:val="en-US" w:eastAsia="zh-CN"/>
        </w:rPr>
        <w:t>；</w:t>
      </w:r>
    </w:p>
    <w:p w14:paraId="4784B5A3">
      <w:pPr>
        <w:ind w:firstLine="560"/>
        <w:rPr>
          <w:rFonts w:hint="eastAsia"/>
          <w:color w:val="auto"/>
          <w:lang w:val="en-US" w:eastAsia="zh-CN"/>
        </w:rPr>
      </w:pPr>
      <w:r>
        <w:rPr>
          <w:rFonts w:hint="eastAsia" w:ascii="宋体" w:hAnsi="宋体" w:eastAsia="宋体"/>
          <w:color w:val="auto"/>
          <w:lang w:val="en-US" w:eastAsia="zh-CN"/>
        </w:rPr>
        <w:t>(</w:t>
      </w:r>
      <w:r>
        <w:rPr>
          <w:rFonts w:hint="eastAsia"/>
          <w:color w:val="auto"/>
          <w:lang w:val="en-US" w:eastAsia="zh-CN"/>
        </w:rPr>
        <w:t>3</w:t>
      </w:r>
      <w:r>
        <w:rPr>
          <w:rFonts w:hint="eastAsia" w:ascii="宋体" w:hAnsi="宋体" w:eastAsia="宋体"/>
          <w:color w:val="auto"/>
          <w:lang w:val="en-US" w:eastAsia="zh-CN"/>
        </w:rPr>
        <w:t>)</w:t>
      </w:r>
      <w:r>
        <w:rPr>
          <w:rFonts w:hint="eastAsia"/>
          <w:color w:val="auto"/>
          <w:lang w:val="en-US" w:eastAsia="zh-CN"/>
        </w:rPr>
        <w:t>运输人员、油料的无轨设备要求；</w:t>
      </w:r>
    </w:p>
    <w:p w14:paraId="083909D5">
      <w:pPr>
        <w:ind w:firstLine="560"/>
        <w:rPr>
          <w:rFonts w:hint="default"/>
          <w:color w:val="auto"/>
          <w:lang w:val="en-US" w:eastAsia="zh-CN"/>
        </w:rPr>
      </w:pPr>
      <w:r>
        <w:rPr>
          <w:rFonts w:hint="eastAsia" w:ascii="宋体" w:hAnsi="宋体" w:eastAsia="宋体"/>
          <w:color w:val="auto"/>
          <w:lang w:val="en-US" w:eastAsia="zh-CN"/>
        </w:rPr>
        <w:t>(</w:t>
      </w:r>
      <w:r>
        <w:rPr>
          <w:rFonts w:hint="eastAsia"/>
          <w:color w:val="auto"/>
          <w:lang w:val="en-US" w:eastAsia="zh-CN"/>
        </w:rPr>
        <w:t>4</w:t>
      </w:r>
      <w:r>
        <w:rPr>
          <w:rFonts w:hint="eastAsia" w:ascii="宋体" w:hAnsi="宋体" w:eastAsia="宋体"/>
          <w:color w:val="auto"/>
          <w:lang w:val="en-US" w:eastAsia="zh-CN"/>
        </w:rPr>
        <w:t>)</w:t>
      </w:r>
      <w:r>
        <w:rPr>
          <w:rFonts w:hint="eastAsia"/>
          <w:color w:val="auto"/>
          <w:lang w:val="en-US" w:eastAsia="zh-CN"/>
        </w:rPr>
        <w:t>螺旋式斜坡道运输会产生离心力，容易造成车辆侧翻、侧滑，此外还存在视距不良问题，下一步安全设施设计应针对针对上述问题采取措施。</w:t>
      </w:r>
    </w:p>
    <w:p w14:paraId="1E854DE4">
      <w:pPr>
        <w:pStyle w:val="3"/>
        <w:spacing w:before="120" w:beforeLines="0" w:after="120" w:afterLines="0" w:line="560" w:lineRule="exact"/>
        <w:rPr>
          <w:color w:val="auto"/>
        </w:rPr>
      </w:pPr>
      <w:bookmarkStart w:id="117" w:name="_Toc13186"/>
      <w:bookmarkStart w:id="118" w:name="_Toc8577"/>
      <w:r>
        <w:rPr>
          <w:rFonts w:hint="eastAsia"/>
          <w:color w:val="auto"/>
        </w:rPr>
        <w:t>3.</w:t>
      </w:r>
      <w:r>
        <w:rPr>
          <w:rFonts w:hint="eastAsia"/>
          <w:color w:val="auto"/>
          <w:lang w:val="en-US" w:eastAsia="zh-CN"/>
        </w:rPr>
        <w:t>4</w:t>
      </w:r>
      <w:r>
        <w:rPr>
          <w:rFonts w:hint="eastAsia"/>
          <w:color w:val="auto"/>
        </w:rPr>
        <w:t xml:space="preserve"> 采掘单元</w:t>
      </w:r>
      <w:bookmarkEnd w:id="117"/>
      <w:bookmarkEnd w:id="118"/>
    </w:p>
    <w:p w14:paraId="53B0E3A3">
      <w:pPr>
        <w:keepNext/>
        <w:keepLines/>
        <w:tabs>
          <w:tab w:val="left" w:pos="8265"/>
        </w:tabs>
        <w:spacing w:before="120" w:after="120"/>
        <w:ind w:firstLine="0" w:firstLineChars="0"/>
        <w:jc w:val="left"/>
        <w:outlineLvl w:val="2"/>
        <w:rPr>
          <w:rFonts w:ascii="黑体" w:hAnsi="黑体" w:eastAsia="黑体"/>
          <w:bCs/>
          <w:color w:val="auto"/>
          <w:szCs w:val="28"/>
        </w:rPr>
      </w:pPr>
      <w:r>
        <w:rPr>
          <w:rFonts w:hint="eastAsia" w:ascii="黑体" w:hAnsi="黑体" w:eastAsia="黑体"/>
          <w:bCs/>
          <w:color w:val="auto"/>
          <w:szCs w:val="28"/>
        </w:rPr>
        <w:t>3.</w:t>
      </w:r>
      <w:r>
        <w:rPr>
          <w:rFonts w:hint="eastAsia" w:ascii="黑体" w:hAnsi="黑体" w:eastAsia="黑体"/>
          <w:bCs/>
          <w:color w:val="auto"/>
          <w:szCs w:val="28"/>
          <w:lang w:val="en-US" w:eastAsia="zh-CN"/>
        </w:rPr>
        <w:t>4</w:t>
      </w:r>
      <w:r>
        <w:rPr>
          <w:rFonts w:hint="eastAsia" w:ascii="黑体" w:hAnsi="黑体" w:eastAsia="黑体"/>
          <w:bCs/>
          <w:color w:val="auto"/>
          <w:szCs w:val="28"/>
        </w:rPr>
        <w:t>.1 采掘单元危险、有害因素评价</w:t>
      </w:r>
    </w:p>
    <w:p w14:paraId="5F3C01C9">
      <w:pPr>
        <w:ind w:firstLine="560"/>
        <w:rPr>
          <w:color w:val="auto"/>
        </w:rPr>
      </w:pPr>
      <w:r>
        <w:rPr>
          <w:rFonts w:hint="eastAsia"/>
          <w:color w:val="auto"/>
        </w:rPr>
        <w:t>采掘作业过程中存在冒顶片帮、透水、放炮及火药爆炸、高处坠落、机械伤害、物体打击、容器爆炸危险和职业危害等。采用预先危险性分析法进行分析评价，采掘单元预先危险性分析见表3.</w:t>
      </w:r>
      <w:r>
        <w:rPr>
          <w:rFonts w:hint="eastAsia"/>
          <w:color w:val="auto"/>
          <w:lang w:val="en-US" w:eastAsia="zh-CN"/>
        </w:rPr>
        <w:t>4</w:t>
      </w:r>
      <w:r>
        <w:rPr>
          <w:rFonts w:hint="eastAsia"/>
          <w:color w:val="auto"/>
        </w:rPr>
        <w:t>-1。</w:t>
      </w:r>
    </w:p>
    <w:p w14:paraId="1A308936">
      <w:pPr>
        <w:ind w:firstLine="562"/>
        <w:jc w:val="center"/>
        <w:rPr>
          <w:rFonts w:hAnsi="宋体" w:cs="宋体"/>
          <w:b/>
          <w:color w:val="auto"/>
          <w:szCs w:val="28"/>
        </w:rPr>
      </w:pPr>
      <w:r>
        <w:rPr>
          <w:rFonts w:hint="eastAsia" w:hAnsi="宋体" w:cs="宋体"/>
          <w:b/>
          <w:color w:val="auto"/>
          <w:szCs w:val="28"/>
        </w:rPr>
        <w:t>表3.</w:t>
      </w:r>
      <w:r>
        <w:rPr>
          <w:rFonts w:hint="eastAsia" w:cs="宋体"/>
          <w:b/>
          <w:color w:val="auto"/>
          <w:szCs w:val="28"/>
          <w:lang w:val="en-US" w:eastAsia="zh-CN"/>
        </w:rPr>
        <w:t>4</w:t>
      </w:r>
      <w:r>
        <w:rPr>
          <w:rFonts w:hint="eastAsia" w:hAnsi="宋体" w:cs="宋体"/>
          <w:b/>
          <w:color w:val="auto"/>
          <w:szCs w:val="28"/>
        </w:rPr>
        <w:t>-1 采掘单元预先危险性分析表</w:t>
      </w:r>
    </w:p>
    <w:tbl>
      <w:tblPr>
        <w:tblStyle w:val="24"/>
        <w:tblW w:w="4994"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524"/>
        <w:gridCol w:w="5397"/>
        <w:gridCol w:w="793"/>
        <w:gridCol w:w="1318"/>
        <w:gridCol w:w="730"/>
        <w:gridCol w:w="741"/>
      </w:tblGrid>
      <w:tr w14:paraId="3E34F70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blHeader/>
          <w:jc w:val="center"/>
        </w:trPr>
        <w:tc>
          <w:tcPr>
            <w:tcW w:w="276" w:type="pct"/>
            <w:tcBorders>
              <w:tl2br w:val="nil"/>
              <w:tr2bl w:val="nil"/>
            </w:tcBorders>
            <w:vAlign w:val="center"/>
          </w:tcPr>
          <w:p w14:paraId="694F9EBE">
            <w:pPr>
              <w:keepNext w:val="0"/>
              <w:keepLines w:val="0"/>
              <w:suppressLineNumbers w:val="0"/>
              <w:spacing w:before="0" w:beforeAutospacing="0" w:after="0" w:afterAutospacing="0" w:line="320" w:lineRule="exact"/>
              <w:ind w:left="0" w:right="0" w:firstLine="0" w:firstLineChars="0"/>
              <w:jc w:val="center"/>
              <w:rPr>
                <w:rFonts w:hint="default" w:cs="宋体" w:asciiTheme="minorEastAsia" w:hAnsiTheme="minorEastAsia" w:eastAsiaTheme="minorEastAsia"/>
                <w:b/>
                <w:bCs/>
                <w:color w:val="auto"/>
                <w:sz w:val="21"/>
                <w:szCs w:val="21"/>
              </w:rPr>
            </w:pPr>
            <w:r>
              <w:rPr>
                <w:rFonts w:hint="eastAsia" w:cs="宋体" w:asciiTheme="minorEastAsia" w:hAnsiTheme="minorEastAsia" w:eastAsiaTheme="minorEastAsia"/>
                <w:b/>
                <w:bCs/>
                <w:color w:val="auto"/>
                <w:sz w:val="21"/>
                <w:szCs w:val="21"/>
              </w:rPr>
              <w:t>危害因素</w:t>
            </w:r>
          </w:p>
        </w:tc>
        <w:tc>
          <w:tcPr>
            <w:tcW w:w="2838" w:type="pct"/>
            <w:tcBorders>
              <w:tl2br w:val="nil"/>
              <w:tr2bl w:val="nil"/>
            </w:tcBorders>
            <w:vAlign w:val="center"/>
          </w:tcPr>
          <w:p w14:paraId="038FA6DE">
            <w:pPr>
              <w:keepNext w:val="0"/>
              <w:keepLines w:val="0"/>
              <w:suppressLineNumbers w:val="0"/>
              <w:spacing w:before="0" w:beforeAutospacing="0" w:after="0" w:afterAutospacing="0" w:line="320" w:lineRule="exact"/>
              <w:ind w:left="0" w:right="0" w:firstLine="0" w:firstLineChars="0"/>
              <w:jc w:val="center"/>
              <w:rPr>
                <w:rFonts w:hint="default" w:cs="宋体" w:asciiTheme="minorEastAsia" w:hAnsiTheme="minorEastAsia" w:eastAsiaTheme="minorEastAsia"/>
                <w:b/>
                <w:bCs/>
                <w:color w:val="auto"/>
                <w:sz w:val="21"/>
                <w:szCs w:val="21"/>
              </w:rPr>
            </w:pPr>
            <w:r>
              <w:rPr>
                <w:rFonts w:hint="eastAsia" w:cs="宋体" w:asciiTheme="minorEastAsia" w:hAnsiTheme="minorEastAsia" w:eastAsiaTheme="minorEastAsia"/>
                <w:b/>
                <w:bCs/>
                <w:color w:val="auto"/>
                <w:sz w:val="21"/>
                <w:szCs w:val="21"/>
              </w:rPr>
              <w:t>触发事件及原因分析</w:t>
            </w:r>
          </w:p>
        </w:tc>
        <w:tc>
          <w:tcPr>
            <w:tcW w:w="417" w:type="pct"/>
            <w:tcBorders>
              <w:tl2br w:val="nil"/>
              <w:tr2bl w:val="nil"/>
            </w:tcBorders>
            <w:vAlign w:val="center"/>
          </w:tcPr>
          <w:p w14:paraId="267A3945">
            <w:pPr>
              <w:keepNext w:val="0"/>
              <w:keepLines w:val="0"/>
              <w:suppressLineNumbers w:val="0"/>
              <w:spacing w:before="0" w:beforeAutospacing="0" w:after="0" w:afterAutospacing="0" w:line="320" w:lineRule="exact"/>
              <w:ind w:left="0" w:right="0" w:firstLine="0" w:firstLineChars="0"/>
              <w:jc w:val="center"/>
              <w:rPr>
                <w:rFonts w:hint="default" w:cs="宋体" w:asciiTheme="minorEastAsia" w:hAnsiTheme="minorEastAsia" w:eastAsiaTheme="minorEastAsia"/>
                <w:b/>
                <w:bCs/>
                <w:color w:val="auto"/>
                <w:sz w:val="21"/>
                <w:szCs w:val="21"/>
              </w:rPr>
            </w:pPr>
            <w:r>
              <w:rPr>
                <w:rFonts w:hint="eastAsia" w:cs="宋体" w:asciiTheme="minorEastAsia" w:hAnsiTheme="minorEastAsia" w:eastAsiaTheme="minorEastAsia"/>
                <w:b/>
                <w:bCs/>
                <w:color w:val="auto"/>
                <w:sz w:val="21"/>
                <w:szCs w:val="21"/>
              </w:rPr>
              <w:t>表现方式</w:t>
            </w:r>
          </w:p>
        </w:tc>
        <w:tc>
          <w:tcPr>
            <w:tcW w:w="693" w:type="pct"/>
            <w:tcBorders>
              <w:tl2br w:val="nil"/>
              <w:tr2bl w:val="nil"/>
            </w:tcBorders>
            <w:vAlign w:val="center"/>
          </w:tcPr>
          <w:p w14:paraId="310A94E4">
            <w:pPr>
              <w:keepNext w:val="0"/>
              <w:keepLines w:val="0"/>
              <w:suppressLineNumbers w:val="0"/>
              <w:spacing w:before="0" w:beforeAutospacing="0" w:after="0" w:afterAutospacing="0" w:line="320" w:lineRule="exact"/>
              <w:ind w:left="0" w:right="0" w:firstLine="0" w:firstLineChars="0"/>
              <w:jc w:val="center"/>
              <w:rPr>
                <w:rFonts w:hint="default" w:cs="宋体" w:asciiTheme="minorEastAsia" w:hAnsiTheme="minorEastAsia" w:eastAsiaTheme="minorEastAsia"/>
                <w:b/>
                <w:bCs/>
                <w:color w:val="auto"/>
                <w:sz w:val="21"/>
                <w:szCs w:val="21"/>
              </w:rPr>
            </w:pPr>
            <w:r>
              <w:rPr>
                <w:rFonts w:hint="eastAsia" w:cs="宋体" w:asciiTheme="minorEastAsia" w:hAnsiTheme="minorEastAsia" w:eastAsiaTheme="minorEastAsia"/>
                <w:b/>
                <w:bCs/>
                <w:color w:val="auto"/>
                <w:sz w:val="21"/>
                <w:szCs w:val="21"/>
              </w:rPr>
              <w:t>事故后果</w:t>
            </w:r>
          </w:p>
          <w:p w14:paraId="6960544F">
            <w:pPr>
              <w:keepNext w:val="0"/>
              <w:keepLines w:val="0"/>
              <w:suppressLineNumbers w:val="0"/>
              <w:spacing w:before="0" w:beforeAutospacing="0" w:after="0" w:afterAutospacing="0" w:line="320" w:lineRule="exact"/>
              <w:ind w:left="0" w:right="0" w:firstLine="0" w:firstLineChars="0"/>
              <w:jc w:val="center"/>
              <w:rPr>
                <w:rFonts w:hint="default" w:cs="宋体" w:asciiTheme="minorEastAsia" w:hAnsiTheme="minorEastAsia" w:eastAsiaTheme="minorEastAsia"/>
                <w:b/>
                <w:bCs/>
                <w:color w:val="auto"/>
                <w:sz w:val="21"/>
                <w:szCs w:val="21"/>
              </w:rPr>
            </w:pPr>
            <w:r>
              <w:rPr>
                <w:rFonts w:hint="eastAsia" w:cs="宋体" w:asciiTheme="minorEastAsia" w:hAnsiTheme="minorEastAsia" w:eastAsiaTheme="minorEastAsia"/>
                <w:b/>
                <w:bCs/>
                <w:color w:val="auto"/>
                <w:sz w:val="21"/>
                <w:szCs w:val="21"/>
              </w:rPr>
              <w:t>及危害程度</w:t>
            </w:r>
          </w:p>
        </w:tc>
        <w:tc>
          <w:tcPr>
            <w:tcW w:w="384" w:type="pct"/>
            <w:tcBorders>
              <w:tl2br w:val="nil"/>
              <w:tr2bl w:val="nil"/>
            </w:tcBorders>
            <w:vAlign w:val="center"/>
          </w:tcPr>
          <w:p w14:paraId="0E5E3576">
            <w:pPr>
              <w:keepNext w:val="0"/>
              <w:keepLines w:val="0"/>
              <w:suppressLineNumbers w:val="0"/>
              <w:spacing w:before="0" w:beforeAutospacing="0" w:after="0" w:afterAutospacing="0" w:line="320" w:lineRule="exact"/>
              <w:ind w:left="0" w:leftChars="0" w:right="0" w:rightChars="0" w:firstLine="0" w:firstLineChars="0"/>
              <w:jc w:val="center"/>
              <w:rPr>
                <w:rFonts w:hint="eastAsia" w:cs="宋体" w:asciiTheme="minorEastAsia" w:hAnsiTheme="minorEastAsia" w:eastAsiaTheme="minorEastAsia"/>
                <w:b/>
                <w:bCs/>
                <w:color w:val="auto"/>
                <w:kern w:val="2"/>
                <w:sz w:val="21"/>
                <w:szCs w:val="21"/>
                <w:lang w:val="en-US" w:eastAsia="zh-CN" w:bidi="ar-SA"/>
              </w:rPr>
            </w:pPr>
            <w:r>
              <w:rPr>
                <w:rFonts w:hint="eastAsia" w:cs="宋体" w:asciiTheme="minorEastAsia" w:hAnsiTheme="minorEastAsia" w:eastAsiaTheme="minorEastAsia"/>
                <w:b/>
                <w:bCs/>
                <w:color w:val="auto"/>
                <w:sz w:val="21"/>
                <w:szCs w:val="21"/>
              </w:rPr>
              <w:t>危险等级</w:t>
            </w:r>
          </w:p>
        </w:tc>
        <w:tc>
          <w:tcPr>
            <w:tcW w:w="389" w:type="pct"/>
            <w:tcBorders>
              <w:tl2br w:val="nil"/>
              <w:tr2bl w:val="nil"/>
            </w:tcBorders>
            <w:vAlign w:val="center"/>
          </w:tcPr>
          <w:p w14:paraId="76AD2B43">
            <w:pPr>
              <w:keepNext w:val="0"/>
              <w:keepLines w:val="0"/>
              <w:suppressLineNumbers w:val="0"/>
              <w:spacing w:before="0" w:beforeAutospacing="0" w:after="0" w:afterAutospacing="0" w:line="320" w:lineRule="exact"/>
              <w:ind w:left="0" w:leftChars="0" w:right="0" w:rightChars="0" w:firstLine="0" w:firstLineChars="0"/>
              <w:jc w:val="center"/>
              <w:rPr>
                <w:rFonts w:hint="eastAsia" w:cs="宋体" w:asciiTheme="minorEastAsia" w:hAnsiTheme="minorEastAsia" w:eastAsiaTheme="minorEastAsia"/>
                <w:b/>
                <w:bCs/>
                <w:color w:val="auto"/>
                <w:sz w:val="21"/>
                <w:szCs w:val="21"/>
                <w:lang w:eastAsia="zh-CN"/>
              </w:rPr>
            </w:pPr>
            <w:r>
              <w:rPr>
                <w:rFonts w:hint="eastAsia" w:cs="宋体" w:asciiTheme="minorEastAsia" w:hAnsiTheme="minorEastAsia" w:eastAsiaTheme="minorEastAsia"/>
                <w:b/>
                <w:bCs/>
                <w:color w:val="auto"/>
                <w:sz w:val="21"/>
                <w:szCs w:val="21"/>
                <w:lang w:eastAsia="zh-CN"/>
              </w:rPr>
              <w:t>预防措施</w:t>
            </w:r>
          </w:p>
        </w:tc>
      </w:tr>
      <w:tr w14:paraId="184A96C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276" w:type="pct"/>
            <w:tcBorders>
              <w:tl2br w:val="nil"/>
              <w:tr2bl w:val="nil"/>
            </w:tcBorders>
            <w:vAlign w:val="center"/>
          </w:tcPr>
          <w:p w14:paraId="0FDB704F">
            <w:pPr>
              <w:keepNext w:val="0"/>
              <w:keepLines w:val="0"/>
              <w:suppressLineNumbers w:val="0"/>
              <w:spacing w:before="0" w:beforeAutospacing="0" w:after="0" w:afterAutospacing="0" w:line="320" w:lineRule="exact"/>
              <w:ind w:left="0" w:right="0" w:firstLine="0" w:firstLineChars="0"/>
              <w:jc w:val="center"/>
              <w:rPr>
                <w:rFonts w:hint="default"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冒顶片帮</w:t>
            </w:r>
          </w:p>
        </w:tc>
        <w:tc>
          <w:tcPr>
            <w:tcW w:w="2838" w:type="pct"/>
            <w:tcBorders>
              <w:tl2br w:val="nil"/>
              <w:tr2bl w:val="nil"/>
            </w:tcBorders>
            <w:vAlign w:val="center"/>
          </w:tcPr>
          <w:p w14:paraId="134F315F">
            <w:pPr>
              <w:keepNext w:val="0"/>
              <w:keepLines w:val="0"/>
              <w:suppressLineNumbers w:val="0"/>
              <w:spacing w:before="0" w:beforeAutospacing="0" w:after="0" w:afterAutospacing="0" w:line="320" w:lineRule="exact"/>
              <w:ind w:left="0" w:right="0" w:firstLine="0" w:firstLineChars="0"/>
              <w:rPr>
                <w:rFonts w:hint="default"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①矿床地质条件不好，生产技术和组织管理不当；②工程施工未编制施工组织设计和安全作业规程；③掘进、回采、巷道维修等，施工工艺不合理；④井巷及回采进路掘进中，没有及时加以支护或支架数量不足，支护强度不够；⑤安全检查不细致，疏忽大意，缺乏认真、全面的检查；⑥未按规程要求处理帮、顶浮石或帮顶浮石清理不彻底；⑦对于回采工作面的地质特点不清楚；⑧浮石没有处理或处理操作不当；⑨未按操作规程进行操作，精力不集中，思想麻痹大意，发现险情不及时处理；⑩工作面作业循环不正规，掘进速度慢、爆破作业崩倒支架等原因，都容易引起冒顶片帮事故。</w:t>
            </w:r>
          </w:p>
        </w:tc>
        <w:tc>
          <w:tcPr>
            <w:tcW w:w="417" w:type="pct"/>
            <w:tcBorders>
              <w:tl2br w:val="nil"/>
              <w:tr2bl w:val="nil"/>
            </w:tcBorders>
            <w:vAlign w:val="center"/>
          </w:tcPr>
          <w:p w14:paraId="20176325">
            <w:pPr>
              <w:keepNext w:val="0"/>
              <w:keepLines w:val="0"/>
              <w:suppressLineNumbers w:val="0"/>
              <w:spacing w:before="0" w:beforeAutospacing="0" w:after="0" w:afterAutospacing="0" w:line="320" w:lineRule="exact"/>
              <w:ind w:left="0" w:right="0" w:firstLine="0" w:firstLineChars="0"/>
              <w:jc w:val="center"/>
              <w:rPr>
                <w:rFonts w:hint="default"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冒顶片帮</w:t>
            </w:r>
          </w:p>
        </w:tc>
        <w:tc>
          <w:tcPr>
            <w:tcW w:w="693" w:type="pct"/>
            <w:tcBorders>
              <w:tl2br w:val="nil"/>
              <w:tr2bl w:val="nil"/>
            </w:tcBorders>
            <w:vAlign w:val="center"/>
          </w:tcPr>
          <w:p w14:paraId="024AD30B">
            <w:pPr>
              <w:keepNext w:val="0"/>
              <w:keepLines w:val="0"/>
              <w:suppressLineNumbers w:val="0"/>
              <w:spacing w:before="0" w:beforeAutospacing="0" w:after="0" w:afterAutospacing="0" w:line="320" w:lineRule="exact"/>
              <w:ind w:left="0" w:right="0" w:firstLine="0" w:firstLineChars="0"/>
              <w:jc w:val="both"/>
              <w:rPr>
                <w:rFonts w:hint="eastAsia" w:asciiTheme="minorEastAsia" w:hAnsiTheme="minorEastAsia" w:eastAsiaTheme="minorEastAsia"/>
                <w:color w:val="auto"/>
                <w:sz w:val="21"/>
                <w:szCs w:val="21"/>
                <w:lang w:eastAsia="zh-CN"/>
              </w:rPr>
            </w:pPr>
            <w:r>
              <w:rPr>
                <w:rFonts w:hint="eastAsia" w:asciiTheme="minorEastAsia" w:hAnsiTheme="minorEastAsia" w:eastAsiaTheme="minorEastAsia"/>
                <w:color w:val="auto"/>
                <w:sz w:val="21"/>
                <w:szCs w:val="21"/>
              </w:rPr>
              <w:t>人身</w:t>
            </w:r>
            <w:r>
              <w:rPr>
                <w:rFonts w:hint="eastAsia" w:asciiTheme="minorEastAsia" w:hAnsiTheme="minorEastAsia" w:eastAsiaTheme="minorEastAsia"/>
                <w:color w:val="auto"/>
                <w:sz w:val="21"/>
                <w:szCs w:val="21"/>
                <w:lang w:eastAsia="zh-CN"/>
              </w:rPr>
              <w:t>重大</w:t>
            </w:r>
            <w:r>
              <w:rPr>
                <w:rFonts w:hint="eastAsia" w:asciiTheme="minorEastAsia" w:hAnsiTheme="minorEastAsia" w:eastAsiaTheme="minorEastAsia"/>
                <w:color w:val="auto"/>
                <w:sz w:val="21"/>
                <w:szCs w:val="21"/>
              </w:rPr>
              <w:t>伤亡</w:t>
            </w:r>
            <w:r>
              <w:rPr>
                <w:rFonts w:hint="eastAsia" w:asciiTheme="minorEastAsia" w:hAnsiTheme="minorEastAsia" w:eastAsiaTheme="minorEastAsia"/>
                <w:color w:val="auto"/>
                <w:sz w:val="21"/>
                <w:szCs w:val="21"/>
                <w:lang w:eastAsia="zh-CN"/>
              </w:rPr>
              <w:t>，设备严重损坏</w:t>
            </w:r>
          </w:p>
        </w:tc>
        <w:tc>
          <w:tcPr>
            <w:tcW w:w="384" w:type="pct"/>
            <w:tcBorders>
              <w:tl2br w:val="nil"/>
              <w:tr2bl w:val="nil"/>
            </w:tcBorders>
            <w:vAlign w:val="center"/>
          </w:tcPr>
          <w:p w14:paraId="54BABF7F">
            <w:pPr>
              <w:keepNext w:val="0"/>
              <w:keepLines w:val="0"/>
              <w:suppressLineNumbers w:val="0"/>
              <w:spacing w:before="0" w:beforeAutospacing="0" w:after="0" w:afterAutospacing="0" w:line="320" w:lineRule="exact"/>
              <w:ind w:left="0" w:leftChars="0" w:right="0" w:rightChars="0" w:firstLine="0" w:firstLineChars="0"/>
              <w:jc w:val="center"/>
              <w:rPr>
                <w:rFonts w:hint="eastAsia" w:asciiTheme="minorEastAsia" w:hAnsiTheme="minorEastAsia" w:eastAsiaTheme="minorEastAsia" w:cstheme="minorBidi"/>
                <w:color w:val="auto"/>
                <w:kern w:val="2"/>
                <w:sz w:val="21"/>
                <w:szCs w:val="21"/>
                <w:lang w:val="en-US" w:eastAsia="zh-CN" w:bidi="ar-SA"/>
              </w:rPr>
            </w:pPr>
            <w:r>
              <w:rPr>
                <w:rFonts w:hint="eastAsia" w:asciiTheme="minorEastAsia" w:hAnsiTheme="minorEastAsia" w:eastAsiaTheme="minorEastAsia"/>
                <w:color w:val="auto"/>
                <w:sz w:val="21"/>
                <w:szCs w:val="21"/>
              </w:rPr>
              <w:t>Ⅳ级</w:t>
            </w:r>
          </w:p>
        </w:tc>
        <w:tc>
          <w:tcPr>
            <w:tcW w:w="389" w:type="pct"/>
            <w:vMerge w:val="restart"/>
            <w:tcBorders>
              <w:tl2br w:val="nil"/>
              <w:tr2bl w:val="nil"/>
            </w:tcBorders>
            <w:vAlign w:val="center"/>
          </w:tcPr>
          <w:p w14:paraId="589822FF">
            <w:pPr>
              <w:keepNext w:val="0"/>
              <w:keepLines w:val="0"/>
              <w:suppressLineNumbers w:val="0"/>
              <w:spacing w:before="0" w:beforeAutospacing="0" w:after="0" w:afterAutospacing="0" w:line="320" w:lineRule="exact"/>
              <w:ind w:left="0" w:leftChars="0" w:right="0" w:rightChars="0" w:firstLine="0" w:firstLineChars="0"/>
              <w:jc w:val="center"/>
              <w:rPr>
                <w:rFonts w:hint="eastAsia"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见本报告4.2.4采掘单元安全对策措施</w:t>
            </w:r>
          </w:p>
        </w:tc>
      </w:tr>
      <w:tr w14:paraId="31351FD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276" w:type="pct"/>
            <w:tcBorders>
              <w:tl2br w:val="nil"/>
              <w:tr2bl w:val="nil"/>
            </w:tcBorders>
            <w:vAlign w:val="center"/>
          </w:tcPr>
          <w:p w14:paraId="1E2EE8D5">
            <w:pPr>
              <w:keepNext w:val="0"/>
              <w:keepLines w:val="0"/>
              <w:suppressLineNumbers w:val="0"/>
              <w:spacing w:before="0" w:beforeAutospacing="0" w:after="0" w:afterAutospacing="0" w:line="320" w:lineRule="exact"/>
              <w:ind w:left="0" w:right="0" w:firstLine="0" w:firstLineChars="0"/>
              <w:jc w:val="center"/>
              <w:rPr>
                <w:rFonts w:hint="default"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透水</w:t>
            </w:r>
          </w:p>
        </w:tc>
        <w:tc>
          <w:tcPr>
            <w:tcW w:w="2838" w:type="pct"/>
            <w:tcBorders>
              <w:tl2br w:val="nil"/>
              <w:tr2bl w:val="nil"/>
            </w:tcBorders>
            <w:vAlign w:val="center"/>
          </w:tcPr>
          <w:p w14:paraId="6CDD866D">
            <w:pPr>
              <w:keepNext w:val="0"/>
              <w:keepLines w:val="0"/>
              <w:suppressLineNumbers w:val="0"/>
              <w:spacing w:before="0" w:beforeAutospacing="0" w:after="0" w:afterAutospacing="0" w:line="320" w:lineRule="exact"/>
              <w:ind w:left="0" w:right="0" w:firstLine="0" w:firstLineChars="0"/>
              <w:rPr>
                <w:rFonts w:hint="default"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①由于矿山开采改变了地层压力平衡，引起地表塌陷使地表水通过地层裂隙涌入井下，造成透水；②未采取探放水措施，发现透水征兆未能停止工作，未坚持</w:t>
            </w:r>
            <w:r>
              <w:rPr>
                <w:rFonts w:hint="default" w:asciiTheme="minorEastAsia" w:hAnsiTheme="minorEastAsia" w:eastAsiaTheme="minorEastAsia"/>
                <w:color w:val="auto"/>
                <w:sz w:val="21"/>
                <w:szCs w:val="21"/>
              </w:rPr>
              <w:t>“</w:t>
            </w:r>
            <w:r>
              <w:rPr>
                <w:rFonts w:hint="eastAsia" w:asciiTheme="minorEastAsia" w:hAnsiTheme="minorEastAsia" w:eastAsiaTheme="minorEastAsia"/>
                <w:color w:val="auto"/>
                <w:sz w:val="21"/>
                <w:szCs w:val="21"/>
              </w:rPr>
              <w:t>有疑必探、先探后掘</w:t>
            </w:r>
            <w:r>
              <w:rPr>
                <w:rFonts w:hint="default" w:asciiTheme="minorEastAsia" w:hAnsiTheme="minorEastAsia" w:eastAsiaTheme="minorEastAsia"/>
                <w:color w:val="auto"/>
                <w:sz w:val="21"/>
                <w:szCs w:val="21"/>
              </w:rPr>
              <w:t>”</w:t>
            </w:r>
            <w:r>
              <w:rPr>
                <w:rFonts w:hint="eastAsia" w:asciiTheme="minorEastAsia" w:hAnsiTheme="minorEastAsia" w:eastAsiaTheme="minorEastAsia"/>
                <w:color w:val="auto"/>
                <w:sz w:val="21"/>
                <w:szCs w:val="21"/>
              </w:rPr>
              <w:t>的原则；③对井下水灾不够重视，无应急预案或预防淹井的措施不当；④井下排水设备能力，不能满足井下涌水需要。</w:t>
            </w:r>
          </w:p>
        </w:tc>
        <w:tc>
          <w:tcPr>
            <w:tcW w:w="417" w:type="pct"/>
            <w:tcBorders>
              <w:tl2br w:val="nil"/>
              <w:tr2bl w:val="nil"/>
            </w:tcBorders>
            <w:vAlign w:val="center"/>
          </w:tcPr>
          <w:p w14:paraId="6F8241BD">
            <w:pPr>
              <w:keepNext w:val="0"/>
              <w:keepLines w:val="0"/>
              <w:suppressLineNumbers w:val="0"/>
              <w:spacing w:before="0" w:beforeAutospacing="0" w:after="0" w:afterAutospacing="0" w:line="320" w:lineRule="exact"/>
              <w:ind w:left="0" w:right="0" w:firstLine="0" w:firstLineChars="0"/>
              <w:jc w:val="center"/>
              <w:rPr>
                <w:rFonts w:hint="default"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透水淹井</w:t>
            </w:r>
          </w:p>
        </w:tc>
        <w:tc>
          <w:tcPr>
            <w:tcW w:w="693" w:type="pct"/>
            <w:tcBorders>
              <w:tl2br w:val="nil"/>
              <w:tr2bl w:val="nil"/>
            </w:tcBorders>
            <w:vAlign w:val="center"/>
          </w:tcPr>
          <w:p w14:paraId="6ECC881B">
            <w:pPr>
              <w:keepNext w:val="0"/>
              <w:keepLines w:val="0"/>
              <w:suppressLineNumbers w:val="0"/>
              <w:spacing w:before="0" w:beforeAutospacing="0" w:after="0" w:afterAutospacing="0" w:line="320" w:lineRule="exact"/>
              <w:ind w:left="0" w:right="0" w:firstLine="0" w:firstLineChars="0"/>
              <w:rPr>
                <w:rFonts w:hint="default"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重大人员伤亡、设施破坏，淹没矿井。</w:t>
            </w:r>
          </w:p>
        </w:tc>
        <w:tc>
          <w:tcPr>
            <w:tcW w:w="384" w:type="pct"/>
            <w:tcBorders>
              <w:tl2br w:val="nil"/>
              <w:tr2bl w:val="nil"/>
            </w:tcBorders>
            <w:vAlign w:val="center"/>
          </w:tcPr>
          <w:p w14:paraId="284CFD40">
            <w:pPr>
              <w:keepNext w:val="0"/>
              <w:keepLines w:val="0"/>
              <w:suppressLineNumbers w:val="0"/>
              <w:spacing w:before="0" w:beforeAutospacing="0" w:after="0" w:afterAutospacing="0" w:line="320" w:lineRule="exact"/>
              <w:ind w:left="0" w:leftChars="0" w:right="0" w:rightChars="0" w:firstLine="0" w:firstLineChars="0"/>
              <w:jc w:val="center"/>
              <w:rPr>
                <w:rFonts w:hint="eastAsia" w:asciiTheme="minorEastAsia" w:hAnsiTheme="minorEastAsia" w:eastAsiaTheme="minorEastAsia" w:cstheme="minorBidi"/>
                <w:color w:val="auto"/>
                <w:kern w:val="2"/>
                <w:sz w:val="21"/>
                <w:szCs w:val="21"/>
                <w:lang w:val="en-US" w:eastAsia="zh-CN" w:bidi="ar-SA"/>
              </w:rPr>
            </w:pPr>
            <w:r>
              <w:rPr>
                <w:rFonts w:hint="eastAsia" w:asciiTheme="minorEastAsia" w:hAnsiTheme="minorEastAsia" w:eastAsiaTheme="minorEastAsia"/>
                <w:color w:val="auto"/>
                <w:sz w:val="21"/>
                <w:szCs w:val="21"/>
              </w:rPr>
              <w:t>Ⅲ级</w:t>
            </w:r>
          </w:p>
        </w:tc>
        <w:tc>
          <w:tcPr>
            <w:tcW w:w="389" w:type="pct"/>
            <w:vMerge w:val="continue"/>
            <w:tcBorders>
              <w:tl2br w:val="nil"/>
              <w:tr2bl w:val="nil"/>
            </w:tcBorders>
            <w:vAlign w:val="center"/>
          </w:tcPr>
          <w:p w14:paraId="1E586FA3">
            <w:pPr>
              <w:keepNext w:val="0"/>
              <w:keepLines w:val="0"/>
              <w:suppressLineNumbers w:val="0"/>
              <w:spacing w:before="0" w:beforeAutospacing="0" w:after="0" w:afterAutospacing="0" w:line="320" w:lineRule="exact"/>
              <w:ind w:left="0" w:leftChars="0" w:right="0" w:rightChars="0" w:firstLine="0" w:firstLineChars="0"/>
              <w:jc w:val="center"/>
              <w:rPr>
                <w:rFonts w:hint="eastAsia" w:asciiTheme="minorEastAsia" w:hAnsiTheme="minorEastAsia" w:eastAsiaTheme="minorEastAsia"/>
                <w:color w:val="auto"/>
                <w:sz w:val="21"/>
                <w:szCs w:val="21"/>
              </w:rPr>
            </w:pPr>
          </w:p>
        </w:tc>
      </w:tr>
      <w:tr w14:paraId="102AD40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276" w:type="pct"/>
            <w:tcBorders>
              <w:tl2br w:val="nil"/>
              <w:tr2bl w:val="nil"/>
            </w:tcBorders>
            <w:vAlign w:val="center"/>
          </w:tcPr>
          <w:p w14:paraId="1BE11581">
            <w:pPr>
              <w:keepNext w:val="0"/>
              <w:keepLines w:val="0"/>
              <w:suppressLineNumbers w:val="0"/>
              <w:spacing w:before="0" w:beforeAutospacing="0" w:after="0" w:afterAutospacing="0" w:line="320" w:lineRule="exact"/>
              <w:ind w:left="0" w:right="0" w:firstLine="0" w:firstLineChars="0"/>
              <w:jc w:val="center"/>
              <w:rPr>
                <w:rFonts w:hint="default"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放炮及火药爆炸</w:t>
            </w:r>
          </w:p>
        </w:tc>
        <w:tc>
          <w:tcPr>
            <w:tcW w:w="2838" w:type="pct"/>
            <w:tcBorders>
              <w:tl2br w:val="nil"/>
              <w:tr2bl w:val="nil"/>
            </w:tcBorders>
            <w:vAlign w:val="center"/>
          </w:tcPr>
          <w:p w14:paraId="1E1B9804">
            <w:pPr>
              <w:keepNext w:val="0"/>
              <w:keepLines w:val="0"/>
              <w:suppressLineNumbers w:val="0"/>
              <w:spacing w:before="0" w:beforeAutospacing="0" w:after="0" w:afterAutospacing="0" w:line="320" w:lineRule="exact"/>
              <w:ind w:left="0" w:right="0" w:firstLine="0" w:firstLineChars="0"/>
              <w:rPr>
                <w:rFonts w:hint="default"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①违章运输和贮存爆炸危险品；②未按审批的爆破设计书或爆破说明书进行爆破施工；③进行爆破器材加工和爆破作业的人员穿戴产生静电的衣物；④爆破时没有按规定放好警戒或人员没有撤离到安全区域；⑤爆破后提前进入爆破区，爆破后没有检查或检查不彻底；⑥炸药质量不合格或使用不合格的起爆材料；⑦爆破时无人监爆，剩余爆破器材不及时清退；⑧安全教育不经常，安全检查不到位，未佩戴安全保护用品；⑨凿岩工未经培训考核合格，无证上岗，违章作业；⑩贯通掘进到一定距离未按规定停止一头作业。</w:t>
            </w:r>
          </w:p>
        </w:tc>
        <w:tc>
          <w:tcPr>
            <w:tcW w:w="417" w:type="pct"/>
            <w:tcBorders>
              <w:tl2br w:val="nil"/>
              <w:tr2bl w:val="nil"/>
            </w:tcBorders>
            <w:vAlign w:val="center"/>
          </w:tcPr>
          <w:p w14:paraId="5A573ABC">
            <w:pPr>
              <w:keepNext w:val="0"/>
              <w:keepLines w:val="0"/>
              <w:suppressLineNumbers w:val="0"/>
              <w:spacing w:before="0" w:beforeAutospacing="0" w:after="0" w:afterAutospacing="0" w:line="320" w:lineRule="exact"/>
              <w:ind w:left="0" w:right="0" w:firstLine="0" w:firstLineChars="0"/>
              <w:jc w:val="center"/>
              <w:rPr>
                <w:rFonts w:hint="default"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发生放炮火药爆炸事故</w:t>
            </w:r>
          </w:p>
        </w:tc>
        <w:tc>
          <w:tcPr>
            <w:tcW w:w="693" w:type="pct"/>
            <w:tcBorders>
              <w:tl2br w:val="nil"/>
              <w:tr2bl w:val="nil"/>
            </w:tcBorders>
            <w:vAlign w:val="center"/>
          </w:tcPr>
          <w:p w14:paraId="05963D94">
            <w:pPr>
              <w:keepNext w:val="0"/>
              <w:keepLines w:val="0"/>
              <w:suppressLineNumbers w:val="0"/>
              <w:spacing w:before="0" w:beforeAutospacing="0" w:after="0" w:afterAutospacing="0" w:line="320" w:lineRule="exact"/>
              <w:ind w:left="0" w:right="0" w:firstLine="0" w:firstLineChars="0"/>
              <w:jc w:val="center"/>
              <w:rPr>
                <w:rFonts w:hint="default"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人身伤亡</w:t>
            </w:r>
          </w:p>
        </w:tc>
        <w:tc>
          <w:tcPr>
            <w:tcW w:w="384" w:type="pct"/>
            <w:tcBorders>
              <w:tl2br w:val="nil"/>
              <w:tr2bl w:val="nil"/>
            </w:tcBorders>
            <w:vAlign w:val="center"/>
          </w:tcPr>
          <w:p w14:paraId="6D8367E0">
            <w:pPr>
              <w:keepNext w:val="0"/>
              <w:keepLines w:val="0"/>
              <w:suppressLineNumbers w:val="0"/>
              <w:spacing w:before="0" w:beforeAutospacing="0" w:after="0" w:afterAutospacing="0" w:line="320" w:lineRule="exact"/>
              <w:ind w:left="0" w:leftChars="0" w:right="0" w:rightChars="0" w:firstLine="0" w:firstLineChars="0"/>
              <w:jc w:val="center"/>
              <w:rPr>
                <w:rFonts w:hint="eastAsia" w:asciiTheme="minorEastAsia" w:hAnsiTheme="minorEastAsia" w:eastAsiaTheme="minorEastAsia" w:cstheme="minorBidi"/>
                <w:color w:val="auto"/>
                <w:kern w:val="2"/>
                <w:sz w:val="21"/>
                <w:szCs w:val="21"/>
                <w:lang w:val="en-US" w:eastAsia="zh-CN" w:bidi="ar-SA"/>
              </w:rPr>
            </w:pPr>
            <w:r>
              <w:rPr>
                <w:rFonts w:hint="eastAsia" w:asciiTheme="minorEastAsia" w:hAnsiTheme="minorEastAsia" w:eastAsiaTheme="minorEastAsia"/>
                <w:color w:val="auto"/>
                <w:sz w:val="21"/>
                <w:szCs w:val="21"/>
              </w:rPr>
              <w:t>Ⅲ级</w:t>
            </w:r>
          </w:p>
        </w:tc>
        <w:tc>
          <w:tcPr>
            <w:tcW w:w="389" w:type="pct"/>
            <w:vMerge w:val="continue"/>
            <w:tcBorders>
              <w:tl2br w:val="nil"/>
              <w:tr2bl w:val="nil"/>
            </w:tcBorders>
            <w:vAlign w:val="center"/>
          </w:tcPr>
          <w:p w14:paraId="085214C9">
            <w:pPr>
              <w:keepNext w:val="0"/>
              <w:keepLines w:val="0"/>
              <w:suppressLineNumbers w:val="0"/>
              <w:spacing w:before="0" w:beforeAutospacing="0" w:after="0" w:afterAutospacing="0" w:line="320" w:lineRule="exact"/>
              <w:ind w:left="0" w:leftChars="0" w:right="0" w:rightChars="0" w:firstLine="0" w:firstLineChars="0"/>
              <w:jc w:val="center"/>
              <w:rPr>
                <w:rFonts w:hint="eastAsia" w:asciiTheme="minorEastAsia" w:hAnsiTheme="minorEastAsia" w:eastAsiaTheme="minorEastAsia"/>
                <w:color w:val="auto"/>
                <w:sz w:val="21"/>
                <w:szCs w:val="21"/>
              </w:rPr>
            </w:pPr>
          </w:p>
        </w:tc>
      </w:tr>
      <w:tr w14:paraId="675690C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276" w:type="pct"/>
            <w:tcBorders>
              <w:tl2br w:val="nil"/>
              <w:tr2bl w:val="nil"/>
            </w:tcBorders>
            <w:vAlign w:val="center"/>
          </w:tcPr>
          <w:p w14:paraId="36FD478B">
            <w:pPr>
              <w:keepNext w:val="0"/>
              <w:keepLines w:val="0"/>
              <w:suppressLineNumbers w:val="0"/>
              <w:spacing w:before="0" w:beforeAutospacing="0" w:after="0" w:afterAutospacing="0" w:line="320" w:lineRule="exact"/>
              <w:ind w:left="0" w:right="0" w:firstLine="0" w:firstLineChars="0"/>
              <w:jc w:val="center"/>
              <w:rPr>
                <w:rFonts w:hint="default"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高处</w:t>
            </w:r>
          </w:p>
          <w:p w14:paraId="05B65FEB">
            <w:pPr>
              <w:keepNext w:val="0"/>
              <w:keepLines w:val="0"/>
              <w:suppressLineNumbers w:val="0"/>
              <w:spacing w:before="0" w:beforeAutospacing="0" w:after="0" w:afterAutospacing="0" w:line="320" w:lineRule="exact"/>
              <w:ind w:left="0" w:right="0" w:firstLine="0" w:firstLineChars="0"/>
              <w:jc w:val="center"/>
              <w:rPr>
                <w:rFonts w:hint="default"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坠落</w:t>
            </w:r>
          </w:p>
        </w:tc>
        <w:tc>
          <w:tcPr>
            <w:tcW w:w="2838" w:type="pct"/>
            <w:tcBorders>
              <w:tl2br w:val="nil"/>
              <w:tr2bl w:val="nil"/>
            </w:tcBorders>
            <w:vAlign w:val="center"/>
          </w:tcPr>
          <w:p w14:paraId="2B242DC9">
            <w:pPr>
              <w:keepNext w:val="0"/>
              <w:keepLines w:val="0"/>
              <w:suppressLineNumbers w:val="0"/>
              <w:spacing w:before="0" w:beforeAutospacing="0" w:after="0" w:afterAutospacing="0" w:line="320" w:lineRule="exact"/>
              <w:ind w:left="0" w:right="0" w:firstLine="0" w:firstLineChars="0"/>
              <w:rPr>
                <w:rFonts w:hint="default"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①人行道或人行天井梯子架设不牢或没有扶手；②采场无警示标志、防护栏、防护栏损坏或不符合安全要求，易导致高处坠落事故的发生；③施工采准工程时，作业人员存在高处作业，易造成坠落伤害；④高处作业人员未使用安全带、安全帽或使用的安全带不合格；⑤责任心不强，主观判断失误，或疏忽大意，疲劳过度；⑥地表塌陷区周围未设围栏和危险警示标志，人畜误入都可能造成高处坠落。</w:t>
            </w:r>
          </w:p>
        </w:tc>
        <w:tc>
          <w:tcPr>
            <w:tcW w:w="417" w:type="pct"/>
            <w:tcBorders>
              <w:tl2br w:val="nil"/>
              <w:tr2bl w:val="nil"/>
            </w:tcBorders>
            <w:vAlign w:val="center"/>
          </w:tcPr>
          <w:p w14:paraId="671D0217">
            <w:pPr>
              <w:keepNext w:val="0"/>
              <w:keepLines w:val="0"/>
              <w:suppressLineNumbers w:val="0"/>
              <w:spacing w:before="0" w:beforeAutospacing="0" w:after="0" w:afterAutospacing="0" w:line="320" w:lineRule="exact"/>
              <w:ind w:left="0" w:right="0" w:firstLine="0" w:firstLineChars="0"/>
              <w:jc w:val="center"/>
              <w:rPr>
                <w:rFonts w:hint="default"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发生高处坠落事故</w:t>
            </w:r>
          </w:p>
        </w:tc>
        <w:tc>
          <w:tcPr>
            <w:tcW w:w="693" w:type="pct"/>
            <w:tcBorders>
              <w:tl2br w:val="nil"/>
              <w:tr2bl w:val="nil"/>
            </w:tcBorders>
            <w:vAlign w:val="center"/>
          </w:tcPr>
          <w:p w14:paraId="49B2D8A4">
            <w:pPr>
              <w:keepNext w:val="0"/>
              <w:keepLines w:val="0"/>
              <w:suppressLineNumbers w:val="0"/>
              <w:spacing w:before="0" w:beforeAutospacing="0" w:after="0" w:afterAutospacing="0" w:line="320" w:lineRule="exact"/>
              <w:ind w:left="0" w:right="0" w:firstLine="0" w:firstLineChars="0"/>
              <w:jc w:val="center"/>
              <w:rPr>
                <w:rFonts w:hint="default"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人身伤亡</w:t>
            </w:r>
          </w:p>
        </w:tc>
        <w:tc>
          <w:tcPr>
            <w:tcW w:w="384" w:type="pct"/>
            <w:tcBorders>
              <w:tl2br w:val="nil"/>
              <w:tr2bl w:val="nil"/>
            </w:tcBorders>
            <w:vAlign w:val="center"/>
          </w:tcPr>
          <w:p w14:paraId="64E9624C">
            <w:pPr>
              <w:keepNext w:val="0"/>
              <w:keepLines w:val="0"/>
              <w:suppressLineNumbers w:val="0"/>
              <w:spacing w:before="0" w:beforeAutospacing="0" w:after="0" w:afterAutospacing="0" w:line="320" w:lineRule="exact"/>
              <w:ind w:left="0" w:leftChars="0" w:right="0" w:rightChars="0" w:firstLine="0" w:firstLineChars="0"/>
              <w:jc w:val="center"/>
              <w:rPr>
                <w:rFonts w:hint="eastAsia" w:asciiTheme="minorEastAsia" w:hAnsiTheme="minorEastAsia" w:eastAsiaTheme="minorEastAsia" w:cstheme="minorBidi"/>
                <w:color w:val="auto"/>
                <w:kern w:val="2"/>
                <w:sz w:val="21"/>
                <w:szCs w:val="21"/>
                <w:lang w:val="en-US" w:eastAsia="zh-CN" w:bidi="ar-SA"/>
              </w:rPr>
            </w:pPr>
            <w:r>
              <w:rPr>
                <w:rFonts w:hint="eastAsia" w:asciiTheme="minorEastAsia" w:hAnsiTheme="minorEastAsia" w:eastAsiaTheme="minorEastAsia"/>
                <w:color w:val="auto"/>
                <w:sz w:val="21"/>
                <w:szCs w:val="21"/>
              </w:rPr>
              <w:t>Ⅲ级</w:t>
            </w:r>
          </w:p>
        </w:tc>
        <w:tc>
          <w:tcPr>
            <w:tcW w:w="389" w:type="pct"/>
            <w:vMerge w:val="continue"/>
            <w:tcBorders>
              <w:tl2br w:val="nil"/>
              <w:tr2bl w:val="nil"/>
            </w:tcBorders>
            <w:vAlign w:val="center"/>
          </w:tcPr>
          <w:p w14:paraId="20783881">
            <w:pPr>
              <w:keepNext w:val="0"/>
              <w:keepLines w:val="0"/>
              <w:suppressLineNumbers w:val="0"/>
              <w:spacing w:before="0" w:beforeAutospacing="0" w:after="0" w:afterAutospacing="0" w:line="320" w:lineRule="exact"/>
              <w:ind w:left="0" w:leftChars="0" w:right="0" w:rightChars="0" w:firstLine="0" w:firstLineChars="0"/>
              <w:jc w:val="center"/>
              <w:rPr>
                <w:rFonts w:hint="eastAsia" w:asciiTheme="minorEastAsia" w:hAnsiTheme="minorEastAsia" w:eastAsiaTheme="minorEastAsia"/>
                <w:color w:val="auto"/>
                <w:sz w:val="21"/>
                <w:szCs w:val="21"/>
              </w:rPr>
            </w:pPr>
          </w:p>
        </w:tc>
      </w:tr>
      <w:tr w14:paraId="53C02F1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276" w:type="pct"/>
            <w:tcBorders>
              <w:tl2br w:val="nil"/>
              <w:tr2bl w:val="nil"/>
            </w:tcBorders>
            <w:vAlign w:val="center"/>
          </w:tcPr>
          <w:p w14:paraId="10F5DF5E">
            <w:pPr>
              <w:keepNext w:val="0"/>
              <w:keepLines w:val="0"/>
              <w:suppressLineNumbers w:val="0"/>
              <w:spacing w:before="0" w:beforeAutospacing="0" w:after="0" w:afterAutospacing="0" w:line="320" w:lineRule="exact"/>
              <w:ind w:left="0" w:right="0" w:firstLine="0" w:firstLineChars="0"/>
              <w:jc w:val="center"/>
              <w:rPr>
                <w:rFonts w:hint="default"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机械</w:t>
            </w:r>
          </w:p>
          <w:p w14:paraId="54BDEE59">
            <w:pPr>
              <w:keepNext w:val="0"/>
              <w:keepLines w:val="0"/>
              <w:suppressLineNumbers w:val="0"/>
              <w:spacing w:before="0" w:beforeAutospacing="0" w:after="0" w:afterAutospacing="0" w:line="320" w:lineRule="exact"/>
              <w:ind w:left="0" w:right="0" w:firstLine="0" w:firstLineChars="0"/>
              <w:jc w:val="center"/>
              <w:rPr>
                <w:rFonts w:hint="default"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伤害</w:t>
            </w:r>
          </w:p>
        </w:tc>
        <w:tc>
          <w:tcPr>
            <w:tcW w:w="2838" w:type="pct"/>
            <w:tcBorders>
              <w:tl2br w:val="nil"/>
              <w:tr2bl w:val="nil"/>
            </w:tcBorders>
            <w:vAlign w:val="center"/>
          </w:tcPr>
          <w:p w14:paraId="167E6805">
            <w:pPr>
              <w:keepNext w:val="0"/>
              <w:keepLines w:val="0"/>
              <w:suppressLineNumbers w:val="0"/>
              <w:spacing w:before="0" w:beforeAutospacing="0" w:after="0" w:afterAutospacing="0" w:line="320" w:lineRule="exact"/>
              <w:ind w:left="0" w:right="0" w:firstLine="0" w:firstLineChars="0"/>
              <w:rPr>
                <w:rFonts w:hint="default"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①未佩戴劳动保护用品；②操作或维修时违章作业；③运输车辆传动部位无保护装置；④运输、凿岩、破碎、主扇、局扇等设备无安全防护装置。</w:t>
            </w:r>
          </w:p>
        </w:tc>
        <w:tc>
          <w:tcPr>
            <w:tcW w:w="417" w:type="pct"/>
            <w:tcBorders>
              <w:tl2br w:val="nil"/>
              <w:tr2bl w:val="nil"/>
            </w:tcBorders>
            <w:vAlign w:val="center"/>
          </w:tcPr>
          <w:p w14:paraId="502DCE42">
            <w:pPr>
              <w:keepNext w:val="0"/>
              <w:keepLines w:val="0"/>
              <w:suppressLineNumbers w:val="0"/>
              <w:spacing w:before="0" w:beforeAutospacing="0" w:after="0" w:afterAutospacing="0" w:line="320" w:lineRule="exact"/>
              <w:ind w:left="0" w:right="0" w:firstLine="0" w:firstLineChars="0"/>
              <w:jc w:val="center"/>
              <w:rPr>
                <w:rFonts w:hint="default"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发生机械伤害事故</w:t>
            </w:r>
          </w:p>
        </w:tc>
        <w:tc>
          <w:tcPr>
            <w:tcW w:w="693" w:type="pct"/>
            <w:tcBorders>
              <w:tl2br w:val="nil"/>
              <w:tr2bl w:val="nil"/>
            </w:tcBorders>
            <w:vAlign w:val="center"/>
          </w:tcPr>
          <w:p w14:paraId="5F4D79AD">
            <w:pPr>
              <w:keepNext w:val="0"/>
              <w:keepLines w:val="0"/>
              <w:suppressLineNumbers w:val="0"/>
              <w:spacing w:before="0" w:beforeAutospacing="0" w:after="0" w:afterAutospacing="0" w:line="320" w:lineRule="exact"/>
              <w:ind w:left="0" w:right="0" w:firstLine="0" w:firstLineChars="0"/>
              <w:jc w:val="center"/>
              <w:rPr>
                <w:rFonts w:hint="default"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人员伤亡、设备损坏</w:t>
            </w:r>
          </w:p>
        </w:tc>
        <w:tc>
          <w:tcPr>
            <w:tcW w:w="384" w:type="pct"/>
            <w:tcBorders>
              <w:tl2br w:val="nil"/>
              <w:tr2bl w:val="nil"/>
            </w:tcBorders>
            <w:vAlign w:val="center"/>
          </w:tcPr>
          <w:p w14:paraId="1ADCD447">
            <w:pPr>
              <w:keepNext w:val="0"/>
              <w:keepLines w:val="0"/>
              <w:suppressLineNumbers w:val="0"/>
              <w:spacing w:before="0" w:beforeAutospacing="0" w:after="0" w:afterAutospacing="0" w:line="320" w:lineRule="exact"/>
              <w:ind w:left="0" w:leftChars="0" w:right="0" w:rightChars="0" w:firstLine="0" w:firstLineChars="0"/>
              <w:jc w:val="center"/>
              <w:rPr>
                <w:rFonts w:hint="eastAsia" w:asciiTheme="minorEastAsia" w:hAnsiTheme="minorEastAsia" w:eastAsiaTheme="minorEastAsia" w:cstheme="minorBidi"/>
                <w:color w:val="auto"/>
                <w:kern w:val="2"/>
                <w:sz w:val="21"/>
                <w:szCs w:val="21"/>
                <w:lang w:val="en-US" w:eastAsia="zh-CN" w:bidi="ar-SA"/>
              </w:rPr>
            </w:pPr>
            <w:r>
              <w:rPr>
                <w:rFonts w:hint="eastAsia" w:asciiTheme="minorEastAsia" w:hAnsiTheme="minorEastAsia" w:eastAsiaTheme="minorEastAsia"/>
                <w:color w:val="auto"/>
                <w:sz w:val="21"/>
                <w:szCs w:val="21"/>
              </w:rPr>
              <w:t>Ⅲ级</w:t>
            </w:r>
          </w:p>
        </w:tc>
        <w:tc>
          <w:tcPr>
            <w:tcW w:w="389" w:type="pct"/>
            <w:vMerge w:val="continue"/>
            <w:tcBorders>
              <w:tl2br w:val="nil"/>
              <w:tr2bl w:val="nil"/>
            </w:tcBorders>
            <w:vAlign w:val="center"/>
          </w:tcPr>
          <w:p w14:paraId="41D63163">
            <w:pPr>
              <w:keepNext w:val="0"/>
              <w:keepLines w:val="0"/>
              <w:suppressLineNumbers w:val="0"/>
              <w:spacing w:before="0" w:beforeAutospacing="0" w:after="0" w:afterAutospacing="0" w:line="320" w:lineRule="exact"/>
              <w:ind w:left="0" w:leftChars="0" w:right="0" w:rightChars="0" w:firstLine="0" w:firstLineChars="0"/>
              <w:jc w:val="center"/>
              <w:rPr>
                <w:rFonts w:hint="eastAsia" w:asciiTheme="minorEastAsia" w:hAnsiTheme="minorEastAsia" w:eastAsiaTheme="minorEastAsia"/>
                <w:color w:val="auto"/>
                <w:sz w:val="21"/>
                <w:szCs w:val="21"/>
              </w:rPr>
            </w:pPr>
          </w:p>
        </w:tc>
      </w:tr>
      <w:tr w14:paraId="6D3F4CD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276" w:type="pct"/>
            <w:tcBorders>
              <w:tl2br w:val="nil"/>
              <w:tr2bl w:val="nil"/>
            </w:tcBorders>
            <w:vAlign w:val="center"/>
          </w:tcPr>
          <w:p w14:paraId="4121BF18">
            <w:pPr>
              <w:keepNext w:val="0"/>
              <w:keepLines w:val="0"/>
              <w:suppressLineNumbers w:val="0"/>
              <w:spacing w:before="0" w:beforeAutospacing="0" w:after="0" w:afterAutospacing="0" w:line="320" w:lineRule="exact"/>
              <w:ind w:left="0" w:right="0" w:firstLine="0" w:firstLineChars="0"/>
              <w:jc w:val="center"/>
              <w:rPr>
                <w:rFonts w:hint="default"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物体打击</w:t>
            </w:r>
          </w:p>
        </w:tc>
        <w:tc>
          <w:tcPr>
            <w:tcW w:w="2838" w:type="pct"/>
            <w:tcBorders>
              <w:tl2br w:val="nil"/>
              <w:tr2bl w:val="nil"/>
            </w:tcBorders>
            <w:vAlign w:val="center"/>
          </w:tcPr>
          <w:p w14:paraId="6B91C083">
            <w:pPr>
              <w:keepNext w:val="0"/>
              <w:keepLines w:val="0"/>
              <w:suppressLineNumbers w:val="0"/>
              <w:spacing w:before="0" w:beforeAutospacing="0" w:after="0" w:afterAutospacing="0" w:line="320" w:lineRule="exact"/>
              <w:ind w:left="0" w:right="0" w:firstLine="0" w:firstLineChars="0"/>
              <w:rPr>
                <w:rFonts w:hint="default"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①天井未设置醒目标志、照明设施、护栏及盖板；②天井掘进、天井梯子安装、人员上下联络道、矿岩破碎过程，缺少安全防护措施；③装卸矿岩时，缺乏安全管理及防护措施。</w:t>
            </w:r>
          </w:p>
        </w:tc>
        <w:tc>
          <w:tcPr>
            <w:tcW w:w="417" w:type="pct"/>
            <w:tcBorders>
              <w:tl2br w:val="nil"/>
              <w:tr2bl w:val="nil"/>
            </w:tcBorders>
            <w:vAlign w:val="center"/>
          </w:tcPr>
          <w:p w14:paraId="402B0116">
            <w:pPr>
              <w:keepNext w:val="0"/>
              <w:keepLines w:val="0"/>
              <w:suppressLineNumbers w:val="0"/>
              <w:spacing w:before="0" w:beforeAutospacing="0" w:after="0" w:afterAutospacing="0" w:line="320" w:lineRule="exact"/>
              <w:ind w:left="0" w:right="0" w:firstLine="0" w:firstLineChars="0"/>
              <w:jc w:val="center"/>
              <w:rPr>
                <w:rFonts w:hint="default"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发生物体打击事故</w:t>
            </w:r>
          </w:p>
        </w:tc>
        <w:tc>
          <w:tcPr>
            <w:tcW w:w="693" w:type="pct"/>
            <w:tcBorders>
              <w:tl2br w:val="nil"/>
              <w:tr2bl w:val="nil"/>
            </w:tcBorders>
            <w:vAlign w:val="center"/>
          </w:tcPr>
          <w:p w14:paraId="2D1D8413">
            <w:pPr>
              <w:keepNext w:val="0"/>
              <w:keepLines w:val="0"/>
              <w:suppressLineNumbers w:val="0"/>
              <w:spacing w:before="0" w:beforeAutospacing="0" w:after="0" w:afterAutospacing="0" w:line="320" w:lineRule="exact"/>
              <w:ind w:left="0" w:right="0" w:firstLine="0" w:firstLineChars="0"/>
              <w:jc w:val="center"/>
              <w:rPr>
                <w:rFonts w:hint="default"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人员伤亡</w:t>
            </w:r>
          </w:p>
        </w:tc>
        <w:tc>
          <w:tcPr>
            <w:tcW w:w="384" w:type="pct"/>
            <w:tcBorders>
              <w:tl2br w:val="nil"/>
              <w:tr2bl w:val="nil"/>
            </w:tcBorders>
            <w:vAlign w:val="center"/>
          </w:tcPr>
          <w:p w14:paraId="63DEC0BB">
            <w:pPr>
              <w:keepNext w:val="0"/>
              <w:keepLines w:val="0"/>
              <w:suppressLineNumbers w:val="0"/>
              <w:spacing w:before="0" w:beforeAutospacing="0" w:after="0" w:afterAutospacing="0" w:line="320" w:lineRule="exact"/>
              <w:ind w:left="0" w:leftChars="0" w:right="0" w:rightChars="0" w:firstLine="0" w:firstLineChars="0"/>
              <w:jc w:val="center"/>
              <w:rPr>
                <w:rFonts w:hint="eastAsia" w:asciiTheme="minorEastAsia" w:hAnsiTheme="minorEastAsia" w:eastAsiaTheme="minorEastAsia" w:cstheme="minorBidi"/>
                <w:color w:val="auto"/>
                <w:kern w:val="2"/>
                <w:sz w:val="21"/>
                <w:szCs w:val="21"/>
                <w:lang w:val="en-US" w:eastAsia="zh-CN" w:bidi="ar-SA"/>
              </w:rPr>
            </w:pPr>
            <w:r>
              <w:rPr>
                <w:rFonts w:hint="eastAsia" w:asciiTheme="minorEastAsia" w:hAnsiTheme="minorEastAsia" w:eastAsiaTheme="minorEastAsia"/>
                <w:color w:val="auto"/>
                <w:sz w:val="21"/>
                <w:szCs w:val="21"/>
              </w:rPr>
              <w:t>Ⅲ级</w:t>
            </w:r>
          </w:p>
        </w:tc>
        <w:tc>
          <w:tcPr>
            <w:tcW w:w="389" w:type="pct"/>
            <w:vMerge w:val="continue"/>
            <w:tcBorders>
              <w:tl2br w:val="nil"/>
              <w:tr2bl w:val="nil"/>
            </w:tcBorders>
            <w:vAlign w:val="center"/>
          </w:tcPr>
          <w:p w14:paraId="57513440">
            <w:pPr>
              <w:keepNext w:val="0"/>
              <w:keepLines w:val="0"/>
              <w:suppressLineNumbers w:val="0"/>
              <w:spacing w:before="0" w:beforeAutospacing="0" w:after="0" w:afterAutospacing="0" w:line="320" w:lineRule="exact"/>
              <w:ind w:left="0" w:leftChars="0" w:right="0" w:rightChars="0" w:firstLine="0" w:firstLineChars="0"/>
              <w:jc w:val="center"/>
              <w:rPr>
                <w:rFonts w:hint="eastAsia" w:asciiTheme="minorEastAsia" w:hAnsiTheme="minorEastAsia" w:eastAsiaTheme="minorEastAsia"/>
                <w:color w:val="auto"/>
                <w:sz w:val="21"/>
                <w:szCs w:val="21"/>
              </w:rPr>
            </w:pPr>
          </w:p>
        </w:tc>
      </w:tr>
      <w:tr w14:paraId="050D3DA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276" w:type="pct"/>
            <w:tcBorders>
              <w:tl2br w:val="nil"/>
              <w:tr2bl w:val="nil"/>
            </w:tcBorders>
            <w:vAlign w:val="center"/>
          </w:tcPr>
          <w:p w14:paraId="7C3D0CFE">
            <w:pPr>
              <w:keepNext w:val="0"/>
              <w:keepLines w:val="0"/>
              <w:suppressLineNumbers w:val="0"/>
              <w:spacing w:before="0" w:beforeAutospacing="0" w:after="0" w:afterAutospacing="0" w:line="320" w:lineRule="exact"/>
              <w:ind w:left="0" w:right="0" w:firstLine="0" w:firstLineChars="0"/>
              <w:jc w:val="center"/>
              <w:rPr>
                <w:rFonts w:hint="default"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容器爆炸</w:t>
            </w:r>
          </w:p>
        </w:tc>
        <w:tc>
          <w:tcPr>
            <w:tcW w:w="2838" w:type="pct"/>
            <w:tcBorders>
              <w:tl2br w:val="nil"/>
              <w:tr2bl w:val="nil"/>
            </w:tcBorders>
            <w:vAlign w:val="center"/>
          </w:tcPr>
          <w:p w14:paraId="660865F1">
            <w:pPr>
              <w:keepNext w:val="0"/>
              <w:keepLines w:val="0"/>
              <w:suppressLineNumbers w:val="0"/>
              <w:spacing w:before="0" w:beforeAutospacing="0" w:after="0" w:afterAutospacing="0" w:line="320" w:lineRule="exact"/>
              <w:ind w:left="0" w:right="0" w:firstLine="0" w:firstLineChars="0"/>
              <w:rPr>
                <w:rFonts w:hint="default"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①氧气或乙炔气瓶存放或使用不符合安全要求；②具有压力的容器等特种设备没有经过有关部门定期检测或检测后没有及时整改；③特种设备操作人员没有培训取得资格证后上岗作业；④空压机风包着火后引起爆炸。</w:t>
            </w:r>
          </w:p>
        </w:tc>
        <w:tc>
          <w:tcPr>
            <w:tcW w:w="417" w:type="pct"/>
            <w:tcBorders>
              <w:tl2br w:val="nil"/>
              <w:tr2bl w:val="nil"/>
            </w:tcBorders>
            <w:vAlign w:val="center"/>
          </w:tcPr>
          <w:p w14:paraId="09D6FF3D">
            <w:pPr>
              <w:keepNext w:val="0"/>
              <w:keepLines w:val="0"/>
              <w:suppressLineNumbers w:val="0"/>
              <w:spacing w:before="0" w:beforeAutospacing="0" w:after="0" w:afterAutospacing="0" w:line="320" w:lineRule="exact"/>
              <w:ind w:left="0" w:right="0" w:firstLine="0" w:firstLineChars="0"/>
              <w:jc w:val="center"/>
              <w:rPr>
                <w:rFonts w:hint="default"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发生容器爆炸事故</w:t>
            </w:r>
          </w:p>
        </w:tc>
        <w:tc>
          <w:tcPr>
            <w:tcW w:w="693" w:type="pct"/>
            <w:tcBorders>
              <w:tl2br w:val="nil"/>
              <w:tr2bl w:val="nil"/>
            </w:tcBorders>
            <w:vAlign w:val="center"/>
          </w:tcPr>
          <w:p w14:paraId="7DB38345">
            <w:pPr>
              <w:keepNext w:val="0"/>
              <w:keepLines w:val="0"/>
              <w:suppressLineNumbers w:val="0"/>
              <w:spacing w:before="0" w:beforeAutospacing="0" w:after="0" w:afterAutospacing="0" w:line="320" w:lineRule="exact"/>
              <w:ind w:left="0" w:right="0" w:firstLine="0" w:firstLineChars="0"/>
              <w:jc w:val="center"/>
              <w:rPr>
                <w:rFonts w:hint="default"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人员伤亡、财产损失</w:t>
            </w:r>
          </w:p>
        </w:tc>
        <w:tc>
          <w:tcPr>
            <w:tcW w:w="384" w:type="pct"/>
            <w:tcBorders>
              <w:tl2br w:val="nil"/>
              <w:tr2bl w:val="nil"/>
            </w:tcBorders>
            <w:vAlign w:val="center"/>
          </w:tcPr>
          <w:p w14:paraId="320B21C3">
            <w:pPr>
              <w:keepNext w:val="0"/>
              <w:keepLines w:val="0"/>
              <w:suppressLineNumbers w:val="0"/>
              <w:spacing w:before="0" w:beforeAutospacing="0" w:after="0" w:afterAutospacing="0" w:line="320" w:lineRule="exact"/>
              <w:ind w:left="0" w:leftChars="0" w:right="0" w:rightChars="0" w:firstLine="0" w:firstLineChars="0"/>
              <w:jc w:val="center"/>
              <w:rPr>
                <w:rFonts w:hint="eastAsia" w:asciiTheme="minorEastAsia" w:hAnsiTheme="minorEastAsia" w:eastAsiaTheme="minorEastAsia" w:cstheme="minorBidi"/>
                <w:color w:val="auto"/>
                <w:kern w:val="2"/>
                <w:sz w:val="21"/>
                <w:szCs w:val="21"/>
                <w:lang w:val="en-US" w:eastAsia="zh-CN" w:bidi="ar-SA"/>
              </w:rPr>
            </w:pPr>
            <w:r>
              <w:rPr>
                <w:rFonts w:hint="eastAsia" w:asciiTheme="minorEastAsia" w:hAnsiTheme="minorEastAsia" w:eastAsiaTheme="minorEastAsia"/>
                <w:color w:val="auto"/>
                <w:sz w:val="21"/>
                <w:szCs w:val="21"/>
              </w:rPr>
              <w:t>Ⅲ级</w:t>
            </w:r>
          </w:p>
        </w:tc>
        <w:tc>
          <w:tcPr>
            <w:tcW w:w="389" w:type="pct"/>
            <w:vMerge w:val="continue"/>
            <w:tcBorders>
              <w:tl2br w:val="nil"/>
              <w:tr2bl w:val="nil"/>
            </w:tcBorders>
            <w:vAlign w:val="center"/>
          </w:tcPr>
          <w:p w14:paraId="660A79FC">
            <w:pPr>
              <w:keepNext w:val="0"/>
              <w:keepLines w:val="0"/>
              <w:suppressLineNumbers w:val="0"/>
              <w:spacing w:before="0" w:beforeAutospacing="0" w:after="0" w:afterAutospacing="0" w:line="320" w:lineRule="exact"/>
              <w:ind w:left="0" w:leftChars="0" w:right="0" w:rightChars="0" w:firstLine="0" w:firstLineChars="0"/>
              <w:jc w:val="center"/>
              <w:rPr>
                <w:rFonts w:hint="eastAsia" w:asciiTheme="minorEastAsia" w:hAnsiTheme="minorEastAsia" w:eastAsiaTheme="minorEastAsia"/>
                <w:color w:val="auto"/>
                <w:sz w:val="21"/>
                <w:szCs w:val="21"/>
              </w:rPr>
            </w:pPr>
          </w:p>
        </w:tc>
      </w:tr>
      <w:tr w14:paraId="5867223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276" w:type="pct"/>
            <w:tcBorders>
              <w:tl2br w:val="nil"/>
              <w:tr2bl w:val="nil"/>
            </w:tcBorders>
            <w:vAlign w:val="center"/>
          </w:tcPr>
          <w:p w14:paraId="1A2DD05B">
            <w:pPr>
              <w:keepNext w:val="0"/>
              <w:keepLines w:val="0"/>
              <w:suppressLineNumbers w:val="0"/>
              <w:spacing w:before="0" w:beforeAutospacing="0" w:after="0" w:afterAutospacing="0" w:line="320" w:lineRule="exact"/>
              <w:ind w:left="0" w:right="0" w:firstLine="0" w:firstLineChars="0"/>
              <w:jc w:val="center"/>
              <w:rPr>
                <w:rFonts w:hint="default"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中毒和窒息</w:t>
            </w:r>
          </w:p>
        </w:tc>
        <w:tc>
          <w:tcPr>
            <w:tcW w:w="2838" w:type="pct"/>
            <w:tcBorders>
              <w:tl2br w:val="nil"/>
              <w:tr2bl w:val="nil"/>
            </w:tcBorders>
            <w:vAlign w:val="center"/>
          </w:tcPr>
          <w:p w14:paraId="03592071">
            <w:pPr>
              <w:keepNext w:val="0"/>
              <w:keepLines w:val="0"/>
              <w:suppressLineNumbers w:val="0"/>
              <w:spacing w:before="0" w:beforeAutospacing="0" w:after="0" w:afterAutospacing="0" w:line="320" w:lineRule="exact"/>
              <w:ind w:left="0" w:right="0" w:firstLine="0" w:firstLineChars="0"/>
              <w:rPr>
                <w:rFonts w:hint="default"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①采掘工作面放完炮，未待炮烟吹散人员提前进入工作面；②未制定预防炮烟中毒的安全技术措施；③矿井火灾产生烟气；④采场未采用贯穿风流通风，掘进工作面未采用局扇通风；⑤工作人员未正确佩戴防护用品。</w:t>
            </w:r>
          </w:p>
        </w:tc>
        <w:tc>
          <w:tcPr>
            <w:tcW w:w="417" w:type="pct"/>
            <w:tcBorders>
              <w:tl2br w:val="nil"/>
              <w:tr2bl w:val="nil"/>
            </w:tcBorders>
            <w:vAlign w:val="center"/>
          </w:tcPr>
          <w:p w14:paraId="13542D6B">
            <w:pPr>
              <w:keepNext w:val="0"/>
              <w:keepLines w:val="0"/>
              <w:suppressLineNumbers w:val="0"/>
              <w:spacing w:before="0" w:beforeAutospacing="0" w:after="0" w:afterAutospacing="0" w:line="320" w:lineRule="exact"/>
              <w:ind w:left="0" w:right="0" w:firstLine="0" w:firstLineChars="0"/>
              <w:jc w:val="center"/>
              <w:rPr>
                <w:rFonts w:hint="default"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发生中毒窒息事故</w:t>
            </w:r>
          </w:p>
        </w:tc>
        <w:tc>
          <w:tcPr>
            <w:tcW w:w="693" w:type="pct"/>
            <w:tcBorders>
              <w:tl2br w:val="nil"/>
              <w:tr2bl w:val="nil"/>
            </w:tcBorders>
            <w:vAlign w:val="center"/>
          </w:tcPr>
          <w:p w14:paraId="5BED230C">
            <w:pPr>
              <w:keepNext w:val="0"/>
              <w:keepLines w:val="0"/>
              <w:suppressLineNumbers w:val="0"/>
              <w:spacing w:before="0" w:beforeAutospacing="0" w:after="0" w:afterAutospacing="0" w:line="320" w:lineRule="exact"/>
              <w:ind w:left="0" w:right="0" w:firstLine="0" w:firstLineChars="0"/>
              <w:jc w:val="center"/>
              <w:rPr>
                <w:rFonts w:hint="eastAsia" w:asciiTheme="minorEastAsia" w:hAnsiTheme="minorEastAsia" w:eastAsiaTheme="minorEastAsia"/>
                <w:color w:val="auto"/>
                <w:sz w:val="21"/>
                <w:szCs w:val="21"/>
                <w:lang w:eastAsia="zh-CN"/>
              </w:rPr>
            </w:pPr>
            <w:r>
              <w:rPr>
                <w:rFonts w:hint="eastAsia" w:asciiTheme="minorEastAsia" w:hAnsiTheme="minorEastAsia" w:eastAsiaTheme="minorEastAsia"/>
                <w:color w:val="auto"/>
                <w:sz w:val="21"/>
                <w:szCs w:val="21"/>
                <w:lang w:eastAsia="zh-CN"/>
              </w:rPr>
              <w:t>人员重大伤亡</w:t>
            </w:r>
          </w:p>
        </w:tc>
        <w:tc>
          <w:tcPr>
            <w:tcW w:w="384" w:type="pct"/>
            <w:tcBorders>
              <w:tl2br w:val="nil"/>
              <w:tr2bl w:val="nil"/>
            </w:tcBorders>
            <w:vAlign w:val="center"/>
          </w:tcPr>
          <w:p w14:paraId="02EDB671">
            <w:pPr>
              <w:keepNext w:val="0"/>
              <w:keepLines w:val="0"/>
              <w:suppressLineNumbers w:val="0"/>
              <w:spacing w:before="0" w:beforeAutospacing="0" w:after="0" w:afterAutospacing="0" w:line="320" w:lineRule="exact"/>
              <w:ind w:left="0" w:leftChars="0" w:right="0" w:rightChars="0" w:firstLine="0" w:firstLineChars="0"/>
              <w:jc w:val="center"/>
              <w:rPr>
                <w:rFonts w:hint="eastAsia" w:asciiTheme="minorEastAsia" w:hAnsiTheme="minorEastAsia" w:eastAsiaTheme="minorEastAsia" w:cstheme="minorBidi"/>
                <w:color w:val="auto"/>
                <w:kern w:val="2"/>
                <w:sz w:val="21"/>
                <w:szCs w:val="21"/>
                <w:lang w:val="en-US" w:eastAsia="zh-CN" w:bidi="ar-SA"/>
              </w:rPr>
            </w:pPr>
            <w:r>
              <w:rPr>
                <w:rFonts w:hint="eastAsia" w:asciiTheme="minorEastAsia" w:hAnsiTheme="minorEastAsia" w:eastAsiaTheme="minorEastAsia"/>
                <w:color w:val="auto"/>
                <w:sz w:val="21"/>
                <w:szCs w:val="21"/>
              </w:rPr>
              <w:t>Ⅳ级</w:t>
            </w:r>
          </w:p>
        </w:tc>
        <w:tc>
          <w:tcPr>
            <w:tcW w:w="389" w:type="pct"/>
            <w:tcBorders>
              <w:tl2br w:val="nil"/>
              <w:tr2bl w:val="nil"/>
            </w:tcBorders>
            <w:vAlign w:val="center"/>
          </w:tcPr>
          <w:p w14:paraId="5990E93C">
            <w:pPr>
              <w:keepNext w:val="0"/>
              <w:keepLines w:val="0"/>
              <w:suppressLineNumbers w:val="0"/>
              <w:spacing w:before="0" w:beforeAutospacing="0" w:after="0" w:afterAutospacing="0" w:line="320" w:lineRule="exact"/>
              <w:ind w:left="0" w:leftChars="0" w:right="0" w:rightChars="0" w:firstLine="0" w:firstLineChars="0"/>
              <w:jc w:val="center"/>
              <w:rPr>
                <w:rFonts w:hint="eastAsia"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见本报告4.2.</w:t>
            </w:r>
            <w:r>
              <w:rPr>
                <w:rFonts w:hint="eastAsia" w:asciiTheme="minorEastAsia" w:hAnsiTheme="minorEastAsia" w:eastAsiaTheme="minorEastAsia"/>
                <w:color w:val="auto"/>
                <w:sz w:val="21"/>
                <w:szCs w:val="21"/>
                <w:lang w:val="en-US" w:eastAsia="zh-CN"/>
              </w:rPr>
              <w:t>5</w:t>
            </w:r>
            <w:r>
              <w:rPr>
                <w:rFonts w:hint="eastAsia" w:asciiTheme="minorEastAsia" w:hAnsiTheme="minorEastAsia" w:eastAsiaTheme="minorEastAsia"/>
                <w:color w:val="auto"/>
                <w:sz w:val="21"/>
                <w:szCs w:val="21"/>
                <w:lang w:eastAsia="zh-CN"/>
              </w:rPr>
              <w:t>通风</w:t>
            </w:r>
            <w:r>
              <w:rPr>
                <w:rFonts w:hint="eastAsia" w:asciiTheme="minorEastAsia" w:hAnsiTheme="minorEastAsia" w:eastAsiaTheme="minorEastAsia"/>
                <w:color w:val="auto"/>
                <w:sz w:val="21"/>
                <w:szCs w:val="21"/>
              </w:rPr>
              <w:t>单元安全对策措施</w:t>
            </w:r>
          </w:p>
        </w:tc>
      </w:tr>
      <w:tr w14:paraId="08A7FAE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276" w:type="pct"/>
            <w:tcBorders>
              <w:tl2br w:val="nil"/>
              <w:tr2bl w:val="nil"/>
            </w:tcBorders>
            <w:vAlign w:val="center"/>
          </w:tcPr>
          <w:p w14:paraId="7AEA8C6E">
            <w:pPr>
              <w:keepNext w:val="0"/>
              <w:keepLines w:val="0"/>
              <w:suppressLineNumbers w:val="0"/>
              <w:spacing w:before="0" w:beforeAutospacing="0" w:after="0" w:afterAutospacing="0" w:line="320" w:lineRule="exact"/>
              <w:ind w:left="0" w:right="0" w:firstLine="0" w:firstLineChars="0"/>
              <w:jc w:val="center"/>
              <w:rPr>
                <w:rFonts w:hint="default"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粉尘</w:t>
            </w:r>
          </w:p>
        </w:tc>
        <w:tc>
          <w:tcPr>
            <w:tcW w:w="2838" w:type="pct"/>
            <w:tcBorders>
              <w:tl2br w:val="nil"/>
              <w:tr2bl w:val="nil"/>
            </w:tcBorders>
            <w:vAlign w:val="center"/>
          </w:tcPr>
          <w:p w14:paraId="2F9F225E">
            <w:pPr>
              <w:keepNext w:val="0"/>
              <w:keepLines w:val="0"/>
              <w:suppressLineNumbers w:val="0"/>
              <w:spacing w:before="0" w:beforeAutospacing="0" w:after="0" w:afterAutospacing="0" w:line="320" w:lineRule="exact"/>
              <w:ind w:left="0" w:right="0" w:firstLine="0" w:firstLineChars="0"/>
              <w:rPr>
                <w:rFonts w:hint="default"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①矿井风量、风质、风速不符合有关安全规定；②采场未采用贯穿风流通风，掘进工作面未采用局扇通风，造成采掘工作面粉尘超标；③未采用湿式凿岩，爆堆、装卸矿处等产尘地点，无洒水或喷雾降尘措施；④接触粉尘作业人员，未佩戴符合标准的防护用品。</w:t>
            </w:r>
          </w:p>
        </w:tc>
        <w:tc>
          <w:tcPr>
            <w:tcW w:w="417" w:type="pct"/>
            <w:tcBorders>
              <w:tl2br w:val="nil"/>
              <w:tr2bl w:val="nil"/>
            </w:tcBorders>
            <w:vAlign w:val="center"/>
          </w:tcPr>
          <w:p w14:paraId="50C44F6E">
            <w:pPr>
              <w:keepNext w:val="0"/>
              <w:keepLines w:val="0"/>
              <w:suppressLineNumbers w:val="0"/>
              <w:spacing w:before="0" w:beforeAutospacing="0" w:after="0" w:afterAutospacing="0" w:line="320" w:lineRule="exact"/>
              <w:ind w:left="0" w:right="0" w:firstLine="0" w:firstLineChars="0"/>
              <w:jc w:val="center"/>
              <w:rPr>
                <w:rFonts w:hint="default"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尘肺病</w:t>
            </w:r>
          </w:p>
        </w:tc>
        <w:tc>
          <w:tcPr>
            <w:tcW w:w="693" w:type="pct"/>
            <w:tcBorders>
              <w:tl2br w:val="nil"/>
              <w:tr2bl w:val="nil"/>
            </w:tcBorders>
            <w:vAlign w:val="center"/>
          </w:tcPr>
          <w:p w14:paraId="27F11D5E">
            <w:pPr>
              <w:keepNext w:val="0"/>
              <w:keepLines w:val="0"/>
              <w:suppressLineNumbers w:val="0"/>
              <w:spacing w:before="0" w:beforeAutospacing="0" w:after="0" w:afterAutospacing="0" w:line="320" w:lineRule="exact"/>
              <w:ind w:left="0" w:right="0" w:firstLine="0" w:firstLineChars="0"/>
              <w:jc w:val="center"/>
              <w:rPr>
                <w:rFonts w:hint="default"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职业病</w:t>
            </w:r>
          </w:p>
        </w:tc>
        <w:tc>
          <w:tcPr>
            <w:tcW w:w="384" w:type="pct"/>
            <w:tcBorders>
              <w:tl2br w:val="nil"/>
              <w:tr2bl w:val="nil"/>
            </w:tcBorders>
            <w:vAlign w:val="center"/>
          </w:tcPr>
          <w:p w14:paraId="22BACD80">
            <w:pPr>
              <w:keepNext w:val="0"/>
              <w:keepLines w:val="0"/>
              <w:suppressLineNumbers w:val="0"/>
              <w:spacing w:before="0" w:beforeAutospacing="0" w:after="0" w:afterAutospacing="0" w:line="320" w:lineRule="exact"/>
              <w:ind w:left="0" w:leftChars="0" w:right="0" w:rightChars="0" w:firstLine="0" w:firstLineChars="0"/>
              <w:jc w:val="center"/>
              <w:rPr>
                <w:rFonts w:hint="eastAsia" w:asciiTheme="minorEastAsia" w:hAnsiTheme="minorEastAsia" w:eastAsiaTheme="minorEastAsia" w:cstheme="minorBidi"/>
                <w:color w:val="auto"/>
                <w:kern w:val="2"/>
                <w:sz w:val="21"/>
                <w:szCs w:val="21"/>
                <w:lang w:val="en-US" w:eastAsia="zh-CN" w:bidi="ar-SA"/>
              </w:rPr>
            </w:pPr>
            <w:r>
              <w:rPr>
                <w:rFonts w:hint="eastAsia" w:asciiTheme="minorEastAsia" w:hAnsiTheme="minorEastAsia" w:eastAsiaTheme="minorEastAsia"/>
                <w:color w:val="auto"/>
                <w:sz w:val="21"/>
                <w:szCs w:val="21"/>
              </w:rPr>
              <w:t>Ⅱ级</w:t>
            </w:r>
          </w:p>
        </w:tc>
        <w:tc>
          <w:tcPr>
            <w:tcW w:w="389" w:type="pct"/>
            <w:vMerge w:val="restart"/>
            <w:tcBorders>
              <w:tl2br w:val="nil"/>
              <w:tr2bl w:val="nil"/>
            </w:tcBorders>
            <w:vAlign w:val="center"/>
          </w:tcPr>
          <w:p w14:paraId="5E0D5CB9">
            <w:pPr>
              <w:keepNext w:val="0"/>
              <w:keepLines w:val="0"/>
              <w:suppressLineNumbers w:val="0"/>
              <w:spacing w:before="0" w:beforeAutospacing="0" w:after="0" w:afterAutospacing="0" w:line="320" w:lineRule="exact"/>
              <w:ind w:left="0" w:leftChars="0" w:right="0" w:rightChars="0" w:firstLine="0" w:firstLineChars="0"/>
              <w:jc w:val="center"/>
              <w:rPr>
                <w:rFonts w:hint="eastAsia"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见本报告4.2.4采掘单元安全对策措施</w:t>
            </w:r>
          </w:p>
        </w:tc>
      </w:tr>
      <w:tr w14:paraId="2EE469C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276" w:type="pct"/>
            <w:tcBorders>
              <w:tl2br w:val="nil"/>
              <w:tr2bl w:val="nil"/>
            </w:tcBorders>
            <w:vAlign w:val="center"/>
          </w:tcPr>
          <w:p w14:paraId="3EBFC1C6">
            <w:pPr>
              <w:keepNext w:val="0"/>
              <w:keepLines w:val="0"/>
              <w:suppressLineNumbers w:val="0"/>
              <w:spacing w:before="0" w:beforeAutospacing="0" w:after="0" w:afterAutospacing="0" w:line="320" w:lineRule="exact"/>
              <w:ind w:left="0" w:right="0" w:firstLine="0" w:firstLineChars="0"/>
              <w:jc w:val="center"/>
              <w:rPr>
                <w:rFonts w:hint="default"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噪声</w:t>
            </w:r>
          </w:p>
        </w:tc>
        <w:tc>
          <w:tcPr>
            <w:tcW w:w="2838" w:type="pct"/>
            <w:tcBorders>
              <w:tl2br w:val="nil"/>
              <w:tr2bl w:val="nil"/>
            </w:tcBorders>
            <w:vAlign w:val="center"/>
          </w:tcPr>
          <w:p w14:paraId="1A628551">
            <w:pPr>
              <w:keepNext w:val="0"/>
              <w:keepLines w:val="0"/>
              <w:suppressLineNumbers w:val="0"/>
              <w:spacing w:before="0" w:beforeAutospacing="0" w:after="0" w:afterAutospacing="0" w:line="320" w:lineRule="exact"/>
              <w:ind w:left="0" w:right="0" w:firstLine="0" w:firstLineChars="0"/>
              <w:rPr>
                <w:rFonts w:hint="default"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①井下爆破时，没有采取预防措施，如爆破人员没有使用耳塞、没有钻入躲避洞、或没有远离爆破警戒区域；②空压机、风机、凿岩机等产噪设备没有减振、消音措施；③各设备在运转中的振动、摩擦、碰撞而产生的机械噪声和电动机等电气设备所产生的电磁辐射噪声。</w:t>
            </w:r>
          </w:p>
        </w:tc>
        <w:tc>
          <w:tcPr>
            <w:tcW w:w="417" w:type="pct"/>
            <w:tcBorders>
              <w:tl2br w:val="nil"/>
              <w:tr2bl w:val="nil"/>
            </w:tcBorders>
            <w:vAlign w:val="center"/>
          </w:tcPr>
          <w:p w14:paraId="11FF13FE">
            <w:pPr>
              <w:keepNext w:val="0"/>
              <w:keepLines w:val="0"/>
              <w:suppressLineNumbers w:val="0"/>
              <w:spacing w:before="0" w:beforeAutospacing="0" w:after="0" w:afterAutospacing="0" w:line="320" w:lineRule="exact"/>
              <w:ind w:left="0" w:right="0" w:firstLine="0" w:firstLineChars="0"/>
              <w:jc w:val="center"/>
              <w:rPr>
                <w:rFonts w:hint="default"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听觉神经系统内分泌系统</w:t>
            </w:r>
          </w:p>
        </w:tc>
        <w:tc>
          <w:tcPr>
            <w:tcW w:w="693" w:type="pct"/>
            <w:tcBorders>
              <w:tl2br w:val="nil"/>
              <w:tr2bl w:val="nil"/>
            </w:tcBorders>
            <w:vAlign w:val="center"/>
          </w:tcPr>
          <w:p w14:paraId="4A2154AE">
            <w:pPr>
              <w:pStyle w:val="21"/>
              <w:keepNext w:val="0"/>
              <w:keepLines w:val="0"/>
              <w:suppressLineNumbers w:val="0"/>
              <w:spacing w:before="0" w:beforeAutospacing="0" w:after="0" w:afterAutospacing="0" w:line="320" w:lineRule="exact"/>
              <w:ind w:left="0" w:right="0"/>
              <w:rPr>
                <w:rFonts w:hint="default" w:cs="宋体" w:asciiTheme="minorEastAsia" w:hAnsiTheme="minorEastAsia" w:eastAsiaTheme="minorEastAsia"/>
                <w:color w:val="auto"/>
                <w:kern w:val="2"/>
                <w:sz w:val="21"/>
              </w:rPr>
            </w:pPr>
            <w:r>
              <w:rPr>
                <w:rFonts w:hint="eastAsia" w:cs="宋体" w:asciiTheme="minorEastAsia" w:hAnsiTheme="minorEastAsia" w:eastAsiaTheme="minorEastAsia"/>
                <w:color w:val="auto"/>
                <w:kern w:val="2"/>
                <w:sz w:val="21"/>
              </w:rPr>
              <w:t>职业病</w:t>
            </w:r>
          </w:p>
        </w:tc>
        <w:tc>
          <w:tcPr>
            <w:tcW w:w="384" w:type="pct"/>
            <w:tcBorders>
              <w:tl2br w:val="nil"/>
              <w:tr2bl w:val="nil"/>
            </w:tcBorders>
            <w:vAlign w:val="center"/>
          </w:tcPr>
          <w:p w14:paraId="4655B7BC">
            <w:pPr>
              <w:pStyle w:val="21"/>
              <w:keepNext w:val="0"/>
              <w:keepLines w:val="0"/>
              <w:suppressLineNumbers w:val="0"/>
              <w:spacing w:before="0" w:beforeAutospacing="0" w:after="0" w:afterAutospacing="0" w:line="320" w:lineRule="exact"/>
              <w:ind w:left="0" w:right="0"/>
              <w:rPr>
                <w:rFonts w:hint="eastAsia" w:cs="宋体" w:asciiTheme="minorEastAsia" w:hAnsiTheme="minorEastAsia" w:eastAsiaTheme="minorEastAsia"/>
                <w:color w:val="auto"/>
                <w:kern w:val="2"/>
                <w:sz w:val="21"/>
              </w:rPr>
            </w:pPr>
            <w:r>
              <w:rPr>
                <w:rFonts w:hint="eastAsia" w:asciiTheme="minorEastAsia" w:hAnsiTheme="minorEastAsia" w:eastAsiaTheme="minorEastAsia"/>
                <w:color w:val="auto"/>
                <w:sz w:val="21"/>
                <w:szCs w:val="21"/>
              </w:rPr>
              <w:t>Ⅱ级</w:t>
            </w:r>
          </w:p>
        </w:tc>
        <w:tc>
          <w:tcPr>
            <w:tcW w:w="389" w:type="pct"/>
            <w:vMerge w:val="continue"/>
            <w:tcBorders>
              <w:tl2br w:val="nil"/>
              <w:tr2bl w:val="nil"/>
            </w:tcBorders>
            <w:vAlign w:val="center"/>
          </w:tcPr>
          <w:p w14:paraId="797D49D9">
            <w:pPr>
              <w:pStyle w:val="21"/>
              <w:keepNext w:val="0"/>
              <w:keepLines w:val="0"/>
              <w:suppressLineNumbers w:val="0"/>
              <w:spacing w:before="0" w:beforeAutospacing="0" w:after="0" w:afterAutospacing="0" w:line="320" w:lineRule="exact"/>
              <w:ind w:left="0" w:right="0"/>
              <w:rPr>
                <w:rFonts w:hint="eastAsia" w:cs="宋体" w:asciiTheme="minorEastAsia" w:hAnsiTheme="minorEastAsia" w:eastAsiaTheme="minorEastAsia"/>
                <w:color w:val="auto"/>
                <w:kern w:val="2"/>
                <w:sz w:val="21"/>
              </w:rPr>
            </w:pPr>
          </w:p>
        </w:tc>
      </w:tr>
    </w:tbl>
    <w:p w14:paraId="2B327A4D">
      <w:pPr>
        <w:ind w:firstLine="560"/>
        <w:rPr>
          <w:rFonts w:hAnsi="宋体" w:cs="宋体"/>
          <w:color w:val="auto"/>
          <w:szCs w:val="28"/>
        </w:rPr>
      </w:pPr>
      <w:r>
        <w:rPr>
          <w:rFonts w:hint="eastAsia" w:hAnsi="宋体" w:cs="宋体"/>
          <w:color w:val="auto"/>
          <w:szCs w:val="28"/>
        </w:rPr>
        <w:t>通过采掘单元预先危险性分析可知：</w:t>
      </w:r>
      <w:r>
        <w:rPr>
          <w:rFonts w:hint="eastAsia" w:ascii="Times New Roman"/>
          <w:color w:val="auto"/>
          <w:szCs w:val="28"/>
        </w:rPr>
        <w:t>进行</w:t>
      </w:r>
      <w:r>
        <w:rPr>
          <w:rFonts w:ascii="Times New Roman"/>
          <w:color w:val="auto"/>
          <w:szCs w:val="28"/>
        </w:rPr>
        <w:t>采掘作业时，</w:t>
      </w:r>
      <w:r>
        <w:rPr>
          <w:rFonts w:hint="eastAsia" w:ascii="Times New Roman"/>
          <w:color w:val="auto"/>
          <w:szCs w:val="28"/>
        </w:rPr>
        <w:t>冒顶片帮</w:t>
      </w:r>
      <w:r>
        <w:rPr>
          <w:rFonts w:hint="eastAsia" w:ascii="Times New Roman"/>
          <w:color w:val="auto"/>
          <w:szCs w:val="28"/>
          <w:lang w:eastAsia="zh-CN"/>
        </w:rPr>
        <w:t>、中毒和窒息危险等级为Ⅳ级，会造成人员重大伤亡及系统严重破坏的灾难性事故，必须予以果断排除并进行重点防范；</w:t>
      </w:r>
      <w:r>
        <w:rPr>
          <w:rFonts w:hint="eastAsia" w:ascii="Times New Roman"/>
          <w:color w:val="auto"/>
          <w:szCs w:val="28"/>
        </w:rPr>
        <w:t>透水、放炮及火药爆炸和高处坠落、机械伤害、物体打击、容器爆炸危险等级为Ⅲ级，上述事故会造成人员伤亡和系统损坏，要立即采取防范对策；粉尘、噪声、震动等职业危害为Ⅱ级，上述危害因素可能造成人身伤害或涉及作业人员健康，亦应采取有效防治措施予以控制。</w:t>
      </w:r>
    </w:p>
    <w:p w14:paraId="14E312B3">
      <w:pPr>
        <w:keepNext/>
        <w:keepLines/>
        <w:tabs>
          <w:tab w:val="left" w:pos="8265"/>
        </w:tabs>
        <w:spacing w:before="120" w:after="120"/>
        <w:ind w:firstLine="0" w:firstLineChars="0"/>
        <w:jc w:val="left"/>
        <w:outlineLvl w:val="2"/>
        <w:rPr>
          <w:rFonts w:ascii="黑体" w:eastAsia="黑体"/>
          <w:bCs/>
          <w:color w:val="auto"/>
          <w:szCs w:val="28"/>
        </w:rPr>
      </w:pPr>
      <w:bookmarkStart w:id="119" w:name="_Toc9282"/>
      <w:r>
        <w:rPr>
          <w:rFonts w:hint="eastAsia" w:ascii="黑体" w:eastAsia="黑体"/>
          <w:bCs/>
          <w:color w:val="auto"/>
          <w:szCs w:val="28"/>
        </w:rPr>
        <w:t>3.</w:t>
      </w:r>
      <w:r>
        <w:rPr>
          <w:rFonts w:hint="eastAsia" w:ascii="黑体" w:eastAsia="黑体"/>
          <w:bCs/>
          <w:color w:val="auto"/>
          <w:szCs w:val="28"/>
          <w:lang w:val="en-US" w:eastAsia="zh-CN"/>
        </w:rPr>
        <w:t>4</w:t>
      </w:r>
      <w:r>
        <w:rPr>
          <w:rFonts w:hint="eastAsia" w:ascii="黑体" w:eastAsia="黑体"/>
          <w:bCs/>
          <w:color w:val="auto"/>
          <w:szCs w:val="28"/>
        </w:rPr>
        <w:t>.2 采掘单元符合性评价</w:t>
      </w:r>
      <w:bookmarkEnd w:id="119"/>
    </w:p>
    <w:p w14:paraId="23D197D7">
      <w:pPr>
        <w:ind w:firstLine="0" w:firstLineChars="0"/>
        <w:jc w:val="center"/>
        <w:rPr>
          <w:b/>
          <w:color w:val="auto"/>
          <w:sz w:val="24"/>
        </w:rPr>
      </w:pPr>
      <w:r>
        <w:rPr>
          <w:rFonts w:hAnsi="宋体"/>
          <w:b/>
          <w:color w:val="auto"/>
          <w:kern w:val="0"/>
          <w:szCs w:val="28"/>
        </w:rPr>
        <w:t>表</w:t>
      </w:r>
      <w:r>
        <w:rPr>
          <w:rFonts w:hint="eastAsia" w:hAnsi="宋体"/>
          <w:b/>
          <w:color w:val="auto"/>
          <w:kern w:val="0"/>
          <w:szCs w:val="28"/>
        </w:rPr>
        <w:t>3.</w:t>
      </w:r>
      <w:r>
        <w:rPr>
          <w:rFonts w:hint="eastAsia"/>
          <w:b/>
          <w:color w:val="auto"/>
          <w:kern w:val="0"/>
          <w:szCs w:val="28"/>
          <w:lang w:val="en-US" w:eastAsia="zh-CN"/>
        </w:rPr>
        <w:t>4</w:t>
      </w:r>
      <w:r>
        <w:rPr>
          <w:rFonts w:hint="eastAsia" w:hAnsi="宋体"/>
          <w:b/>
          <w:color w:val="auto"/>
          <w:kern w:val="0"/>
          <w:szCs w:val="28"/>
        </w:rPr>
        <w:t xml:space="preserve">-2 </w:t>
      </w:r>
      <w:r>
        <w:rPr>
          <w:rFonts w:hint="eastAsia" w:hAnsi="宋体"/>
          <w:b/>
          <w:bCs/>
          <w:color w:val="auto"/>
          <w:kern w:val="0"/>
          <w:szCs w:val="28"/>
        </w:rPr>
        <w:t>采掘单元</w:t>
      </w:r>
      <w:r>
        <w:rPr>
          <w:rFonts w:hAnsi="宋体"/>
          <w:b/>
          <w:color w:val="auto"/>
          <w:kern w:val="0"/>
          <w:szCs w:val="28"/>
        </w:rPr>
        <w:t>安全检查表</w:t>
      </w:r>
    </w:p>
    <w:tbl>
      <w:tblPr>
        <w:tblStyle w:val="24"/>
        <w:tblW w:w="5000"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639"/>
        <w:gridCol w:w="3313"/>
        <w:gridCol w:w="2422"/>
        <w:gridCol w:w="2388"/>
        <w:gridCol w:w="752"/>
      </w:tblGrid>
      <w:tr w14:paraId="0097FB3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blHeader/>
          <w:jc w:val="center"/>
        </w:trPr>
        <w:tc>
          <w:tcPr>
            <w:tcW w:w="336" w:type="pct"/>
            <w:tcBorders>
              <w:tl2br w:val="nil"/>
              <w:tr2bl w:val="nil"/>
            </w:tcBorders>
            <w:vAlign w:val="center"/>
          </w:tcPr>
          <w:p w14:paraId="119B5F70">
            <w:pPr>
              <w:pStyle w:val="62"/>
              <w:keepNext/>
              <w:keepLines/>
              <w:pageBreakBefore w:val="0"/>
              <w:widowControl w:val="0"/>
              <w:suppressLineNumbers w:val="0"/>
              <w:kinsoku/>
              <w:wordWrap/>
              <w:overflowPunct/>
              <w:topLinePunct w:val="0"/>
              <w:autoSpaceDE/>
              <w:autoSpaceDN/>
              <w:bidi w:val="0"/>
              <w:adjustRightInd w:val="0"/>
              <w:snapToGrid w:val="0"/>
              <w:spacing w:before="0" w:beforeAutospacing="0" w:after="0" w:afterAutospacing="0" w:line="310" w:lineRule="exact"/>
              <w:ind w:left="0" w:right="0"/>
              <w:jc w:val="center"/>
              <w:textAlignment w:val="auto"/>
              <w:rPr>
                <w:rFonts w:hint="default" w:cs="宋体"/>
                <w:color w:val="auto"/>
                <w:szCs w:val="21"/>
              </w:rPr>
            </w:pPr>
            <w:r>
              <w:rPr>
                <w:rFonts w:hint="eastAsia" w:cs="宋体"/>
                <w:color w:val="auto"/>
                <w:szCs w:val="21"/>
              </w:rPr>
              <w:t>序号</w:t>
            </w:r>
          </w:p>
        </w:tc>
        <w:tc>
          <w:tcPr>
            <w:tcW w:w="1740" w:type="pct"/>
            <w:tcBorders>
              <w:tl2br w:val="nil"/>
              <w:tr2bl w:val="nil"/>
            </w:tcBorders>
            <w:vAlign w:val="center"/>
          </w:tcPr>
          <w:p w14:paraId="493B21EE">
            <w:pPr>
              <w:pStyle w:val="62"/>
              <w:keepNext/>
              <w:keepLines/>
              <w:pageBreakBefore w:val="0"/>
              <w:widowControl w:val="0"/>
              <w:suppressLineNumbers w:val="0"/>
              <w:kinsoku/>
              <w:wordWrap/>
              <w:overflowPunct/>
              <w:topLinePunct w:val="0"/>
              <w:autoSpaceDE/>
              <w:autoSpaceDN/>
              <w:bidi w:val="0"/>
              <w:adjustRightInd w:val="0"/>
              <w:snapToGrid w:val="0"/>
              <w:spacing w:before="0" w:beforeAutospacing="0" w:after="0" w:afterAutospacing="0" w:line="310" w:lineRule="exact"/>
              <w:ind w:left="0" w:right="0"/>
              <w:jc w:val="center"/>
              <w:textAlignment w:val="auto"/>
              <w:rPr>
                <w:rFonts w:hint="default" w:cs="宋体"/>
                <w:color w:val="auto"/>
                <w:szCs w:val="21"/>
              </w:rPr>
            </w:pPr>
            <w:r>
              <w:rPr>
                <w:rFonts w:hint="eastAsia" w:cs="宋体"/>
                <w:color w:val="auto"/>
                <w:szCs w:val="21"/>
              </w:rPr>
              <w:t>检查内容</w:t>
            </w:r>
          </w:p>
        </w:tc>
        <w:tc>
          <w:tcPr>
            <w:tcW w:w="1272" w:type="pct"/>
            <w:tcBorders>
              <w:tl2br w:val="nil"/>
              <w:tr2bl w:val="nil"/>
            </w:tcBorders>
            <w:vAlign w:val="center"/>
          </w:tcPr>
          <w:p w14:paraId="3A78F075">
            <w:pPr>
              <w:pStyle w:val="62"/>
              <w:keepNext/>
              <w:keepLines/>
              <w:pageBreakBefore w:val="0"/>
              <w:widowControl w:val="0"/>
              <w:suppressLineNumbers w:val="0"/>
              <w:kinsoku/>
              <w:wordWrap/>
              <w:overflowPunct/>
              <w:topLinePunct w:val="0"/>
              <w:autoSpaceDE/>
              <w:autoSpaceDN/>
              <w:bidi w:val="0"/>
              <w:adjustRightInd w:val="0"/>
              <w:snapToGrid w:val="0"/>
              <w:spacing w:before="0" w:beforeAutospacing="0" w:after="0" w:afterAutospacing="0" w:line="310" w:lineRule="exact"/>
              <w:ind w:left="0" w:right="0"/>
              <w:jc w:val="center"/>
              <w:textAlignment w:val="auto"/>
              <w:rPr>
                <w:rFonts w:hint="default" w:cs="宋体"/>
                <w:color w:val="auto"/>
                <w:szCs w:val="21"/>
              </w:rPr>
            </w:pPr>
            <w:r>
              <w:rPr>
                <w:rFonts w:hint="eastAsia" w:cs="宋体"/>
                <w:color w:val="auto"/>
                <w:szCs w:val="21"/>
              </w:rPr>
              <w:t>检查依据</w:t>
            </w:r>
          </w:p>
        </w:tc>
        <w:tc>
          <w:tcPr>
            <w:tcW w:w="1254" w:type="pct"/>
            <w:tcBorders>
              <w:tl2br w:val="nil"/>
              <w:tr2bl w:val="nil"/>
            </w:tcBorders>
            <w:vAlign w:val="center"/>
          </w:tcPr>
          <w:p w14:paraId="44E40C1C">
            <w:pPr>
              <w:pStyle w:val="62"/>
              <w:keepNext/>
              <w:keepLines/>
              <w:pageBreakBefore w:val="0"/>
              <w:widowControl w:val="0"/>
              <w:suppressLineNumbers w:val="0"/>
              <w:kinsoku/>
              <w:wordWrap/>
              <w:overflowPunct/>
              <w:topLinePunct w:val="0"/>
              <w:autoSpaceDE/>
              <w:autoSpaceDN/>
              <w:bidi w:val="0"/>
              <w:adjustRightInd w:val="0"/>
              <w:snapToGrid w:val="0"/>
              <w:spacing w:before="0" w:beforeAutospacing="0" w:after="0" w:afterAutospacing="0" w:line="310" w:lineRule="exact"/>
              <w:ind w:left="0" w:right="0"/>
              <w:jc w:val="center"/>
              <w:textAlignment w:val="auto"/>
              <w:rPr>
                <w:rFonts w:hint="default" w:cs="宋体"/>
                <w:color w:val="auto"/>
                <w:szCs w:val="21"/>
              </w:rPr>
            </w:pPr>
            <w:r>
              <w:rPr>
                <w:rFonts w:hint="eastAsia" w:cs="宋体"/>
                <w:color w:val="auto"/>
                <w:szCs w:val="21"/>
              </w:rPr>
              <w:t>检查情况</w:t>
            </w:r>
          </w:p>
        </w:tc>
        <w:tc>
          <w:tcPr>
            <w:tcW w:w="395" w:type="pct"/>
            <w:tcBorders>
              <w:tl2br w:val="nil"/>
              <w:tr2bl w:val="nil"/>
            </w:tcBorders>
            <w:vAlign w:val="center"/>
          </w:tcPr>
          <w:p w14:paraId="2B2638B6">
            <w:pPr>
              <w:pStyle w:val="62"/>
              <w:keepNext/>
              <w:keepLines/>
              <w:pageBreakBefore w:val="0"/>
              <w:widowControl w:val="0"/>
              <w:suppressLineNumbers w:val="0"/>
              <w:kinsoku/>
              <w:wordWrap/>
              <w:overflowPunct/>
              <w:topLinePunct w:val="0"/>
              <w:autoSpaceDE/>
              <w:autoSpaceDN/>
              <w:bidi w:val="0"/>
              <w:adjustRightInd w:val="0"/>
              <w:snapToGrid w:val="0"/>
              <w:spacing w:before="0" w:beforeAutospacing="0" w:after="0" w:afterAutospacing="0" w:line="310" w:lineRule="exact"/>
              <w:ind w:left="0" w:right="0"/>
              <w:jc w:val="center"/>
              <w:textAlignment w:val="auto"/>
              <w:rPr>
                <w:rFonts w:hint="default" w:cs="宋体"/>
                <w:color w:val="auto"/>
                <w:szCs w:val="21"/>
              </w:rPr>
            </w:pPr>
            <w:r>
              <w:rPr>
                <w:rFonts w:hint="eastAsia" w:cs="宋体"/>
                <w:color w:val="auto"/>
                <w:szCs w:val="21"/>
              </w:rPr>
              <w:t>检查结果</w:t>
            </w:r>
          </w:p>
        </w:tc>
      </w:tr>
      <w:tr w14:paraId="50231F7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336" w:type="pct"/>
            <w:tcBorders>
              <w:tl2br w:val="nil"/>
              <w:tr2bl w:val="nil"/>
            </w:tcBorders>
            <w:vAlign w:val="center"/>
          </w:tcPr>
          <w:p w14:paraId="08BFD114">
            <w:pPr>
              <w:pStyle w:val="3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0" w:lineRule="exact"/>
              <w:ind w:left="0" w:right="0"/>
              <w:textAlignment w:val="auto"/>
              <w:rPr>
                <w:rFonts w:hint="eastAsia" w:hAnsi="宋体" w:eastAsia="宋体" w:cs="宋体"/>
                <w:color w:val="auto"/>
                <w:szCs w:val="21"/>
                <w:lang w:eastAsia="zh-CN"/>
              </w:rPr>
            </w:pPr>
            <w:r>
              <w:rPr>
                <w:rFonts w:hint="eastAsia" w:cs="宋体"/>
                <w:color w:val="auto"/>
                <w:szCs w:val="21"/>
                <w:lang w:val="en-US" w:eastAsia="zh-CN"/>
              </w:rPr>
              <w:t>1</w:t>
            </w:r>
          </w:p>
        </w:tc>
        <w:tc>
          <w:tcPr>
            <w:tcW w:w="1740" w:type="pct"/>
            <w:tcBorders>
              <w:tl2br w:val="nil"/>
              <w:tr2bl w:val="nil"/>
            </w:tcBorders>
            <w:vAlign w:val="center"/>
          </w:tcPr>
          <w:p w14:paraId="7E9545FB">
            <w:pPr>
              <w:pStyle w:val="3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0" w:lineRule="exact"/>
              <w:ind w:left="0" w:right="0"/>
              <w:jc w:val="both"/>
              <w:textAlignment w:val="auto"/>
              <w:rPr>
                <w:rFonts w:hint="default" w:hAnsi="宋体" w:cs="宋体"/>
                <w:color w:val="auto"/>
                <w:szCs w:val="21"/>
              </w:rPr>
            </w:pPr>
            <w:r>
              <w:rPr>
                <w:rFonts w:hint="eastAsia" w:hAnsi="宋体" w:cs="宋体"/>
                <w:color w:val="auto"/>
                <w:szCs w:val="21"/>
              </w:rPr>
              <w:t>采矿设计应提出矿柱回采和采空区处理方案，并制定专门的安全措施。</w:t>
            </w:r>
          </w:p>
        </w:tc>
        <w:tc>
          <w:tcPr>
            <w:tcW w:w="1272" w:type="pct"/>
            <w:tcBorders>
              <w:tl2br w:val="nil"/>
              <w:tr2bl w:val="nil"/>
            </w:tcBorders>
            <w:vAlign w:val="center"/>
          </w:tcPr>
          <w:p w14:paraId="54A6DEAC">
            <w:pPr>
              <w:pStyle w:val="3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0" w:lineRule="exact"/>
              <w:ind w:left="0" w:right="0"/>
              <w:textAlignment w:val="auto"/>
              <w:rPr>
                <w:rFonts w:hint="default" w:hAnsi="宋体" w:cs="宋体"/>
                <w:color w:val="auto"/>
                <w:szCs w:val="21"/>
              </w:rPr>
            </w:pPr>
            <w:r>
              <w:rPr>
                <w:rFonts w:hint="eastAsia" w:cs="宋体"/>
                <w:color w:val="auto"/>
                <w:szCs w:val="21"/>
              </w:rPr>
              <w:t>《金属非金属矿山安全规程》</w:t>
            </w:r>
            <w:r>
              <w:rPr>
                <w:rFonts w:hint="default" w:cs="宋体"/>
                <w:color w:val="auto"/>
                <w:szCs w:val="21"/>
              </w:rPr>
              <w:t>(GBl6423-20</w:t>
            </w:r>
            <w:r>
              <w:rPr>
                <w:rFonts w:hint="eastAsia" w:cs="宋体"/>
                <w:color w:val="auto"/>
                <w:szCs w:val="21"/>
              </w:rPr>
              <w:t>20</w:t>
            </w:r>
            <w:r>
              <w:rPr>
                <w:rFonts w:hint="default" w:cs="宋体"/>
                <w:color w:val="auto"/>
                <w:szCs w:val="21"/>
              </w:rPr>
              <w:t>)第6.</w:t>
            </w:r>
            <w:r>
              <w:rPr>
                <w:rFonts w:hint="eastAsia" w:cs="宋体"/>
                <w:color w:val="auto"/>
                <w:szCs w:val="21"/>
              </w:rPr>
              <w:t>3</w:t>
            </w:r>
            <w:r>
              <w:rPr>
                <w:rFonts w:hint="default" w:cs="宋体"/>
                <w:color w:val="auto"/>
                <w:szCs w:val="21"/>
              </w:rPr>
              <w:t>.</w:t>
            </w:r>
            <w:r>
              <w:rPr>
                <w:rFonts w:hint="eastAsia" w:cs="宋体"/>
                <w:color w:val="auto"/>
                <w:szCs w:val="21"/>
              </w:rPr>
              <w:t>1</w:t>
            </w:r>
            <w:r>
              <w:rPr>
                <w:rFonts w:hint="default" w:cs="宋体"/>
                <w:color w:val="auto"/>
                <w:szCs w:val="21"/>
              </w:rPr>
              <w:t>.</w:t>
            </w:r>
            <w:r>
              <w:rPr>
                <w:rFonts w:hint="eastAsia" w:cs="宋体"/>
                <w:color w:val="auto"/>
                <w:szCs w:val="21"/>
              </w:rPr>
              <w:t>5</w:t>
            </w:r>
            <w:r>
              <w:rPr>
                <w:rFonts w:hint="default" w:cs="宋体"/>
                <w:color w:val="auto"/>
                <w:szCs w:val="21"/>
              </w:rPr>
              <w:t>条</w:t>
            </w:r>
          </w:p>
        </w:tc>
        <w:tc>
          <w:tcPr>
            <w:tcW w:w="1254" w:type="pct"/>
            <w:tcBorders>
              <w:tl2br w:val="nil"/>
              <w:tr2bl w:val="nil"/>
            </w:tcBorders>
            <w:vAlign w:val="center"/>
          </w:tcPr>
          <w:p w14:paraId="44C1BBA9">
            <w:pPr>
              <w:pStyle w:val="3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0" w:lineRule="exact"/>
              <w:ind w:left="0" w:right="0"/>
              <w:jc w:val="both"/>
              <w:textAlignment w:val="auto"/>
              <w:rPr>
                <w:rFonts w:hint="default" w:hAnsi="宋体" w:eastAsia="宋体" w:cs="宋体"/>
                <w:color w:val="auto"/>
                <w:szCs w:val="21"/>
                <w:lang w:val="en-US" w:eastAsia="zh-CN"/>
              </w:rPr>
            </w:pPr>
            <w:r>
              <w:rPr>
                <w:rFonts w:hint="eastAsia" w:hAnsi="宋体"/>
                <w:color w:val="auto"/>
                <w:szCs w:val="21"/>
              </w:rPr>
              <w:t>根据</w:t>
            </w:r>
            <w:r>
              <w:rPr>
                <w:rFonts w:hint="eastAsia"/>
                <w:color w:val="auto"/>
                <w:szCs w:val="21"/>
                <w:lang w:eastAsia="zh-CN"/>
              </w:rPr>
              <w:t>可研报告</w:t>
            </w:r>
            <w:r>
              <w:rPr>
                <w:rFonts w:hint="eastAsia" w:hAnsi="宋体"/>
                <w:color w:val="auto"/>
                <w:szCs w:val="21"/>
              </w:rPr>
              <w:t>，采用</w:t>
            </w:r>
            <w:r>
              <w:rPr>
                <w:rFonts w:hint="eastAsia"/>
                <w:color w:val="auto"/>
                <w:szCs w:val="21"/>
                <w:lang w:val="en-US" w:eastAsia="zh-CN"/>
              </w:rPr>
              <w:t>中深孔房柱法</w:t>
            </w:r>
            <w:r>
              <w:rPr>
                <w:rFonts w:hint="eastAsia" w:hAnsi="宋体"/>
                <w:color w:val="auto"/>
                <w:szCs w:val="21"/>
              </w:rPr>
              <w:t>，</w:t>
            </w:r>
            <w:r>
              <w:rPr>
                <w:rFonts w:hint="eastAsia"/>
                <w:color w:val="auto"/>
                <w:szCs w:val="21"/>
                <w:lang w:val="en-US" w:eastAsia="zh-CN"/>
              </w:rPr>
              <w:t>间柱为永久矿柱，后续不再进行回采工作。</w:t>
            </w:r>
            <w:r>
              <w:rPr>
                <w:rFonts w:hint="eastAsia"/>
                <w:color w:val="auto"/>
                <w:szCs w:val="28"/>
                <w:lang w:val="en-US" w:eastAsia="zh-CN"/>
              </w:rPr>
              <w:t>回采后采空区用密闭墙进行封闭处理。</w:t>
            </w:r>
          </w:p>
        </w:tc>
        <w:tc>
          <w:tcPr>
            <w:tcW w:w="395" w:type="pct"/>
            <w:tcBorders>
              <w:tl2br w:val="nil"/>
              <w:tr2bl w:val="nil"/>
            </w:tcBorders>
            <w:vAlign w:val="center"/>
          </w:tcPr>
          <w:p w14:paraId="23CB3B90">
            <w:pPr>
              <w:pStyle w:val="3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0" w:lineRule="exact"/>
              <w:ind w:left="0" w:right="0"/>
              <w:textAlignment w:val="auto"/>
              <w:rPr>
                <w:rFonts w:hint="default" w:hAnsi="宋体" w:cs="宋体"/>
                <w:color w:val="auto"/>
                <w:szCs w:val="21"/>
              </w:rPr>
            </w:pPr>
            <w:r>
              <w:rPr>
                <w:rFonts w:hint="eastAsia" w:hAnsi="宋体" w:cs="宋体"/>
                <w:color w:val="auto"/>
                <w:szCs w:val="21"/>
              </w:rPr>
              <w:t>符合</w:t>
            </w:r>
          </w:p>
        </w:tc>
      </w:tr>
      <w:tr w14:paraId="01329F7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336" w:type="pct"/>
            <w:tcBorders>
              <w:tl2br w:val="nil"/>
              <w:tr2bl w:val="nil"/>
            </w:tcBorders>
            <w:vAlign w:val="center"/>
          </w:tcPr>
          <w:p w14:paraId="21D1B399">
            <w:pPr>
              <w:pStyle w:val="3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0" w:lineRule="exact"/>
              <w:ind w:left="0" w:right="0"/>
              <w:textAlignment w:val="auto"/>
              <w:rPr>
                <w:rFonts w:hint="eastAsia" w:hAnsi="宋体" w:eastAsia="宋体" w:cs="宋体"/>
                <w:color w:val="auto"/>
                <w:szCs w:val="21"/>
                <w:lang w:eastAsia="zh-CN"/>
              </w:rPr>
            </w:pPr>
            <w:r>
              <w:rPr>
                <w:rFonts w:hint="eastAsia" w:cs="宋体"/>
                <w:color w:val="auto"/>
                <w:szCs w:val="21"/>
                <w:lang w:val="en-US" w:eastAsia="zh-CN"/>
              </w:rPr>
              <w:t>2</w:t>
            </w:r>
          </w:p>
        </w:tc>
        <w:tc>
          <w:tcPr>
            <w:tcW w:w="1740" w:type="pct"/>
            <w:tcBorders>
              <w:tl2br w:val="nil"/>
              <w:tr2bl w:val="nil"/>
            </w:tcBorders>
            <w:vAlign w:val="center"/>
          </w:tcPr>
          <w:p w14:paraId="69D3C655">
            <w:pPr>
              <w:pStyle w:val="3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0" w:lineRule="exact"/>
              <w:ind w:left="0" w:right="0"/>
              <w:jc w:val="both"/>
              <w:textAlignment w:val="auto"/>
              <w:rPr>
                <w:rFonts w:hint="default" w:hAnsi="宋体" w:cs="宋体"/>
                <w:color w:val="auto"/>
                <w:szCs w:val="21"/>
              </w:rPr>
            </w:pPr>
            <w:r>
              <w:rPr>
                <w:rFonts w:hint="eastAsia" w:hAnsi="宋体" w:cs="宋体"/>
                <w:color w:val="auto"/>
                <w:szCs w:val="21"/>
              </w:rPr>
              <w:t>在不稳固的岩层中掘进时应进行支护；在松软、破碎或流砂地层中掘进时应在永久性支护与掘进工作面之间进行临时支护或特殊支护。</w:t>
            </w:r>
          </w:p>
        </w:tc>
        <w:tc>
          <w:tcPr>
            <w:tcW w:w="1272" w:type="pct"/>
            <w:tcBorders>
              <w:tl2br w:val="nil"/>
              <w:tr2bl w:val="nil"/>
            </w:tcBorders>
            <w:vAlign w:val="center"/>
          </w:tcPr>
          <w:p w14:paraId="42536782">
            <w:pPr>
              <w:pStyle w:val="3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0" w:lineRule="exact"/>
              <w:ind w:left="0" w:right="0"/>
              <w:textAlignment w:val="auto"/>
              <w:rPr>
                <w:rFonts w:hint="default" w:hAnsi="宋体" w:cs="宋体"/>
                <w:color w:val="auto"/>
                <w:szCs w:val="21"/>
              </w:rPr>
            </w:pPr>
            <w:r>
              <w:rPr>
                <w:rFonts w:hint="eastAsia" w:cs="宋体"/>
                <w:color w:val="auto"/>
                <w:szCs w:val="21"/>
              </w:rPr>
              <w:t>《金属非金属矿山安全规程》</w:t>
            </w:r>
            <w:r>
              <w:rPr>
                <w:rFonts w:hint="default" w:cs="宋体"/>
                <w:color w:val="auto"/>
                <w:szCs w:val="21"/>
              </w:rPr>
              <w:t>(GBl6423-20</w:t>
            </w:r>
            <w:r>
              <w:rPr>
                <w:rFonts w:hint="eastAsia" w:cs="宋体"/>
                <w:color w:val="auto"/>
                <w:szCs w:val="21"/>
              </w:rPr>
              <w:t>20</w:t>
            </w:r>
            <w:r>
              <w:rPr>
                <w:rFonts w:hint="default" w:cs="宋体"/>
                <w:color w:val="auto"/>
                <w:szCs w:val="21"/>
              </w:rPr>
              <w:t>)第6.</w:t>
            </w:r>
            <w:r>
              <w:rPr>
                <w:rFonts w:hint="eastAsia" w:cs="宋体"/>
                <w:color w:val="auto"/>
                <w:szCs w:val="21"/>
              </w:rPr>
              <w:t>2.7.2</w:t>
            </w:r>
            <w:r>
              <w:rPr>
                <w:rFonts w:hint="default" w:cs="宋体"/>
                <w:color w:val="auto"/>
                <w:szCs w:val="21"/>
              </w:rPr>
              <w:t>条</w:t>
            </w:r>
          </w:p>
        </w:tc>
        <w:tc>
          <w:tcPr>
            <w:tcW w:w="1254" w:type="pct"/>
            <w:tcBorders>
              <w:tl2br w:val="nil"/>
              <w:tr2bl w:val="nil"/>
            </w:tcBorders>
            <w:vAlign w:val="center"/>
          </w:tcPr>
          <w:p w14:paraId="73B4183D">
            <w:pPr>
              <w:pStyle w:val="3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0" w:lineRule="exact"/>
              <w:ind w:left="0" w:right="0"/>
              <w:jc w:val="both"/>
              <w:textAlignment w:val="auto"/>
              <w:rPr>
                <w:rFonts w:hint="default" w:hAnsi="宋体" w:cs="宋体"/>
                <w:color w:val="auto"/>
                <w:szCs w:val="21"/>
              </w:rPr>
            </w:pPr>
            <w:r>
              <w:rPr>
                <w:rFonts w:hint="eastAsia" w:hAnsi="宋体" w:cs="宋体"/>
                <w:color w:val="auto"/>
                <w:szCs w:val="21"/>
              </w:rPr>
              <w:t>该矿山井下巷道</w:t>
            </w:r>
            <w:r>
              <w:rPr>
                <w:rFonts w:hint="eastAsia" w:cs="宋体"/>
                <w:color w:val="auto"/>
                <w:szCs w:val="21"/>
                <w:lang w:val="en-US" w:eastAsia="zh-CN"/>
              </w:rPr>
              <w:t>不支护，局部破碎地段</w:t>
            </w:r>
            <w:r>
              <w:rPr>
                <w:rFonts w:hint="eastAsia" w:hAnsi="宋体" w:cs="宋体"/>
                <w:color w:val="auto"/>
                <w:szCs w:val="21"/>
              </w:rPr>
              <w:t>拟采用</w:t>
            </w:r>
            <w:r>
              <w:rPr>
                <w:rFonts w:hint="default"/>
                <w:color w:val="auto"/>
                <w:szCs w:val="28"/>
              </w:rPr>
              <w:t>喷砼支护</w:t>
            </w:r>
            <w:r>
              <w:rPr>
                <w:rFonts w:hint="eastAsia"/>
                <w:color w:val="auto"/>
                <w:szCs w:val="28"/>
                <w:lang w:eastAsia="zh-CN"/>
              </w:rPr>
              <w:t>、</w:t>
            </w:r>
            <w:r>
              <w:rPr>
                <w:rFonts w:hint="default"/>
                <w:color w:val="auto"/>
                <w:szCs w:val="28"/>
              </w:rPr>
              <w:t>锚网喷支护</w:t>
            </w:r>
            <w:r>
              <w:rPr>
                <w:rFonts w:hint="eastAsia"/>
                <w:color w:val="auto"/>
                <w:szCs w:val="28"/>
                <w:lang w:eastAsia="zh-CN"/>
              </w:rPr>
              <w:t>、</w:t>
            </w:r>
            <w:r>
              <w:rPr>
                <w:rFonts w:hint="eastAsia"/>
                <w:color w:val="auto"/>
                <w:szCs w:val="28"/>
                <w:lang w:val="en-US" w:eastAsia="zh-CN"/>
              </w:rPr>
              <w:t>混凝土支护</w:t>
            </w:r>
            <w:r>
              <w:rPr>
                <w:rFonts w:hint="eastAsia" w:hAnsi="宋体" w:cs="宋体"/>
                <w:color w:val="auto"/>
                <w:szCs w:val="21"/>
              </w:rPr>
              <w:t>。</w:t>
            </w:r>
          </w:p>
        </w:tc>
        <w:tc>
          <w:tcPr>
            <w:tcW w:w="395" w:type="pct"/>
            <w:tcBorders>
              <w:tl2br w:val="nil"/>
              <w:tr2bl w:val="nil"/>
            </w:tcBorders>
            <w:vAlign w:val="center"/>
          </w:tcPr>
          <w:p w14:paraId="7A574CA8">
            <w:pPr>
              <w:pStyle w:val="3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0" w:lineRule="exact"/>
              <w:ind w:left="0" w:right="0"/>
              <w:textAlignment w:val="auto"/>
              <w:rPr>
                <w:rFonts w:hint="default" w:hAnsi="宋体" w:cs="宋体"/>
                <w:color w:val="auto"/>
                <w:szCs w:val="21"/>
              </w:rPr>
            </w:pPr>
            <w:r>
              <w:rPr>
                <w:rFonts w:hint="eastAsia" w:hAnsi="宋体" w:cs="宋体"/>
                <w:color w:val="auto"/>
                <w:szCs w:val="21"/>
              </w:rPr>
              <w:t>符合</w:t>
            </w:r>
          </w:p>
        </w:tc>
      </w:tr>
      <w:tr w14:paraId="26EA9C9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336" w:type="pct"/>
            <w:tcBorders>
              <w:tl2br w:val="nil"/>
              <w:tr2bl w:val="nil"/>
            </w:tcBorders>
            <w:vAlign w:val="center"/>
          </w:tcPr>
          <w:p w14:paraId="0D4E5A80">
            <w:pPr>
              <w:pStyle w:val="3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0" w:lineRule="exact"/>
              <w:ind w:left="0" w:right="0"/>
              <w:textAlignment w:val="auto"/>
              <w:rPr>
                <w:rFonts w:hint="eastAsia" w:hAnsi="宋体" w:eastAsia="宋体" w:cs="宋体"/>
                <w:color w:val="auto"/>
                <w:szCs w:val="21"/>
                <w:lang w:eastAsia="zh-CN"/>
              </w:rPr>
            </w:pPr>
            <w:r>
              <w:rPr>
                <w:rFonts w:hint="eastAsia" w:cs="宋体"/>
                <w:color w:val="auto"/>
                <w:szCs w:val="21"/>
                <w:lang w:val="en-US" w:eastAsia="zh-CN"/>
              </w:rPr>
              <w:t>3</w:t>
            </w:r>
          </w:p>
        </w:tc>
        <w:tc>
          <w:tcPr>
            <w:tcW w:w="1740" w:type="pct"/>
            <w:tcBorders>
              <w:tl2br w:val="nil"/>
              <w:tr2bl w:val="nil"/>
            </w:tcBorders>
            <w:vAlign w:val="center"/>
          </w:tcPr>
          <w:p w14:paraId="14D9A05F">
            <w:pPr>
              <w:pStyle w:val="3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0" w:lineRule="exact"/>
              <w:ind w:left="0" w:right="0"/>
              <w:jc w:val="both"/>
              <w:textAlignment w:val="auto"/>
              <w:rPr>
                <w:rFonts w:hint="default" w:hAnsi="宋体" w:cs="宋体"/>
                <w:color w:val="auto"/>
                <w:szCs w:val="21"/>
              </w:rPr>
            </w:pPr>
            <w:r>
              <w:rPr>
                <w:rFonts w:hint="eastAsia" w:hAnsi="宋体" w:cs="宋体"/>
                <w:color w:val="auto"/>
                <w:szCs w:val="21"/>
              </w:rPr>
              <w:t>应建立采场顶板分级管理制度。对顶板不稳固的采场，应有监控手段和处理措施。人员需要进入的采场作业面的顶板和侧面应保持稳定，矿岩不稳固时应采取支护措施。因爆破或其他原因而破坏的支护应及时修复，确认安全后方准作业。回采作业前应处理顶板和两帮的浮石，确认安全后方可进行回采作业。</w:t>
            </w:r>
          </w:p>
          <w:p w14:paraId="79AE4918">
            <w:pPr>
              <w:pStyle w:val="3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0" w:lineRule="exact"/>
              <w:ind w:left="0" w:right="0"/>
              <w:jc w:val="both"/>
              <w:textAlignment w:val="auto"/>
              <w:rPr>
                <w:rFonts w:hint="default" w:hAnsi="宋体" w:cs="宋体"/>
                <w:color w:val="auto"/>
                <w:szCs w:val="21"/>
              </w:rPr>
            </w:pPr>
            <w:r>
              <w:rPr>
                <w:rFonts w:hint="eastAsia" w:hAnsi="宋体" w:cs="宋体"/>
                <w:color w:val="auto"/>
                <w:szCs w:val="21"/>
              </w:rPr>
              <w:t>处理浮石时，同一作业面不应进行其他作业；发现冒顶征兆应停止作业进行处理；发现大面积冒顶征兆，应立即撤离人员并及时上报。</w:t>
            </w:r>
          </w:p>
        </w:tc>
        <w:tc>
          <w:tcPr>
            <w:tcW w:w="1272" w:type="pct"/>
            <w:tcBorders>
              <w:tl2br w:val="nil"/>
              <w:tr2bl w:val="nil"/>
            </w:tcBorders>
            <w:vAlign w:val="center"/>
          </w:tcPr>
          <w:p w14:paraId="48AB045B">
            <w:pPr>
              <w:pStyle w:val="3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0" w:lineRule="exact"/>
              <w:ind w:left="0" w:right="0"/>
              <w:textAlignment w:val="auto"/>
              <w:rPr>
                <w:rFonts w:hint="default" w:hAnsi="宋体" w:cs="宋体"/>
                <w:color w:val="auto"/>
                <w:szCs w:val="21"/>
              </w:rPr>
            </w:pPr>
            <w:r>
              <w:rPr>
                <w:rFonts w:hint="eastAsia" w:cs="宋体"/>
                <w:color w:val="auto"/>
                <w:szCs w:val="21"/>
              </w:rPr>
              <w:t>《金属非金属矿山安全规程》</w:t>
            </w:r>
            <w:r>
              <w:rPr>
                <w:rFonts w:hint="default" w:cs="宋体"/>
                <w:color w:val="auto"/>
                <w:szCs w:val="21"/>
              </w:rPr>
              <w:t>(GBl6423-20</w:t>
            </w:r>
            <w:r>
              <w:rPr>
                <w:rFonts w:hint="eastAsia" w:cs="宋体"/>
                <w:color w:val="auto"/>
                <w:szCs w:val="21"/>
              </w:rPr>
              <w:t>20</w:t>
            </w:r>
            <w:r>
              <w:rPr>
                <w:rFonts w:hint="default" w:cs="宋体"/>
                <w:color w:val="auto"/>
                <w:szCs w:val="21"/>
              </w:rPr>
              <w:t>)第6.</w:t>
            </w:r>
            <w:r>
              <w:rPr>
                <w:rFonts w:hint="eastAsia" w:cs="宋体"/>
                <w:color w:val="auto"/>
                <w:szCs w:val="21"/>
              </w:rPr>
              <w:t>3.1.12</w:t>
            </w:r>
            <w:r>
              <w:rPr>
                <w:rFonts w:hint="default" w:cs="宋体"/>
                <w:color w:val="auto"/>
                <w:szCs w:val="21"/>
              </w:rPr>
              <w:t>条</w:t>
            </w:r>
          </w:p>
        </w:tc>
        <w:tc>
          <w:tcPr>
            <w:tcW w:w="1254" w:type="pct"/>
            <w:tcBorders>
              <w:tl2br w:val="nil"/>
              <w:tr2bl w:val="nil"/>
            </w:tcBorders>
            <w:vAlign w:val="center"/>
          </w:tcPr>
          <w:p w14:paraId="47B61342">
            <w:pPr>
              <w:pStyle w:val="3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0" w:lineRule="exact"/>
              <w:ind w:left="0" w:right="0"/>
              <w:jc w:val="both"/>
              <w:textAlignment w:val="auto"/>
              <w:rPr>
                <w:rFonts w:hint="eastAsia" w:hAnsi="宋体" w:eastAsia="宋体" w:cs="宋体"/>
                <w:color w:val="auto"/>
                <w:szCs w:val="21"/>
                <w:lang w:eastAsia="zh-CN"/>
              </w:rPr>
            </w:pPr>
            <w:r>
              <w:rPr>
                <w:rFonts w:hint="eastAsia" w:hAnsi="宋体" w:cs="宋体"/>
                <w:color w:val="auto"/>
                <w:szCs w:val="21"/>
              </w:rPr>
              <w:t>坑内生产坚持敲帮问顶制度，严格顶板管理要求</w:t>
            </w:r>
            <w:r>
              <w:rPr>
                <w:rFonts w:hint="eastAsia" w:cs="宋体"/>
                <w:color w:val="auto"/>
                <w:szCs w:val="21"/>
                <w:lang w:eastAsia="zh-CN"/>
              </w:rPr>
              <w:t>。</w:t>
            </w:r>
            <w:r>
              <w:rPr>
                <w:rFonts w:hint="default"/>
                <w:color w:val="auto"/>
                <w:szCs w:val="28"/>
              </w:rPr>
              <w:t>巷道掘进和矿房回采</w:t>
            </w:r>
            <w:r>
              <w:rPr>
                <w:rFonts w:hint="default"/>
                <w:color w:val="auto"/>
                <w:kern w:val="0"/>
                <w:szCs w:val="28"/>
              </w:rPr>
              <w:t>过程中加强两帮及顶板管理</w:t>
            </w:r>
            <w:r>
              <w:rPr>
                <w:rFonts w:hint="eastAsia"/>
                <w:color w:val="auto"/>
                <w:kern w:val="0"/>
                <w:szCs w:val="28"/>
                <w:lang w:eastAsia="zh-CN"/>
              </w:rPr>
              <w:t>。</w:t>
            </w:r>
          </w:p>
        </w:tc>
        <w:tc>
          <w:tcPr>
            <w:tcW w:w="395" w:type="pct"/>
            <w:tcBorders>
              <w:tl2br w:val="nil"/>
              <w:tr2bl w:val="nil"/>
            </w:tcBorders>
            <w:vAlign w:val="center"/>
          </w:tcPr>
          <w:p w14:paraId="1AE6A5BE">
            <w:pPr>
              <w:pStyle w:val="3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0" w:lineRule="exact"/>
              <w:ind w:left="0" w:right="0"/>
              <w:textAlignment w:val="auto"/>
              <w:rPr>
                <w:rFonts w:hint="default" w:hAnsi="宋体" w:cs="宋体"/>
                <w:color w:val="auto"/>
                <w:szCs w:val="21"/>
              </w:rPr>
            </w:pPr>
            <w:r>
              <w:rPr>
                <w:rFonts w:hint="eastAsia" w:hAnsi="宋体" w:cs="宋体"/>
                <w:color w:val="auto"/>
                <w:szCs w:val="21"/>
              </w:rPr>
              <w:t>符合</w:t>
            </w:r>
          </w:p>
        </w:tc>
      </w:tr>
      <w:tr w14:paraId="5C364A1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336" w:type="pct"/>
            <w:tcBorders>
              <w:tl2br w:val="nil"/>
              <w:tr2bl w:val="nil"/>
            </w:tcBorders>
            <w:vAlign w:val="center"/>
          </w:tcPr>
          <w:p w14:paraId="2C3408FE">
            <w:pPr>
              <w:pStyle w:val="3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0" w:lineRule="exact"/>
              <w:ind w:left="0" w:right="0"/>
              <w:textAlignment w:val="auto"/>
              <w:rPr>
                <w:rFonts w:hint="eastAsia" w:hAnsi="宋体" w:eastAsia="宋体" w:cs="宋体"/>
                <w:color w:val="auto"/>
                <w:szCs w:val="21"/>
                <w:lang w:val="en-US" w:eastAsia="zh-CN"/>
              </w:rPr>
            </w:pPr>
            <w:r>
              <w:rPr>
                <w:rFonts w:hint="eastAsia" w:cs="宋体"/>
                <w:color w:val="auto"/>
                <w:szCs w:val="21"/>
                <w:lang w:val="en-US" w:eastAsia="zh-CN"/>
              </w:rPr>
              <w:t>4</w:t>
            </w:r>
          </w:p>
        </w:tc>
        <w:tc>
          <w:tcPr>
            <w:tcW w:w="1740" w:type="pct"/>
            <w:tcBorders>
              <w:tl2br w:val="nil"/>
              <w:tr2bl w:val="nil"/>
            </w:tcBorders>
            <w:vAlign w:val="center"/>
          </w:tcPr>
          <w:p w14:paraId="126F68E0">
            <w:pPr>
              <w:keepNext w:val="0"/>
              <w:keepLines w:val="0"/>
              <w:pageBreakBefore w:val="0"/>
              <w:widowControl w:val="0"/>
              <w:suppressLineNumbers w:val="0"/>
              <w:kinsoku/>
              <w:wordWrap/>
              <w:overflowPunct/>
              <w:topLinePunct w:val="0"/>
              <w:autoSpaceDE/>
              <w:autoSpaceDN/>
              <w:bidi w:val="0"/>
              <w:spacing w:before="0" w:beforeAutospacing="0" w:after="0" w:afterAutospacing="0" w:line="320" w:lineRule="exact"/>
              <w:ind w:left="0" w:right="0" w:firstLine="0" w:firstLineChars="0"/>
              <w:textAlignment w:val="auto"/>
              <w:rPr>
                <w:rFonts w:hint="default" w:ascii="宋体" w:hAnsi="宋体" w:eastAsia="宋体" w:cs="宋体"/>
                <w:color w:val="auto"/>
                <w:sz w:val="20"/>
                <w:szCs w:val="20"/>
              </w:rPr>
            </w:pPr>
            <w:r>
              <w:rPr>
                <w:rFonts w:hint="default" w:ascii="宋体" w:hAnsi="宋体" w:eastAsia="宋体" w:cs="宋体"/>
                <w:color w:val="auto"/>
                <w:spacing w:val="-7"/>
                <w:sz w:val="20"/>
                <w:szCs w:val="20"/>
              </w:rPr>
              <w:t>采用全面采矿法、房柱采矿法</w:t>
            </w:r>
            <w:r>
              <w:rPr>
                <w:rFonts w:hint="default" w:ascii="宋体" w:hAnsi="宋体" w:eastAsia="宋体" w:cs="宋体"/>
                <w:color w:val="auto"/>
                <w:spacing w:val="-8"/>
                <w:sz w:val="20"/>
                <w:szCs w:val="20"/>
              </w:rPr>
              <w:t>采矿，应遵守下列规定：</w:t>
            </w:r>
          </w:p>
          <w:p w14:paraId="6A51E2E0">
            <w:pPr>
              <w:keepNext w:val="0"/>
              <w:keepLines w:val="0"/>
              <w:pageBreakBefore w:val="0"/>
              <w:widowControl w:val="0"/>
              <w:suppressLineNumbers w:val="0"/>
              <w:kinsoku/>
              <w:wordWrap/>
              <w:overflowPunct/>
              <w:topLinePunct w:val="0"/>
              <w:autoSpaceDE/>
              <w:autoSpaceDN/>
              <w:bidi w:val="0"/>
              <w:spacing w:before="0" w:beforeAutospacing="0" w:after="0" w:afterAutospacing="0" w:line="320" w:lineRule="exact"/>
              <w:ind w:left="0" w:right="0" w:firstLine="0" w:firstLineChars="0"/>
              <w:textAlignment w:val="auto"/>
              <w:rPr>
                <w:rFonts w:hint="default" w:ascii="宋体" w:hAnsi="宋体" w:eastAsia="宋体" w:cs="宋体"/>
                <w:color w:val="auto"/>
                <w:sz w:val="20"/>
                <w:szCs w:val="20"/>
              </w:rPr>
            </w:pPr>
            <w:r>
              <w:rPr>
                <w:rFonts w:hint="default" w:ascii="宋体" w:hAnsi="宋体" w:eastAsia="宋体" w:cs="宋体"/>
                <w:color w:val="auto"/>
                <w:spacing w:val="-6"/>
                <w:sz w:val="20"/>
                <w:szCs w:val="20"/>
              </w:rPr>
              <w:t>——采场的结构参数和矿柱(包括点柱、条柱)参数应经岩石力学计算分析后确定；当开采前期缺少</w:t>
            </w:r>
            <w:r>
              <w:rPr>
                <w:rFonts w:hint="default" w:ascii="宋体" w:hAnsi="宋体" w:eastAsia="宋体" w:cs="宋体"/>
                <w:color w:val="auto"/>
                <w:spacing w:val="-8"/>
                <w:sz w:val="20"/>
                <w:szCs w:val="20"/>
              </w:rPr>
              <w:t>相关岩石力学参数时，可采取类比法确定；</w:t>
            </w:r>
          </w:p>
          <w:p w14:paraId="6D535713">
            <w:pPr>
              <w:keepNext w:val="0"/>
              <w:keepLines w:val="0"/>
              <w:pageBreakBefore w:val="0"/>
              <w:widowControl w:val="0"/>
              <w:suppressLineNumbers w:val="0"/>
              <w:kinsoku/>
              <w:wordWrap/>
              <w:overflowPunct/>
              <w:topLinePunct w:val="0"/>
              <w:autoSpaceDE/>
              <w:autoSpaceDN/>
              <w:bidi w:val="0"/>
              <w:spacing w:before="0" w:beforeAutospacing="0" w:after="0" w:afterAutospacing="0" w:line="320" w:lineRule="exact"/>
              <w:ind w:left="0" w:right="0" w:firstLine="0" w:firstLineChars="0"/>
              <w:textAlignment w:val="auto"/>
              <w:rPr>
                <w:rFonts w:hint="default" w:ascii="宋体" w:hAnsi="宋体" w:eastAsia="宋体" w:cs="宋体"/>
                <w:color w:val="auto"/>
                <w:sz w:val="20"/>
                <w:szCs w:val="20"/>
              </w:rPr>
            </w:pPr>
            <w:r>
              <w:rPr>
                <w:rFonts w:hint="default" w:ascii="宋体" w:hAnsi="宋体" w:eastAsia="宋体" w:cs="宋体"/>
                <w:color w:val="auto"/>
                <w:spacing w:val="-2"/>
                <w:sz w:val="20"/>
                <w:szCs w:val="20"/>
              </w:rPr>
              <w:t>——未经原设计单位变更设计或专业研究机构的研究并采取安全措施，不得减小矿柱(包括点柱、</w:t>
            </w:r>
            <w:r>
              <w:rPr>
                <w:rFonts w:hint="default" w:ascii="宋体" w:hAnsi="宋体" w:eastAsia="宋体" w:cs="宋体"/>
                <w:color w:val="auto"/>
                <w:spacing w:val="-6"/>
                <w:sz w:val="20"/>
                <w:szCs w:val="20"/>
              </w:rPr>
              <w:t>条柱)尺寸或扩大矿房的尺寸，不得采用人工支柱替代原有矿柱以回采矿柱；</w:t>
            </w:r>
          </w:p>
          <w:p w14:paraId="6DEFE9CA">
            <w:pPr>
              <w:pStyle w:val="3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0" w:lineRule="exact"/>
              <w:ind w:left="0" w:right="0"/>
              <w:jc w:val="both"/>
              <w:textAlignment w:val="auto"/>
              <w:rPr>
                <w:rFonts w:hint="eastAsia" w:cs="宋体"/>
                <w:color w:val="auto"/>
                <w:szCs w:val="21"/>
                <w:lang w:eastAsia="zh-CN"/>
              </w:rPr>
            </w:pPr>
            <w:r>
              <w:rPr>
                <w:rFonts w:hint="default" w:ascii="宋体" w:hAnsi="宋体" w:eastAsia="宋体" w:cs="宋体"/>
                <w:color w:val="auto"/>
                <w:spacing w:val="-2"/>
                <w:sz w:val="20"/>
                <w:szCs w:val="20"/>
              </w:rPr>
              <w:t>——</w:t>
            </w:r>
            <w:r>
              <w:rPr>
                <w:rFonts w:hint="default" w:ascii="宋体" w:hAnsi="宋体" w:eastAsia="宋体" w:cs="宋体"/>
                <w:color w:val="auto"/>
                <w:spacing w:val="-8"/>
                <w:sz w:val="20"/>
                <w:szCs w:val="20"/>
              </w:rPr>
              <w:t>回采过程中应认真检查顶板，处理浮石，并根据岩石稳定性对采场顶板进行必要的支护。</w:t>
            </w:r>
          </w:p>
        </w:tc>
        <w:tc>
          <w:tcPr>
            <w:tcW w:w="1272" w:type="pct"/>
            <w:tcBorders>
              <w:tl2br w:val="nil"/>
              <w:tr2bl w:val="nil"/>
            </w:tcBorders>
            <w:vAlign w:val="center"/>
          </w:tcPr>
          <w:p w14:paraId="7E8F503F">
            <w:pPr>
              <w:pStyle w:val="3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0" w:lineRule="exact"/>
              <w:ind w:left="0" w:right="0"/>
              <w:textAlignment w:val="auto"/>
              <w:rPr>
                <w:rFonts w:hint="default" w:eastAsia="宋体" w:cs="宋体"/>
                <w:color w:val="auto"/>
                <w:szCs w:val="21"/>
                <w:lang w:val="en-US" w:eastAsia="zh-CN"/>
              </w:rPr>
            </w:pPr>
            <w:r>
              <w:rPr>
                <w:rFonts w:hint="eastAsia" w:cs="宋体"/>
                <w:color w:val="auto"/>
                <w:szCs w:val="21"/>
              </w:rPr>
              <w:t>《金属非金属矿山安全规程》</w:t>
            </w:r>
            <w:r>
              <w:rPr>
                <w:rFonts w:hint="default" w:cs="宋体"/>
                <w:color w:val="auto"/>
                <w:szCs w:val="21"/>
              </w:rPr>
              <w:t>(GBl6423-20</w:t>
            </w:r>
            <w:r>
              <w:rPr>
                <w:rFonts w:hint="eastAsia" w:cs="宋体"/>
                <w:color w:val="auto"/>
                <w:szCs w:val="21"/>
              </w:rPr>
              <w:t>20</w:t>
            </w:r>
            <w:r>
              <w:rPr>
                <w:rFonts w:hint="default" w:cs="宋体"/>
                <w:color w:val="auto"/>
                <w:szCs w:val="21"/>
              </w:rPr>
              <w:t>)第6.</w:t>
            </w:r>
            <w:r>
              <w:rPr>
                <w:rFonts w:hint="eastAsia" w:cs="宋体"/>
                <w:color w:val="auto"/>
                <w:szCs w:val="21"/>
              </w:rPr>
              <w:t>3.</w:t>
            </w:r>
            <w:r>
              <w:rPr>
                <w:rFonts w:hint="eastAsia" w:cs="宋体"/>
                <w:color w:val="auto"/>
                <w:szCs w:val="21"/>
                <w:lang w:val="en-US" w:eastAsia="zh-CN"/>
              </w:rPr>
              <w:t>2</w:t>
            </w:r>
            <w:r>
              <w:rPr>
                <w:rFonts w:hint="eastAsia" w:cs="宋体"/>
                <w:color w:val="auto"/>
                <w:szCs w:val="21"/>
              </w:rPr>
              <w:t>.</w:t>
            </w:r>
            <w:r>
              <w:rPr>
                <w:rFonts w:hint="eastAsia" w:cs="宋体"/>
                <w:color w:val="auto"/>
                <w:szCs w:val="21"/>
                <w:lang w:val="en-US" w:eastAsia="zh-CN"/>
              </w:rPr>
              <w:t>1</w:t>
            </w:r>
            <w:r>
              <w:rPr>
                <w:rFonts w:hint="default" w:cs="宋体"/>
                <w:color w:val="auto"/>
                <w:szCs w:val="21"/>
              </w:rPr>
              <w:t>条</w:t>
            </w:r>
          </w:p>
        </w:tc>
        <w:tc>
          <w:tcPr>
            <w:tcW w:w="1254" w:type="pct"/>
            <w:tcBorders>
              <w:tl2br w:val="nil"/>
              <w:tr2bl w:val="nil"/>
            </w:tcBorders>
            <w:vAlign w:val="center"/>
          </w:tcPr>
          <w:p w14:paraId="0D43308D">
            <w:pPr>
              <w:pStyle w:val="3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0" w:lineRule="exact"/>
              <w:ind w:left="0" w:right="0"/>
              <w:jc w:val="both"/>
              <w:textAlignment w:val="auto"/>
              <w:rPr>
                <w:rFonts w:hint="default" w:hAnsi="宋体" w:eastAsia="宋体"/>
                <w:color w:val="auto"/>
                <w:szCs w:val="21"/>
                <w:lang w:val="en-US" w:eastAsia="zh-CN"/>
              </w:rPr>
            </w:pPr>
            <w:r>
              <w:rPr>
                <w:rFonts w:hint="eastAsia"/>
                <w:color w:val="auto"/>
                <w:lang w:val="en-US" w:eastAsia="zh-CN"/>
              </w:rPr>
              <w:t>房柱</w:t>
            </w:r>
            <w:r>
              <w:rPr>
                <w:rFonts w:hint="default"/>
                <w:color w:val="auto"/>
              </w:rPr>
              <w:t>法</w:t>
            </w:r>
            <w:r>
              <w:rPr>
                <w:rFonts w:hint="eastAsia"/>
                <w:color w:val="auto"/>
                <w:lang w:val="en-US" w:eastAsia="zh-CN"/>
              </w:rPr>
              <w:t>采矿工艺，采场参数根据矿体赋存条件，结合同类矿山的生产实际情况确定</w:t>
            </w:r>
            <w:r>
              <w:rPr>
                <w:rFonts w:hint="eastAsia"/>
                <w:color w:val="auto"/>
                <w:szCs w:val="21"/>
                <w:lang w:val="en-US" w:eastAsia="zh-CN"/>
              </w:rPr>
              <w:t>。</w:t>
            </w:r>
          </w:p>
        </w:tc>
        <w:tc>
          <w:tcPr>
            <w:tcW w:w="395" w:type="pct"/>
            <w:tcBorders>
              <w:tl2br w:val="nil"/>
              <w:tr2bl w:val="nil"/>
            </w:tcBorders>
            <w:vAlign w:val="center"/>
          </w:tcPr>
          <w:p w14:paraId="2A18612D">
            <w:pPr>
              <w:pStyle w:val="3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0" w:lineRule="exact"/>
              <w:ind w:left="0" w:right="0"/>
              <w:textAlignment w:val="auto"/>
              <w:rPr>
                <w:rFonts w:hint="eastAsia" w:hAnsi="宋体" w:eastAsia="宋体" w:cs="宋体"/>
                <w:color w:val="auto"/>
                <w:szCs w:val="21"/>
                <w:lang w:val="en-US" w:eastAsia="zh-CN"/>
              </w:rPr>
            </w:pPr>
            <w:r>
              <w:rPr>
                <w:rFonts w:hint="eastAsia" w:cs="宋体"/>
                <w:color w:val="auto"/>
                <w:szCs w:val="21"/>
                <w:lang w:val="en-US" w:eastAsia="zh-CN"/>
              </w:rPr>
              <w:t>符合</w:t>
            </w:r>
          </w:p>
        </w:tc>
      </w:tr>
      <w:tr w14:paraId="63974A7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336" w:type="pct"/>
            <w:tcBorders>
              <w:tl2br w:val="nil"/>
              <w:tr2bl w:val="nil"/>
            </w:tcBorders>
            <w:vAlign w:val="center"/>
          </w:tcPr>
          <w:p w14:paraId="15B1D328">
            <w:pPr>
              <w:pStyle w:val="3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0" w:lineRule="exact"/>
              <w:ind w:left="0" w:right="0"/>
              <w:jc w:val="center"/>
              <w:textAlignment w:val="auto"/>
              <w:rPr>
                <w:rFonts w:hint="default" w:hAnsi="宋体" w:eastAsia="宋体" w:cs="宋体"/>
                <w:color w:val="auto"/>
                <w:szCs w:val="21"/>
                <w:lang w:val="en-US" w:eastAsia="zh-CN"/>
              </w:rPr>
            </w:pPr>
            <w:r>
              <w:rPr>
                <w:rFonts w:hint="eastAsia" w:cs="宋体"/>
                <w:color w:val="auto"/>
                <w:szCs w:val="21"/>
                <w:lang w:val="en-US" w:eastAsia="zh-CN"/>
              </w:rPr>
              <w:t>5</w:t>
            </w:r>
          </w:p>
        </w:tc>
        <w:tc>
          <w:tcPr>
            <w:tcW w:w="1740" w:type="pct"/>
            <w:tcBorders>
              <w:tl2br w:val="nil"/>
              <w:tr2bl w:val="nil"/>
            </w:tcBorders>
            <w:vAlign w:val="center"/>
          </w:tcPr>
          <w:p w14:paraId="44803B3B">
            <w:pPr>
              <w:pStyle w:val="34"/>
              <w:keepNext w:val="0"/>
              <w:keepLines w:val="0"/>
              <w:suppressLineNumbers w:val="0"/>
              <w:spacing w:before="0" w:beforeAutospacing="0" w:after="0" w:afterAutospacing="0"/>
              <w:ind w:left="0" w:right="0" w:firstLine="0" w:firstLineChars="0"/>
              <w:rPr>
                <w:rFonts w:hint="eastAsia" w:hAnsi="宋体" w:cs="宋体"/>
                <w:color w:val="auto"/>
                <w:szCs w:val="21"/>
              </w:rPr>
            </w:pPr>
            <w:r>
              <w:rPr>
                <w:rFonts w:hint="eastAsia"/>
                <w:color w:val="auto"/>
              </w:rPr>
              <w:t>凿岩应采取湿式作业。缺水地区或湿式作业有困难的地点，应采取干式捕尘或其他有效防尘措施。</w:t>
            </w:r>
          </w:p>
        </w:tc>
        <w:tc>
          <w:tcPr>
            <w:tcW w:w="1272" w:type="pct"/>
            <w:tcBorders>
              <w:tl2br w:val="nil"/>
              <w:tr2bl w:val="nil"/>
            </w:tcBorders>
            <w:vAlign w:val="center"/>
          </w:tcPr>
          <w:p w14:paraId="5271808A">
            <w:pPr>
              <w:pStyle w:val="34"/>
              <w:keepNext w:val="0"/>
              <w:keepLines w:val="0"/>
              <w:suppressLineNumbers w:val="0"/>
              <w:spacing w:before="0" w:beforeAutospacing="0" w:after="0" w:afterAutospacing="0"/>
              <w:ind w:left="0" w:right="0" w:firstLine="0" w:firstLineChars="0"/>
              <w:jc w:val="center"/>
              <w:rPr>
                <w:rFonts w:hint="eastAsia" w:cs="宋体"/>
                <w:color w:val="auto"/>
                <w:szCs w:val="21"/>
              </w:rPr>
            </w:pPr>
            <w:r>
              <w:rPr>
                <w:rFonts w:hint="eastAsia"/>
                <w:color w:val="auto"/>
              </w:rPr>
              <w:t>《金属非金属矿山安全规程》(</w:t>
            </w:r>
            <w:r>
              <w:rPr>
                <w:rFonts w:hint="eastAsia"/>
                <w:color w:val="auto"/>
                <w:lang w:eastAsia="zh-CN"/>
              </w:rPr>
              <w:t>GBl6423-2020</w:t>
            </w:r>
            <w:r>
              <w:rPr>
                <w:rFonts w:hint="eastAsia"/>
                <w:color w:val="auto"/>
              </w:rPr>
              <w:t>)6.4.5.1</w:t>
            </w:r>
          </w:p>
        </w:tc>
        <w:tc>
          <w:tcPr>
            <w:tcW w:w="1254" w:type="pct"/>
            <w:tcBorders>
              <w:tl2br w:val="nil"/>
              <w:tr2bl w:val="nil"/>
            </w:tcBorders>
            <w:vAlign w:val="center"/>
          </w:tcPr>
          <w:p w14:paraId="0EA8DA7D">
            <w:pPr>
              <w:pStyle w:val="34"/>
              <w:keepNext w:val="0"/>
              <w:keepLines w:val="0"/>
              <w:suppressLineNumbers w:val="0"/>
              <w:spacing w:before="0" w:beforeAutospacing="0" w:after="0" w:afterAutospacing="0"/>
              <w:ind w:left="0" w:right="0" w:firstLine="0" w:firstLineChars="0"/>
              <w:rPr>
                <w:rFonts w:hint="eastAsia" w:hAnsi="宋体"/>
                <w:b/>
                <w:bCs/>
                <w:color w:val="auto"/>
                <w:szCs w:val="21"/>
              </w:rPr>
            </w:pPr>
            <w:r>
              <w:rPr>
                <w:rFonts w:hint="eastAsia"/>
                <w:color w:val="auto"/>
              </w:rPr>
              <w:t>设计凿岩采取湿式作业。</w:t>
            </w:r>
          </w:p>
        </w:tc>
        <w:tc>
          <w:tcPr>
            <w:tcW w:w="395" w:type="pct"/>
            <w:tcBorders>
              <w:tl2br w:val="nil"/>
              <w:tr2bl w:val="nil"/>
            </w:tcBorders>
            <w:vAlign w:val="center"/>
          </w:tcPr>
          <w:p w14:paraId="5C46522C">
            <w:pPr>
              <w:pStyle w:val="3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0" w:lineRule="exact"/>
              <w:ind w:left="0" w:right="0"/>
              <w:textAlignment w:val="auto"/>
              <w:rPr>
                <w:rFonts w:hint="eastAsia" w:hAnsi="宋体" w:eastAsia="宋体" w:cs="宋体"/>
                <w:color w:val="auto"/>
                <w:szCs w:val="21"/>
                <w:lang w:val="en-US" w:eastAsia="zh-CN"/>
              </w:rPr>
            </w:pPr>
            <w:r>
              <w:rPr>
                <w:rFonts w:hint="eastAsia" w:cs="宋体"/>
                <w:color w:val="auto"/>
                <w:szCs w:val="21"/>
                <w:lang w:val="en-US" w:eastAsia="zh-CN"/>
              </w:rPr>
              <w:t>符合</w:t>
            </w:r>
          </w:p>
        </w:tc>
      </w:tr>
      <w:tr w14:paraId="6E3DDE5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336" w:type="pct"/>
            <w:tcBorders>
              <w:tl2br w:val="nil"/>
              <w:tr2bl w:val="nil"/>
            </w:tcBorders>
            <w:vAlign w:val="center"/>
          </w:tcPr>
          <w:p w14:paraId="6FD8D23D">
            <w:pPr>
              <w:pStyle w:val="3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0" w:lineRule="exact"/>
              <w:ind w:left="0" w:right="0"/>
              <w:jc w:val="center"/>
              <w:textAlignment w:val="auto"/>
              <w:rPr>
                <w:rFonts w:hint="default" w:ascii="宋体" w:hAnsi="宋体" w:eastAsia="宋体" w:cs="宋体"/>
                <w:color w:val="auto"/>
                <w:szCs w:val="21"/>
                <w:lang w:val="en-US" w:eastAsia="zh-CN"/>
              </w:rPr>
            </w:pPr>
            <w:r>
              <w:rPr>
                <w:rFonts w:hint="eastAsia" w:cs="宋体"/>
                <w:color w:val="auto"/>
                <w:szCs w:val="21"/>
                <w:lang w:val="en-US" w:eastAsia="zh-CN"/>
              </w:rPr>
              <w:t>6</w:t>
            </w:r>
          </w:p>
        </w:tc>
        <w:tc>
          <w:tcPr>
            <w:tcW w:w="1740" w:type="pct"/>
            <w:tcBorders>
              <w:tl2br w:val="nil"/>
              <w:tr2bl w:val="nil"/>
            </w:tcBorders>
            <w:vAlign w:val="center"/>
          </w:tcPr>
          <w:p w14:paraId="6BD5F5C5">
            <w:pPr>
              <w:pStyle w:val="3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0" w:lineRule="exact"/>
              <w:ind w:left="0" w:right="0"/>
              <w:jc w:val="both"/>
              <w:textAlignment w:val="auto"/>
              <w:rPr>
                <w:rFonts w:hint="default" w:ascii="宋体" w:hAnsi="宋体" w:eastAsia="宋体" w:cs="宋体"/>
                <w:color w:val="auto"/>
                <w:szCs w:val="21"/>
              </w:rPr>
            </w:pPr>
            <w:r>
              <w:rPr>
                <w:rFonts w:hint="eastAsia" w:ascii="宋体" w:hAnsi="宋体" w:eastAsia="宋体" w:cs="宋体"/>
                <w:color w:val="auto"/>
                <w:szCs w:val="21"/>
              </w:rPr>
              <w:t>井下爆破应遵守GB6722的规定</w:t>
            </w:r>
          </w:p>
        </w:tc>
        <w:tc>
          <w:tcPr>
            <w:tcW w:w="1272" w:type="pct"/>
            <w:tcBorders>
              <w:tl2br w:val="nil"/>
              <w:tr2bl w:val="nil"/>
            </w:tcBorders>
            <w:vAlign w:val="center"/>
          </w:tcPr>
          <w:p w14:paraId="794499B9">
            <w:pPr>
              <w:pStyle w:val="3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0" w:lineRule="exact"/>
              <w:ind w:left="0" w:right="0"/>
              <w:jc w:val="center"/>
              <w:textAlignment w:val="auto"/>
              <w:rPr>
                <w:rFonts w:hint="default" w:ascii="宋体" w:hAnsi="宋体" w:eastAsia="宋体" w:cs="宋体"/>
                <w:color w:val="auto"/>
                <w:szCs w:val="21"/>
              </w:rPr>
            </w:pPr>
            <w:r>
              <w:rPr>
                <w:rFonts w:hint="eastAsia" w:ascii="宋体" w:hAnsi="宋体" w:eastAsia="宋体" w:cs="宋体"/>
                <w:color w:val="auto"/>
                <w:szCs w:val="21"/>
              </w:rPr>
              <w:t>《金属非金属矿山安全规程》</w:t>
            </w:r>
            <w:r>
              <w:rPr>
                <w:rFonts w:hint="default" w:ascii="宋体" w:hAnsi="宋体" w:eastAsia="宋体" w:cs="宋体"/>
                <w:color w:val="auto"/>
                <w:szCs w:val="21"/>
              </w:rPr>
              <w:t>(GBl6423-20</w:t>
            </w:r>
            <w:r>
              <w:rPr>
                <w:rFonts w:hint="eastAsia" w:ascii="宋体" w:hAnsi="宋体" w:eastAsia="宋体" w:cs="宋体"/>
                <w:color w:val="auto"/>
                <w:szCs w:val="21"/>
              </w:rPr>
              <w:t>20</w:t>
            </w:r>
            <w:r>
              <w:rPr>
                <w:rFonts w:hint="default" w:ascii="宋体" w:hAnsi="宋体" w:eastAsia="宋体" w:cs="宋体"/>
                <w:color w:val="auto"/>
                <w:szCs w:val="21"/>
              </w:rPr>
              <w:t>)第6.</w:t>
            </w:r>
            <w:r>
              <w:rPr>
                <w:rFonts w:hint="eastAsia" w:ascii="宋体" w:hAnsi="宋体" w:eastAsia="宋体" w:cs="宋体"/>
                <w:color w:val="auto"/>
                <w:szCs w:val="21"/>
              </w:rPr>
              <w:t>3.1.17</w:t>
            </w:r>
            <w:r>
              <w:rPr>
                <w:rFonts w:hint="default" w:ascii="宋体" w:hAnsi="宋体" w:eastAsia="宋体" w:cs="宋体"/>
                <w:color w:val="auto"/>
                <w:szCs w:val="21"/>
              </w:rPr>
              <w:t>条</w:t>
            </w:r>
          </w:p>
        </w:tc>
        <w:tc>
          <w:tcPr>
            <w:tcW w:w="1254" w:type="pct"/>
            <w:tcBorders>
              <w:tl2br w:val="nil"/>
              <w:tr2bl w:val="nil"/>
            </w:tcBorders>
            <w:vAlign w:val="center"/>
          </w:tcPr>
          <w:p w14:paraId="68EAEC0F">
            <w:pPr>
              <w:pStyle w:val="3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0" w:lineRule="exact"/>
              <w:ind w:left="0" w:right="0"/>
              <w:jc w:val="both"/>
              <w:textAlignment w:val="auto"/>
              <w:rPr>
                <w:rFonts w:hint="default" w:ascii="宋体" w:hAnsi="宋体" w:eastAsia="宋体" w:cs="宋体"/>
                <w:color w:val="auto"/>
                <w:szCs w:val="21"/>
                <w:lang w:val="en-US" w:eastAsia="zh-CN"/>
              </w:rPr>
            </w:pPr>
            <w:r>
              <w:rPr>
                <w:rFonts w:hint="eastAsia" w:cs="宋体"/>
                <w:color w:val="auto"/>
                <w:szCs w:val="21"/>
                <w:lang w:val="en-US" w:eastAsia="zh-CN"/>
              </w:rPr>
              <w:t>可研报告中提出相关要求。</w:t>
            </w:r>
          </w:p>
        </w:tc>
        <w:tc>
          <w:tcPr>
            <w:tcW w:w="395" w:type="pct"/>
            <w:tcBorders>
              <w:tl2br w:val="nil"/>
              <w:tr2bl w:val="nil"/>
            </w:tcBorders>
            <w:vAlign w:val="center"/>
          </w:tcPr>
          <w:p w14:paraId="6F623C93">
            <w:pPr>
              <w:pStyle w:val="3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0" w:lineRule="exact"/>
              <w:ind w:left="0" w:right="0"/>
              <w:jc w:val="both"/>
              <w:textAlignment w:val="auto"/>
              <w:rPr>
                <w:rFonts w:hint="default" w:ascii="宋体" w:hAnsi="宋体" w:eastAsia="宋体" w:cs="宋体"/>
                <w:color w:val="auto"/>
                <w:szCs w:val="21"/>
              </w:rPr>
            </w:pPr>
            <w:r>
              <w:rPr>
                <w:rFonts w:hint="eastAsia" w:ascii="宋体" w:hAnsi="宋体" w:eastAsia="宋体" w:cs="宋体"/>
                <w:color w:val="auto"/>
                <w:szCs w:val="21"/>
              </w:rPr>
              <w:t>符合</w:t>
            </w:r>
          </w:p>
        </w:tc>
      </w:tr>
      <w:tr w14:paraId="56CFE02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336" w:type="pct"/>
            <w:tcBorders>
              <w:tl2br w:val="nil"/>
              <w:tr2bl w:val="nil"/>
            </w:tcBorders>
            <w:vAlign w:val="center"/>
          </w:tcPr>
          <w:p w14:paraId="2BEB1241">
            <w:pPr>
              <w:pStyle w:val="3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0" w:lineRule="exact"/>
              <w:ind w:left="0" w:right="0"/>
              <w:jc w:val="center"/>
              <w:textAlignment w:val="auto"/>
              <w:rPr>
                <w:rFonts w:hint="default" w:cs="宋体"/>
                <w:color w:val="auto"/>
                <w:szCs w:val="21"/>
                <w:lang w:val="en-US" w:eastAsia="zh-CN"/>
              </w:rPr>
            </w:pPr>
            <w:r>
              <w:rPr>
                <w:rFonts w:hint="eastAsia" w:cs="宋体"/>
                <w:color w:val="auto"/>
                <w:szCs w:val="21"/>
                <w:lang w:val="en-US" w:eastAsia="zh-CN"/>
              </w:rPr>
              <w:t>7</w:t>
            </w:r>
          </w:p>
        </w:tc>
        <w:tc>
          <w:tcPr>
            <w:tcW w:w="1740" w:type="pct"/>
            <w:tcBorders>
              <w:tl2br w:val="nil"/>
              <w:tr2bl w:val="nil"/>
            </w:tcBorders>
            <w:vAlign w:val="center"/>
          </w:tcPr>
          <w:p w14:paraId="211EE9A1">
            <w:pPr>
              <w:pStyle w:val="3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0" w:lineRule="exact"/>
              <w:ind w:left="0" w:right="0"/>
              <w:jc w:val="both"/>
              <w:textAlignment w:val="auto"/>
              <w:rPr>
                <w:rFonts w:hint="eastAsia" w:ascii="宋体" w:hAnsi="宋体" w:eastAsia="宋体" w:cs="宋体"/>
                <w:color w:val="auto"/>
                <w:szCs w:val="21"/>
              </w:rPr>
            </w:pPr>
            <w:r>
              <w:rPr>
                <w:rFonts w:hint="eastAsia" w:ascii="宋体" w:hAnsi="宋体" w:eastAsia="宋体" w:cs="宋体"/>
                <w:color w:val="auto"/>
                <w:szCs w:val="21"/>
              </w:rPr>
              <w:t>采用全面采矿法和房柱采矿法的矿山，应根据顶板稳定情况留出合适的矿柱</w:t>
            </w:r>
            <w:r>
              <w:rPr>
                <w:rFonts w:hint="eastAsia" w:cs="宋体"/>
                <w:color w:val="auto"/>
                <w:szCs w:val="21"/>
                <w:lang w:eastAsia="zh-CN"/>
              </w:rPr>
              <w:t>；</w:t>
            </w:r>
            <w:r>
              <w:rPr>
                <w:rFonts w:hint="eastAsia" w:ascii="宋体" w:hAnsi="宋体" w:eastAsia="宋体" w:cs="宋体"/>
                <w:color w:val="auto"/>
                <w:szCs w:val="21"/>
              </w:rPr>
              <w:t>矿柱需要回收时,应采取安全措施。</w:t>
            </w:r>
          </w:p>
        </w:tc>
        <w:tc>
          <w:tcPr>
            <w:tcW w:w="1272" w:type="pct"/>
            <w:tcBorders>
              <w:tl2br w:val="nil"/>
              <w:tr2bl w:val="nil"/>
            </w:tcBorders>
            <w:vAlign w:val="center"/>
          </w:tcPr>
          <w:p w14:paraId="18821ECA">
            <w:pPr>
              <w:pStyle w:val="3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0" w:lineRule="exact"/>
              <w:ind w:left="0" w:right="0"/>
              <w:jc w:val="center"/>
              <w:textAlignment w:val="auto"/>
              <w:rPr>
                <w:rFonts w:hint="eastAsia" w:ascii="宋体" w:hAnsi="宋体" w:eastAsia="宋体" w:cs="宋体"/>
                <w:color w:val="auto"/>
                <w:szCs w:val="21"/>
              </w:rPr>
            </w:pPr>
            <w:r>
              <w:rPr>
                <w:rFonts w:hint="eastAsia" w:hAnsi="宋体" w:cs="宋体"/>
                <w:color w:val="auto"/>
                <w:sz w:val="21"/>
                <w:szCs w:val="21"/>
                <w:lang w:eastAsia="zh-CN"/>
              </w:rPr>
              <w:t>《</w:t>
            </w:r>
            <w:r>
              <w:rPr>
                <w:rFonts w:hint="eastAsia" w:hAnsi="宋体" w:cs="宋体"/>
                <w:color w:val="auto"/>
                <w:sz w:val="21"/>
                <w:szCs w:val="21"/>
                <w:lang w:val="en-US" w:eastAsia="zh-CN"/>
              </w:rPr>
              <w:t>有色金属采矿设计规范</w:t>
            </w:r>
            <w:r>
              <w:rPr>
                <w:rFonts w:hint="eastAsia" w:hAnsi="宋体" w:cs="宋体"/>
                <w:color w:val="auto"/>
                <w:sz w:val="21"/>
                <w:szCs w:val="21"/>
                <w:lang w:eastAsia="zh-CN"/>
              </w:rPr>
              <w:t>》</w:t>
            </w:r>
            <w:r>
              <w:rPr>
                <w:rFonts w:hint="eastAsia" w:hAnsi="宋体" w:cs="宋体"/>
                <w:color w:val="auto"/>
                <w:sz w:val="21"/>
                <w:szCs w:val="21"/>
                <w:lang w:val="en-US" w:eastAsia="zh-CN"/>
              </w:rPr>
              <w:t>(GB50771-2012)第9.</w:t>
            </w:r>
            <w:r>
              <w:rPr>
                <w:rFonts w:hint="eastAsia" w:cs="宋体"/>
                <w:color w:val="auto"/>
                <w:sz w:val="21"/>
                <w:szCs w:val="21"/>
                <w:lang w:val="en-US" w:eastAsia="zh-CN"/>
              </w:rPr>
              <w:t>4</w:t>
            </w:r>
            <w:r>
              <w:rPr>
                <w:rFonts w:hint="eastAsia" w:hAnsi="宋体" w:cs="宋体"/>
                <w:color w:val="auto"/>
                <w:sz w:val="21"/>
                <w:szCs w:val="21"/>
                <w:lang w:val="en-US" w:eastAsia="zh-CN"/>
              </w:rPr>
              <w:t>.</w:t>
            </w:r>
            <w:r>
              <w:rPr>
                <w:rFonts w:hint="eastAsia" w:cs="宋体"/>
                <w:color w:val="auto"/>
                <w:sz w:val="21"/>
                <w:szCs w:val="21"/>
                <w:lang w:val="en-US" w:eastAsia="zh-CN"/>
              </w:rPr>
              <w:t>1</w:t>
            </w:r>
            <w:r>
              <w:rPr>
                <w:rFonts w:hint="eastAsia" w:hAnsi="宋体" w:cs="宋体"/>
                <w:color w:val="auto"/>
                <w:sz w:val="21"/>
                <w:szCs w:val="21"/>
                <w:lang w:val="en-US" w:eastAsia="zh-CN"/>
              </w:rPr>
              <w:t>条</w:t>
            </w:r>
          </w:p>
        </w:tc>
        <w:tc>
          <w:tcPr>
            <w:tcW w:w="1254" w:type="pct"/>
            <w:tcBorders>
              <w:tl2br w:val="nil"/>
              <w:tr2bl w:val="nil"/>
            </w:tcBorders>
            <w:vAlign w:val="center"/>
          </w:tcPr>
          <w:p w14:paraId="46610631">
            <w:pPr>
              <w:pStyle w:val="3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0" w:lineRule="exact"/>
              <w:ind w:left="0" w:right="0"/>
              <w:jc w:val="both"/>
              <w:textAlignment w:val="auto"/>
              <w:rPr>
                <w:rFonts w:hint="default" w:cs="宋体"/>
                <w:color w:val="auto"/>
                <w:szCs w:val="21"/>
                <w:lang w:val="en-US" w:eastAsia="zh-CN"/>
              </w:rPr>
            </w:pPr>
            <w:r>
              <w:rPr>
                <w:rFonts w:hint="eastAsia" w:cs="宋体"/>
                <w:color w:val="auto"/>
                <w:szCs w:val="21"/>
                <w:lang w:val="en-US" w:eastAsia="zh-CN"/>
              </w:rPr>
              <w:t>采用房柱法开采，该采矿方法间柱为永久矿柱，不进行回采。</w:t>
            </w:r>
          </w:p>
        </w:tc>
        <w:tc>
          <w:tcPr>
            <w:tcW w:w="395" w:type="pct"/>
            <w:tcBorders>
              <w:tl2br w:val="nil"/>
              <w:tr2bl w:val="nil"/>
            </w:tcBorders>
            <w:vAlign w:val="center"/>
          </w:tcPr>
          <w:p w14:paraId="3D73CD2B">
            <w:pPr>
              <w:pStyle w:val="3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0" w:lineRule="exact"/>
              <w:ind w:left="0" w:right="0"/>
              <w:jc w:val="both"/>
              <w:textAlignment w:val="auto"/>
              <w:rPr>
                <w:rFonts w:hint="eastAsia" w:ascii="宋体" w:hAnsi="宋体" w:eastAsia="宋体" w:cs="宋体"/>
                <w:color w:val="auto"/>
                <w:szCs w:val="21"/>
              </w:rPr>
            </w:pPr>
            <w:r>
              <w:rPr>
                <w:rFonts w:hint="eastAsia" w:ascii="宋体" w:hAnsi="宋体" w:eastAsia="宋体" w:cs="宋体"/>
                <w:color w:val="auto"/>
                <w:szCs w:val="21"/>
              </w:rPr>
              <w:t>符合</w:t>
            </w:r>
          </w:p>
        </w:tc>
      </w:tr>
      <w:tr w14:paraId="2BA0DF7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336" w:type="pct"/>
            <w:tcBorders>
              <w:tl2br w:val="nil"/>
              <w:tr2bl w:val="nil"/>
            </w:tcBorders>
            <w:vAlign w:val="center"/>
          </w:tcPr>
          <w:p w14:paraId="20676E2A">
            <w:pPr>
              <w:pStyle w:val="3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0" w:lineRule="exact"/>
              <w:ind w:left="0" w:right="0"/>
              <w:jc w:val="center"/>
              <w:textAlignment w:val="auto"/>
              <w:rPr>
                <w:rFonts w:hint="default" w:cs="宋体"/>
                <w:color w:val="auto"/>
                <w:szCs w:val="21"/>
                <w:lang w:val="en-US" w:eastAsia="zh-CN"/>
              </w:rPr>
            </w:pPr>
            <w:r>
              <w:rPr>
                <w:rFonts w:hint="eastAsia" w:cs="宋体"/>
                <w:color w:val="auto"/>
                <w:szCs w:val="21"/>
                <w:lang w:val="en-US" w:eastAsia="zh-CN"/>
              </w:rPr>
              <w:t>8</w:t>
            </w:r>
          </w:p>
        </w:tc>
        <w:tc>
          <w:tcPr>
            <w:tcW w:w="1740" w:type="pct"/>
            <w:tcBorders>
              <w:tl2br w:val="nil"/>
              <w:tr2bl w:val="nil"/>
            </w:tcBorders>
            <w:vAlign w:val="center"/>
          </w:tcPr>
          <w:p w14:paraId="1EB290AC">
            <w:pPr>
              <w:pStyle w:val="3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0" w:lineRule="exact"/>
              <w:ind w:left="0" w:right="0"/>
              <w:jc w:val="both"/>
              <w:textAlignment w:val="auto"/>
              <w:rPr>
                <w:rFonts w:hint="eastAsia" w:ascii="宋体" w:hAnsi="宋体" w:eastAsia="宋体" w:cs="宋体"/>
                <w:color w:val="auto"/>
                <w:szCs w:val="21"/>
              </w:rPr>
            </w:pPr>
            <w:r>
              <w:rPr>
                <w:rFonts w:hint="default" w:ascii="宋体" w:hAnsi="宋体" w:eastAsia="宋体" w:cs="宋体"/>
                <w:color w:val="auto"/>
                <w:sz w:val="19"/>
                <w:szCs w:val="19"/>
              </w:rPr>
              <w:t>采用空场法采矿的矿山，应采取充填、隔离或强制崩落围岩的措施，及时处理采空区。</w:t>
            </w:r>
          </w:p>
        </w:tc>
        <w:tc>
          <w:tcPr>
            <w:tcW w:w="1272" w:type="pct"/>
            <w:tcBorders>
              <w:tl2br w:val="nil"/>
              <w:tr2bl w:val="nil"/>
            </w:tcBorders>
            <w:vAlign w:val="center"/>
          </w:tcPr>
          <w:p w14:paraId="51210885">
            <w:pPr>
              <w:pStyle w:val="3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0" w:lineRule="exact"/>
              <w:ind w:left="0" w:right="0"/>
              <w:jc w:val="center"/>
              <w:textAlignment w:val="auto"/>
              <w:rPr>
                <w:rFonts w:hint="eastAsia" w:hAnsi="宋体" w:cs="宋体"/>
                <w:color w:val="auto"/>
                <w:sz w:val="21"/>
                <w:szCs w:val="21"/>
                <w:lang w:eastAsia="zh-CN"/>
              </w:rPr>
            </w:pPr>
            <w:r>
              <w:rPr>
                <w:rFonts w:hint="eastAsia" w:ascii="宋体" w:hAnsi="宋体" w:eastAsia="宋体" w:cs="宋体"/>
                <w:color w:val="auto"/>
                <w:szCs w:val="21"/>
              </w:rPr>
              <w:t>《金属非金属矿山安全规程》</w:t>
            </w:r>
            <w:r>
              <w:rPr>
                <w:rFonts w:hint="default" w:ascii="宋体" w:hAnsi="宋体" w:eastAsia="宋体" w:cs="宋体"/>
                <w:color w:val="auto"/>
                <w:szCs w:val="21"/>
              </w:rPr>
              <w:t>(GBl6423-20</w:t>
            </w:r>
            <w:r>
              <w:rPr>
                <w:rFonts w:hint="eastAsia" w:ascii="宋体" w:hAnsi="宋体" w:eastAsia="宋体" w:cs="宋体"/>
                <w:color w:val="auto"/>
                <w:szCs w:val="21"/>
              </w:rPr>
              <w:t>20</w:t>
            </w:r>
            <w:r>
              <w:rPr>
                <w:rFonts w:hint="default" w:ascii="宋体" w:hAnsi="宋体" w:eastAsia="宋体" w:cs="宋体"/>
                <w:color w:val="auto"/>
                <w:szCs w:val="21"/>
              </w:rPr>
              <w:t>)第6.</w:t>
            </w:r>
            <w:r>
              <w:rPr>
                <w:rFonts w:hint="eastAsia" w:ascii="宋体" w:hAnsi="宋体" w:eastAsia="宋体" w:cs="宋体"/>
                <w:color w:val="auto"/>
                <w:szCs w:val="21"/>
              </w:rPr>
              <w:t>3.1.1</w:t>
            </w:r>
            <w:r>
              <w:rPr>
                <w:rFonts w:hint="eastAsia" w:cs="宋体"/>
                <w:color w:val="auto"/>
                <w:szCs w:val="21"/>
                <w:lang w:val="en-US" w:eastAsia="zh-CN"/>
              </w:rPr>
              <w:t>5</w:t>
            </w:r>
            <w:r>
              <w:rPr>
                <w:rFonts w:hint="default" w:ascii="宋体" w:hAnsi="宋体" w:eastAsia="宋体" w:cs="宋体"/>
                <w:color w:val="auto"/>
                <w:szCs w:val="21"/>
              </w:rPr>
              <w:t>条</w:t>
            </w:r>
          </w:p>
        </w:tc>
        <w:tc>
          <w:tcPr>
            <w:tcW w:w="1254" w:type="pct"/>
            <w:tcBorders>
              <w:tl2br w:val="nil"/>
              <w:tr2bl w:val="nil"/>
            </w:tcBorders>
            <w:vAlign w:val="center"/>
          </w:tcPr>
          <w:p w14:paraId="6AB8FCB1">
            <w:pPr>
              <w:pStyle w:val="3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0" w:lineRule="exact"/>
              <w:ind w:left="0" w:right="0"/>
              <w:jc w:val="both"/>
              <w:textAlignment w:val="auto"/>
              <w:rPr>
                <w:rFonts w:hint="default" w:cs="宋体"/>
                <w:color w:val="auto"/>
                <w:szCs w:val="21"/>
                <w:lang w:val="en-US" w:eastAsia="zh-CN"/>
              </w:rPr>
            </w:pPr>
            <w:r>
              <w:rPr>
                <w:rFonts w:hint="eastAsia" w:cs="宋体"/>
                <w:color w:val="auto"/>
                <w:szCs w:val="21"/>
                <w:lang w:val="en-US" w:eastAsia="zh-CN"/>
              </w:rPr>
              <w:t>可研报告中拟对采空区采用密闭墙进行封闭处理。</w:t>
            </w:r>
          </w:p>
        </w:tc>
        <w:tc>
          <w:tcPr>
            <w:tcW w:w="395" w:type="pct"/>
            <w:tcBorders>
              <w:tl2br w:val="nil"/>
              <w:tr2bl w:val="nil"/>
            </w:tcBorders>
            <w:vAlign w:val="center"/>
          </w:tcPr>
          <w:p w14:paraId="57133AF3">
            <w:pPr>
              <w:pStyle w:val="3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0" w:lineRule="exact"/>
              <w:ind w:left="0" w:right="0"/>
              <w:jc w:val="both"/>
              <w:textAlignment w:val="auto"/>
              <w:rPr>
                <w:rFonts w:hint="eastAsia" w:ascii="宋体" w:hAnsi="宋体" w:eastAsia="宋体" w:cs="宋体"/>
                <w:color w:val="auto"/>
                <w:szCs w:val="21"/>
              </w:rPr>
            </w:pPr>
            <w:r>
              <w:rPr>
                <w:rFonts w:hint="eastAsia" w:ascii="宋体" w:hAnsi="宋体" w:eastAsia="宋体" w:cs="宋体"/>
                <w:color w:val="auto"/>
                <w:szCs w:val="21"/>
              </w:rPr>
              <w:t>符合</w:t>
            </w:r>
          </w:p>
        </w:tc>
      </w:tr>
    </w:tbl>
    <w:p w14:paraId="5B4AFCA0">
      <w:pPr>
        <w:ind w:firstLine="560"/>
        <w:rPr>
          <w:rFonts w:hint="default" w:ascii="Times New Roman" w:eastAsia="宋体"/>
          <w:color w:val="auto"/>
          <w:szCs w:val="28"/>
          <w:lang w:val="en-US" w:eastAsia="zh-CN"/>
        </w:rPr>
      </w:pPr>
      <w:r>
        <w:rPr>
          <w:rFonts w:hint="eastAsia" w:ascii="Times New Roman"/>
          <w:color w:val="auto"/>
          <w:szCs w:val="28"/>
        </w:rPr>
        <w:t>本单元通过安全检查表共检查</w:t>
      </w:r>
      <w:r>
        <w:rPr>
          <w:rFonts w:hint="eastAsia" w:ascii="Times New Roman"/>
          <w:color w:val="auto"/>
          <w:szCs w:val="28"/>
          <w:lang w:val="en-US" w:eastAsia="zh-CN"/>
        </w:rPr>
        <w:t>8</w:t>
      </w:r>
      <w:r>
        <w:rPr>
          <w:rFonts w:hint="eastAsia" w:ascii="Times New Roman"/>
          <w:color w:val="auto"/>
          <w:szCs w:val="28"/>
        </w:rPr>
        <w:t>项，</w:t>
      </w:r>
      <w:r>
        <w:rPr>
          <w:rFonts w:hint="eastAsia" w:ascii="Times New Roman"/>
          <w:color w:val="auto"/>
          <w:szCs w:val="28"/>
          <w:lang w:val="en-US" w:eastAsia="zh-CN"/>
        </w:rPr>
        <w:t>均</w:t>
      </w:r>
      <w:r>
        <w:rPr>
          <w:rFonts w:hint="eastAsia"/>
          <w:color w:val="auto"/>
          <w:szCs w:val="28"/>
          <w:lang w:val="en-US" w:eastAsia="zh-CN"/>
        </w:rPr>
        <w:t>符合。</w:t>
      </w:r>
    </w:p>
    <w:p w14:paraId="54557120">
      <w:pPr>
        <w:pStyle w:val="4"/>
        <w:tabs>
          <w:tab w:val="left" w:pos="8265"/>
        </w:tabs>
        <w:spacing w:before="120" w:beforeLines="0" w:after="120" w:afterLines="0"/>
        <w:rPr>
          <w:color w:val="auto"/>
        </w:rPr>
      </w:pPr>
      <w:r>
        <w:rPr>
          <w:rFonts w:hint="eastAsia"/>
          <w:color w:val="auto"/>
        </w:rPr>
        <w:t>3.</w:t>
      </w:r>
      <w:r>
        <w:rPr>
          <w:rFonts w:hint="eastAsia"/>
          <w:color w:val="auto"/>
          <w:lang w:val="en-US" w:eastAsia="zh-CN"/>
        </w:rPr>
        <w:t>4</w:t>
      </w:r>
      <w:r>
        <w:rPr>
          <w:color w:val="auto"/>
        </w:rPr>
        <w:t>.</w:t>
      </w:r>
      <w:r>
        <w:rPr>
          <w:rFonts w:hint="eastAsia"/>
          <w:color w:val="auto"/>
        </w:rPr>
        <w:t>3 单元评价总结</w:t>
      </w:r>
    </w:p>
    <w:p w14:paraId="536F294B">
      <w:pPr>
        <w:ind w:firstLine="560"/>
        <w:rPr>
          <w:rFonts w:hint="eastAsia" w:ascii="Times New Roman"/>
          <w:color w:val="auto"/>
          <w:szCs w:val="28"/>
        </w:rPr>
      </w:pPr>
      <w:r>
        <w:rPr>
          <w:rFonts w:hint="eastAsia" w:cs="宋体"/>
          <w:color w:val="auto"/>
          <w:szCs w:val="28"/>
          <w:lang w:val="en-US" w:eastAsia="zh-CN"/>
        </w:rPr>
        <w:t>1、</w:t>
      </w:r>
      <w:r>
        <w:rPr>
          <w:rFonts w:hint="eastAsia" w:hAnsi="宋体" w:cs="宋体"/>
          <w:color w:val="auto"/>
          <w:szCs w:val="28"/>
        </w:rPr>
        <w:t>通过采掘单元预先危险性分析可知：</w:t>
      </w:r>
      <w:r>
        <w:rPr>
          <w:rFonts w:hint="eastAsia" w:ascii="Times New Roman"/>
          <w:color w:val="auto"/>
          <w:szCs w:val="28"/>
        </w:rPr>
        <w:t>进行</w:t>
      </w:r>
      <w:r>
        <w:rPr>
          <w:rFonts w:ascii="Times New Roman"/>
          <w:color w:val="auto"/>
          <w:szCs w:val="28"/>
        </w:rPr>
        <w:t>采掘作业时，</w:t>
      </w:r>
      <w:r>
        <w:rPr>
          <w:rFonts w:hint="eastAsia" w:ascii="Times New Roman"/>
          <w:color w:val="auto"/>
          <w:szCs w:val="28"/>
        </w:rPr>
        <w:t>冒顶片帮</w:t>
      </w:r>
      <w:r>
        <w:rPr>
          <w:rFonts w:hint="eastAsia" w:ascii="Times New Roman"/>
          <w:color w:val="auto"/>
          <w:szCs w:val="28"/>
          <w:lang w:eastAsia="zh-CN"/>
        </w:rPr>
        <w:t>、中毒和窒息危险等级为Ⅳ级，会造成人员重大伤亡及系统严重破坏的灾难性事故，必须予以果断排除并进行重点防范；</w:t>
      </w:r>
      <w:r>
        <w:rPr>
          <w:rFonts w:hint="eastAsia" w:ascii="Times New Roman"/>
          <w:color w:val="auto"/>
          <w:szCs w:val="28"/>
        </w:rPr>
        <w:t>透水、放炮及火药爆炸和高处坠落、机械伤害、物体打击、容器爆炸危险等级为Ⅲ级，上述事故会造成人员伤亡和系统损坏，要立即采取防范对策；粉尘、噪声、震动等职业危害为Ⅱ级，上述危害因素可能造成人身伤害或涉及作业人员健康，亦应采取有效防治措施予以控制。</w:t>
      </w:r>
    </w:p>
    <w:p w14:paraId="41D66C47">
      <w:pPr>
        <w:ind w:firstLine="560"/>
        <w:rPr>
          <w:rFonts w:hint="eastAsia"/>
          <w:color w:val="auto"/>
        </w:rPr>
      </w:pPr>
      <w:r>
        <w:rPr>
          <w:rFonts w:hint="eastAsia"/>
          <w:color w:val="auto"/>
          <w:lang w:val="en-US" w:eastAsia="zh-CN"/>
        </w:rPr>
        <w:t>2</w:t>
      </w:r>
      <w:r>
        <w:rPr>
          <w:rFonts w:hint="eastAsia"/>
          <w:color w:val="auto"/>
        </w:rPr>
        <w:t>、可研报告推荐采矿方法、矿块参数及回采工艺，适合于</w:t>
      </w:r>
      <w:r>
        <w:rPr>
          <w:rFonts w:hint="eastAsia"/>
          <w:color w:val="auto"/>
          <w:lang w:val="en-US" w:eastAsia="zh-CN"/>
        </w:rPr>
        <w:t>该矿</w:t>
      </w:r>
      <w:r>
        <w:rPr>
          <w:rFonts w:hint="eastAsia"/>
          <w:color w:val="auto"/>
        </w:rPr>
        <w:t>矿床地质特征及开采技术条件，合理可行。</w:t>
      </w:r>
    </w:p>
    <w:p w14:paraId="0AE56F0C">
      <w:pPr>
        <w:ind w:firstLine="560"/>
        <w:rPr>
          <w:rFonts w:hint="default" w:eastAsia="宋体"/>
          <w:color w:val="auto"/>
          <w:lang w:val="en-US" w:eastAsia="zh-CN"/>
        </w:rPr>
      </w:pPr>
      <w:r>
        <w:rPr>
          <w:rFonts w:hint="eastAsia"/>
          <w:color w:val="auto"/>
          <w:lang w:val="en-US" w:eastAsia="zh-CN"/>
        </w:rPr>
        <w:t>3</w:t>
      </w:r>
      <w:r>
        <w:rPr>
          <w:rFonts w:hint="eastAsia"/>
          <w:color w:val="auto"/>
        </w:rPr>
        <w:t>、</w:t>
      </w:r>
      <w:r>
        <w:rPr>
          <w:rFonts w:hint="eastAsia"/>
          <w:color w:val="auto"/>
          <w:lang w:val="en-US" w:eastAsia="zh-CN"/>
        </w:rPr>
        <w:t>建议下一步安全设施设计细化采空区处理措施，考虑采用废石对采空区进行充填。</w:t>
      </w:r>
    </w:p>
    <w:p w14:paraId="34C648CA">
      <w:pPr>
        <w:pStyle w:val="3"/>
        <w:spacing w:before="120" w:beforeLines="0" w:after="120" w:afterLines="0" w:line="560" w:lineRule="exact"/>
        <w:rPr>
          <w:color w:val="auto"/>
        </w:rPr>
      </w:pPr>
      <w:bookmarkStart w:id="120" w:name="_Toc23903"/>
      <w:bookmarkStart w:id="121" w:name="_Toc25074"/>
      <w:r>
        <w:rPr>
          <w:rFonts w:hint="eastAsia"/>
          <w:color w:val="auto"/>
        </w:rPr>
        <w:t>3.</w:t>
      </w:r>
      <w:r>
        <w:rPr>
          <w:rFonts w:hint="eastAsia"/>
          <w:color w:val="auto"/>
          <w:lang w:val="en-US" w:eastAsia="zh-CN"/>
        </w:rPr>
        <w:t>5</w:t>
      </w:r>
      <w:r>
        <w:rPr>
          <w:rFonts w:hint="eastAsia"/>
          <w:color w:val="auto"/>
        </w:rPr>
        <w:t xml:space="preserve"> 通风单元</w:t>
      </w:r>
      <w:bookmarkEnd w:id="120"/>
      <w:bookmarkEnd w:id="121"/>
    </w:p>
    <w:p w14:paraId="22F5917E">
      <w:pPr>
        <w:keepLines/>
        <w:spacing w:before="120" w:after="120"/>
        <w:ind w:firstLine="0" w:firstLineChars="0"/>
        <w:outlineLvl w:val="2"/>
        <w:rPr>
          <w:rFonts w:ascii="黑体" w:hAnsi="宋体" w:eastAsia="黑体" w:cs="宋体"/>
          <w:color w:val="auto"/>
          <w:szCs w:val="28"/>
        </w:rPr>
      </w:pPr>
      <w:r>
        <w:rPr>
          <w:rFonts w:hint="eastAsia" w:ascii="黑体" w:hAnsi="宋体" w:eastAsia="黑体" w:cs="宋体"/>
          <w:color w:val="auto"/>
          <w:szCs w:val="28"/>
        </w:rPr>
        <w:t>3.</w:t>
      </w:r>
      <w:r>
        <w:rPr>
          <w:rFonts w:hint="eastAsia" w:ascii="黑体" w:eastAsia="黑体" w:cs="宋体"/>
          <w:color w:val="auto"/>
          <w:szCs w:val="28"/>
          <w:lang w:val="en-US" w:eastAsia="zh-CN"/>
        </w:rPr>
        <w:t>5</w:t>
      </w:r>
      <w:r>
        <w:rPr>
          <w:rFonts w:hint="eastAsia" w:ascii="黑体" w:hAnsi="宋体" w:eastAsia="黑体" w:cs="宋体"/>
          <w:color w:val="auto"/>
          <w:szCs w:val="28"/>
        </w:rPr>
        <w:t>.1 通风单元危害、有害因素评价</w:t>
      </w:r>
    </w:p>
    <w:p w14:paraId="1AD68678">
      <w:pPr>
        <w:ind w:firstLine="560"/>
        <w:rPr>
          <w:color w:val="auto"/>
        </w:rPr>
      </w:pPr>
      <w:r>
        <w:rPr>
          <w:rFonts w:hint="eastAsia"/>
          <w:color w:val="auto"/>
        </w:rPr>
        <w:t>该矿山在开采过程中可能</w:t>
      </w:r>
      <w:r>
        <w:rPr>
          <w:color w:val="auto"/>
        </w:rPr>
        <w:t>导致井下人员中毒的主要因素为炮烟</w:t>
      </w:r>
      <w:r>
        <w:rPr>
          <w:rFonts w:hint="eastAsia"/>
          <w:color w:val="auto"/>
        </w:rPr>
        <w:t>或</w:t>
      </w:r>
      <w:r>
        <w:rPr>
          <w:color w:val="auto"/>
        </w:rPr>
        <w:t>意外火灾产生的</w:t>
      </w:r>
      <w:r>
        <w:rPr>
          <w:rFonts w:hint="eastAsia"/>
          <w:color w:val="auto"/>
          <w:lang w:val="en-US" w:eastAsia="zh-CN"/>
        </w:rPr>
        <w:t>一氧化碳等气体</w:t>
      </w:r>
      <w:r>
        <w:rPr>
          <w:rFonts w:hint="eastAsia"/>
          <w:color w:val="auto"/>
        </w:rPr>
        <w:t>，可能</w:t>
      </w:r>
      <w:r>
        <w:rPr>
          <w:color w:val="auto"/>
        </w:rPr>
        <w:t>造成井下人员窒息的主要原因</w:t>
      </w:r>
      <w:r>
        <w:rPr>
          <w:rFonts w:hint="eastAsia"/>
          <w:color w:val="auto"/>
        </w:rPr>
        <w:t>为</w:t>
      </w:r>
      <w:r>
        <w:rPr>
          <w:color w:val="auto"/>
        </w:rPr>
        <w:t>进入无风或风量不足地点，因缺氧窒息</w:t>
      </w:r>
      <w:r>
        <w:rPr>
          <w:rFonts w:hint="eastAsia"/>
          <w:color w:val="auto"/>
        </w:rPr>
        <w:t>或</w:t>
      </w:r>
      <w:r>
        <w:rPr>
          <w:color w:val="auto"/>
        </w:rPr>
        <w:t>二氧化碳窒息等</w:t>
      </w:r>
      <w:r>
        <w:rPr>
          <w:rFonts w:hint="eastAsia"/>
          <w:color w:val="auto"/>
        </w:rPr>
        <w:t>。</w:t>
      </w:r>
    </w:p>
    <w:p w14:paraId="444BC68D">
      <w:pPr>
        <w:ind w:firstLine="0" w:firstLineChars="0"/>
        <w:jc w:val="center"/>
        <w:rPr>
          <w:rFonts w:hAnsi="宋体"/>
          <w:b/>
          <w:color w:val="auto"/>
          <w:kern w:val="0"/>
          <w:szCs w:val="28"/>
        </w:rPr>
      </w:pPr>
      <w:r>
        <w:rPr>
          <w:rFonts w:hint="eastAsia" w:hAnsi="宋体"/>
          <w:b/>
          <w:color w:val="auto"/>
          <w:kern w:val="0"/>
          <w:szCs w:val="28"/>
        </w:rPr>
        <w:t>表3.</w:t>
      </w:r>
      <w:r>
        <w:rPr>
          <w:rFonts w:hint="eastAsia"/>
          <w:b/>
          <w:color w:val="auto"/>
          <w:kern w:val="0"/>
          <w:szCs w:val="28"/>
          <w:lang w:val="en-US" w:eastAsia="zh-CN"/>
        </w:rPr>
        <w:t>5</w:t>
      </w:r>
      <w:r>
        <w:rPr>
          <w:rFonts w:hint="eastAsia" w:hAnsi="宋体"/>
          <w:b/>
          <w:color w:val="auto"/>
          <w:kern w:val="0"/>
          <w:szCs w:val="28"/>
        </w:rPr>
        <w:t>-1 通风系统预先危险性分析表</w:t>
      </w:r>
    </w:p>
    <w:tbl>
      <w:tblPr>
        <w:tblStyle w:val="25"/>
        <w:tblW w:w="4998" w:type="pct"/>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601"/>
        <w:gridCol w:w="5342"/>
        <w:gridCol w:w="725"/>
        <w:gridCol w:w="1290"/>
        <w:gridCol w:w="810"/>
        <w:gridCol w:w="742"/>
      </w:tblGrid>
      <w:tr w14:paraId="358A946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blHeader/>
        </w:trPr>
        <w:tc>
          <w:tcPr>
            <w:tcW w:w="317" w:type="pct"/>
            <w:tcBorders>
              <w:tl2br w:val="nil"/>
              <w:tr2bl w:val="nil"/>
            </w:tcBorders>
            <w:vAlign w:val="center"/>
          </w:tcPr>
          <w:p w14:paraId="3654A03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default" w:hAnsi="宋体" w:cs="宋体"/>
                <w:b/>
                <w:color w:val="auto"/>
                <w:kern w:val="0"/>
                <w:sz w:val="21"/>
                <w:szCs w:val="21"/>
              </w:rPr>
            </w:pPr>
            <w:r>
              <w:rPr>
                <w:rFonts w:hint="eastAsia" w:hAnsi="宋体" w:cs="宋体"/>
                <w:b/>
                <w:color w:val="auto"/>
                <w:kern w:val="0"/>
                <w:sz w:val="21"/>
                <w:szCs w:val="21"/>
              </w:rPr>
              <w:t>危险因素</w:t>
            </w:r>
          </w:p>
        </w:tc>
        <w:tc>
          <w:tcPr>
            <w:tcW w:w="2808" w:type="pct"/>
            <w:tcBorders>
              <w:tl2br w:val="nil"/>
              <w:tr2bl w:val="nil"/>
            </w:tcBorders>
            <w:vAlign w:val="center"/>
          </w:tcPr>
          <w:p w14:paraId="7E41748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default" w:hAnsi="宋体" w:cs="宋体"/>
                <w:b/>
                <w:color w:val="auto"/>
                <w:kern w:val="0"/>
                <w:sz w:val="21"/>
                <w:szCs w:val="21"/>
              </w:rPr>
            </w:pPr>
            <w:r>
              <w:rPr>
                <w:rFonts w:hint="eastAsia" w:hAnsi="宋体" w:cs="宋体"/>
                <w:b/>
                <w:color w:val="auto"/>
                <w:kern w:val="0"/>
                <w:sz w:val="21"/>
                <w:szCs w:val="21"/>
              </w:rPr>
              <w:t>触发事件及原因分析</w:t>
            </w:r>
          </w:p>
        </w:tc>
        <w:tc>
          <w:tcPr>
            <w:tcW w:w="382" w:type="pct"/>
            <w:tcBorders>
              <w:tl2br w:val="nil"/>
              <w:tr2bl w:val="nil"/>
            </w:tcBorders>
            <w:vAlign w:val="center"/>
          </w:tcPr>
          <w:p w14:paraId="5C1B9D2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default" w:hAnsi="宋体" w:cs="宋体"/>
                <w:b/>
                <w:color w:val="auto"/>
                <w:kern w:val="0"/>
                <w:sz w:val="21"/>
                <w:szCs w:val="21"/>
              </w:rPr>
            </w:pPr>
            <w:r>
              <w:rPr>
                <w:rFonts w:hint="eastAsia" w:hAnsi="宋体" w:cs="宋体"/>
                <w:b/>
                <w:color w:val="auto"/>
                <w:kern w:val="0"/>
                <w:sz w:val="21"/>
                <w:szCs w:val="21"/>
              </w:rPr>
              <w:t>表现方式</w:t>
            </w:r>
          </w:p>
        </w:tc>
        <w:tc>
          <w:tcPr>
            <w:tcW w:w="679" w:type="pct"/>
            <w:tcBorders>
              <w:tl2br w:val="nil"/>
              <w:tr2bl w:val="nil"/>
            </w:tcBorders>
            <w:vAlign w:val="center"/>
          </w:tcPr>
          <w:p w14:paraId="44AE93A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rPr>
                <w:rFonts w:hint="eastAsia" w:ascii="宋体" w:hAnsi="宋体" w:eastAsia="宋体" w:cs="宋体"/>
                <w:b/>
                <w:color w:val="auto"/>
                <w:kern w:val="0"/>
                <w:sz w:val="21"/>
                <w:szCs w:val="21"/>
                <w:lang w:val="en-US" w:eastAsia="zh-CN" w:bidi="ar-SA"/>
              </w:rPr>
            </w:pPr>
            <w:r>
              <w:rPr>
                <w:rFonts w:hint="eastAsia" w:hAnsi="宋体" w:cs="宋体"/>
                <w:b/>
                <w:color w:val="auto"/>
                <w:kern w:val="0"/>
                <w:sz w:val="21"/>
                <w:szCs w:val="21"/>
              </w:rPr>
              <w:t>事故后果</w:t>
            </w:r>
            <w:r>
              <w:rPr>
                <w:rFonts w:hint="eastAsia" w:hAnsi="宋体" w:cs="宋体"/>
                <w:b/>
                <w:color w:val="auto"/>
                <w:kern w:val="0"/>
                <w:sz w:val="21"/>
                <w:szCs w:val="21"/>
                <w:lang w:eastAsia="zh-CN"/>
              </w:rPr>
              <w:t>及危害程度</w:t>
            </w:r>
          </w:p>
        </w:tc>
        <w:tc>
          <w:tcPr>
            <w:tcW w:w="426" w:type="pct"/>
            <w:tcBorders>
              <w:tl2br w:val="nil"/>
              <w:tr2bl w:val="nil"/>
            </w:tcBorders>
            <w:vAlign w:val="center"/>
          </w:tcPr>
          <w:p w14:paraId="4407C14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default" w:hAnsi="宋体" w:cs="宋体"/>
                <w:b/>
                <w:color w:val="auto"/>
                <w:kern w:val="0"/>
                <w:sz w:val="21"/>
                <w:szCs w:val="21"/>
              </w:rPr>
            </w:pPr>
            <w:r>
              <w:rPr>
                <w:rFonts w:hint="eastAsia" w:hAnsi="宋体" w:cs="宋体"/>
                <w:b/>
                <w:color w:val="auto"/>
                <w:kern w:val="0"/>
                <w:sz w:val="21"/>
                <w:szCs w:val="21"/>
              </w:rPr>
              <w:t>危险等级</w:t>
            </w:r>
          </w:p>
        </w:tc>
        <w:tc>
          <w:tcPr>
            <w:tcW w:w="385" w:type="pct"/>
            <w:tcBorders>
              <w:tl2br w:val="nil"/>
              <w:tr2bl w:val="nil"/>
            </w:tcBorders>
            <w:vAlign w:val="center"/>
          </w:tcPr>
          <w:p w14:paraId="197286A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eastAsia" w:hAnsi="宋体" w:eastAsia="宋体" w:cs="宋体"/>
                <w:b/>
                <w:color w:val="auto"/>
                <w:kern w:val="0"/>
                <w:sz w:val="21"/>
                <w:szCs w:val="21"/>
                <w:lang w:eastAsia="zh-CN"/>
              </w:rPr>
            </w:pPr>
            <w:r>
              <w:rPr>
                <w:rFonts w:hint="eastAsia" w:cs="宋体"/>
                <w:b/>
                <w:color w:val="auto"/>
                <w:kern w:val="0"/>
                <w:sz w:val="21"/>
                <w:szCs w:val="21"/>
                <w:lang w:eastAsia="zh-CN"/>
              </w:rPr>
              <w:t>预防措施</w:t>
            </w:r>
          </w:p>
        </w:tc>
      </w:tr>
      <w:tr w14:paraId="3D7F9FA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c>
          <w:tcPr>
            <w:tcW w:w="317" w:type="pct"/>
            <w:tcBorders>
              <w:tl2br w:val="nil"/>
              <w:tr2bl w:val="nil"/>
            </w:tcBorders>
            <w:vAlign w:val="center"/>
          </w:tcPr>
          <w:p w14:paraId="371E38A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eastAsia" w:hAnsi="宋体" w:eastAsia="宋体" w:cs="宋体"/>
                <w:bCs/>
                <w:color w:val="auto"/>
                <w:kern w:val="0"/>
                <w:sz w:val="21"/>
                <w:szCs w:val="21"/>
                <w:lang w:eastAsia="zh-CN"/>
              </w:rPr>
            </w:pPr>
            <w:r>
              <w:rPr>
                <w:rFonts w:hint="eastAsia" w:hAnsi="宋体" w:cs="宋体"/>
                <w:bCs/>
                <w:color w:val="auto"/>
                <w:kern w:val="0"/>
                <w:sz w:val="21"/>
                <w:szCs w:val="21"/>
              </w:rPr>
              <w:t>中毒</w:t>
            </w:r>
            <w:r>
              <w:rPr>
                <w:rFonts w:hint="eastAsia" w:cs="宋体"/>
                <w:bCs/>
                <w:color w:val="auto"/>
                <w:kern w:val="0"/>
                <w:sz w:val="21"/>
                <w:szCs w:val="21"/>
                <w:lang w:eastAsia="zh-CN"/>
              </w:rPr>
              <w:t>和窒息</w:t>
            </w:r>
          </w:p>
        </w:tc>
        <w:tc>
          <w:tcPr>
            <w:tcW w:w="2808" w:type="pct"/>
            <w:tcBorders>
              <w:tl2br w:val="nil"/>
              <w:tr2bl w:val="nil"/>
            </w:tcBorders>
          </w:tcPr>
          <w:p w14:paraId="04CDB6E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textAlignment w:val="auto"/>
              <w:rPr>
                <w:rFonts w:hint="default" w:hAnsi="宋体" w:cs="宋体"/>
                <w:bCs/>
                <w:color w:val="auto"/>
                <w:kern w:val="0"/>
                <w:sz w:val="21"/>
                <w:szCs w:val="21"/>
              </w:rPr>
            </w:pPr>
            <w:r>
              <w:rPr>
                <w:rFonts w:hint="eastAsia" w:hAnsi="宋体" w:cs="宋体"/>
                <w:color w:val="auto"/>
                <w:sz w:val="21"/>
                <w:szCs w:val="21"/>
              </w:rPr>
              <w:t>①未制定预防炮烟中毒的安全技术措施；②采场未采用贯穿风流通风，掘进工作面未采用局扇通风，造成采掘工作面通风不良；③采掘工作面放完炮，未待炮烟吹散人员提前进入工作面；④矿井火灾产生的烟气。</w:t>
            </w:r>
            <w:r>
              <w:rPr>
                <w:rFonts w:hint="eastAsia" w:cs="宋体"/>
                <w:color w:val="auto"/>
                <w:sz w:val="21"/>
                <w:szCs w:val="21"/>
                <w:lang w:eastAsia="zh-CN"/>
              </w:rPr>
              <w:t>⑤</w:t>
            </w:r>
            <w:r>
              <w:rPr>
                <w:rFonts w:hint="eastAsia" w:hAnsi="宋体" w:cs="宋体"/>
                <w:color w:val="auto"/>
                <w:sz w:val="21"/>
                <w:szCs w:val="21"/>
              </w:rPr>
              <w:t>停止供风的独头巷道、通往采空区的通道和其它无风地点未进行密闭；</w:t>
            </w:r>
            <w:r>
              <w:rPr>
                <w:rFonts w:hint="eastAsia" w:cs="宋体"/>
                <w:color w:val="auto"/>
                <w:sz w:val="21"/>
                <w:szCs w:val="21"/>
                <w:lang w:eastAsia="zh-CN"/>
              </w:rPr>
              <w:t>⑥</w:t>
            </w:r>
            <w:r>
              <w:rPr>
                <w:rFonts w:hint="eastAsia" w:hAnsi="宋体" w:cs="宋体"/>
                <w:color w:val="auto"/>
                <w:sz w:val="21"/>
                <w:szCs w:val="21"/>
              </w:rPr>
              <w:t>未设置警示标志，人员误入。</w:t>
            </w:r>
          </w:p>
        </w:tc>
        <w:tc>
          <w:tcPr>
            <w:tcW w:w="382" w:type="pct"/>
            <w:tcBorders>
              <w:tl2br w:val="nil"/>
              <w:tr2bl w:val="nil"/>
            </w:tcBorders>
            <w:vAlign w:val="center"/>
          </w:tcPr>
          <w:p w14:paraId="3BCEC829">
            <w:pPr>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eastAsia" w:hAnsi="宋体" w:eastAsia="宋体" w:cs="宋体"/>
                <w:color w:val="auto"/>
                <w:sz w:val="21"/>
                <w:szCs w:val="21"/>
                <w:lang w:eastAsia="zh-CN"/>
              </w:rPr>
            </w:pPr>
            <w:r>
              <w:rPr>
                <w:rFonts w:hint="eastAsia" w:hAnsi="宋体" w:cs="宋体"/>
                <w:color w:val="auto"/>
                <w:sz w:val="21"/>
                <w:szCs w:val="21"/>
              </w:rPr>
              <w:t>中毒</w:t>
            </w:r>
            <w:r>
              <w:rPr>
                <w:rFonts w:hint="eastAsia" w:cs="宋体"/>
                <w:color w:val="auto"/>
                <w:sz w:val="21"/>
                <w:szCs w:val="21"/>
                <w:lang w:eastAsia="zh-CN"/>
              </w:rPr>
              <w:t>和窒息</w:t>
            </w:r>
          </w:p>
        </w:tc>
        <w:tc>
          <w:tcPr>
            <w:tcW w:w="679" w:type="pct"/>
            <w:tcBorders>
              <w:tl2br w:val="nil"/>
              <w:tr2bl w:val="nil"/>
            </w:tcBorders>
            <w:vAlign w:val="center"/>
          </w:tcPr>
          <w:p w14:paraId="4D5EF09A">
            <w:pPr>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rPr>
                <w:rFonts w:hint="eastAsia" w:ascii="宋体" w:hAnsi="宋体" w:eastAsia="宋体" w:cs="宋体"/>
                <w:color w:val="auto"/>
                <w:kern w:val="2"/>
                <w:sz w:val="21"/>
                <w:szCs w:val="21"/>
                <w:lang w:val="en-US" w:eastAsia="zh-CN" w:bidi="ar-SA"/>
              </w:rPr>
            </w:pPr>
            <w:r>
              <w:rPr>
                <w:rFonts w:hint="eastAsia" w:hAnsi="宋体" w:cs="宋体"/>
                <w:color w:val="auto"/>
                <w:sz w:val="21"/>
                <w:szCs w:val="21"/>
              </w:rPr>
              <w:t>死亡致残</w:t>
            </w:r>
          </w:p>
        </w:tc>
        <w:tc>
          <w:tcPr>
            <w:tcW w:w="426" w:type="pct"/>
            <w:tcBorders>
              <w:tl2br w:val="nil"/>
              <w:tr2bl w:val="nil"/>
            </w:tcBorders>
            <w:vAlign w:val="center"/>
          </w:tcPr>
          <w:p w14:paraId="4B881FFD">
            <w:pPr>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default" w:hAnsi="宋体" w:cs="宋体"/>
                <w:color w:val="auto"/>
                <w:sz w:val="21"/>
                <w:szCs w:val="21"/>
              </w:rPr>
            </w:pPr>
            <w:r>
              <w:rPr>
                <w:rFonts w:hint="eastAsia" w:hAnsi="宋体" w:cs="宋体"/>
                <w:color w:val="auto"/>
                <w:sz w:val="21"/>
                <w:szCs w:val="21"/>
              </w:rPr>
              <w:t>Ⅲ级</w:t>
            </w:r>
          </w:p>
        </w:tc>
        <w:tc>
          <w:tcPr>
            <w:tcW w:w="385" w:type="pct"/>
            <w:vMerge w:val="restart"/>
            <w:tcBorders>
              <w:tl2br w:val="nil"/>
              <w:tr2bl w:val="nil"/>
            </w:tcBorders>
            <w:vAlign w:val="center"/>
          </w:tcPr>
          <w:p w14:paraId="03C3C779">
            <w:pPr>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default" w:hAnsi="宋体" w:cs="宋体"/>
                <w:color w:val="auto"/>
                <w:sz w:val="21"/>
                <w:szCs w:val="21"/>
              </w:rPr>
            </w:pPr>
            <w:r>
              <w:rPr>
                <w:rFonts w:hint="eastAsia" w:ascii="宋体" w:hAnsi="宋体" w:eastAsia="宋体" w:cs="宋体"/>
                <w:color w:val="auto"/>
                <w:sz w:val="21"/>
                <w:szCs w:val="21"/>
              </w:rPr>
              <w:t>见本报告4.2.</w:t>
            </w: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lang w:eastAsia="zh-CN"/>
              </w:rPr>
              <w:t>通风</w:t>
            </w:r>
            <w:r>
              <w:rPr>
                <w:rFonts w:hint="eastAsia" w:ascii="宋体" w:hAnsi="宋体" w:eastAsia="宋体" w:cs="宋体"/>
                <w:color w:val="auto"/>
                <w:sz w:val="21"/>
                <w:szCs w:val="21"/>
              </w:rPr>
              <w:t>单元安全对策措施</w:t>
            </w:r>
          </w:p>
        </w:tc>
      </w:tr>
      <w:tr w14:paraId="0A172CC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c>
          <w:tcPr>
            <w:tcW w:w="317" w:type="pct"/>
            <w:tcBorders>
              <w:tl2br w:val="nil"/>
              <w:tr2bl w:val="nil"/>
            </w:tcBorders>
            <w:vAlign w:val="center"/>
          </w:tcPr>
          <w:p w14:paraId="0283613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default" w:hAnsi="宋体" w:cs="宋体"/>
                <w:bCs/>
                <w:color w:val="auto"/>
                <w:kern w:val="0"/>
                <w:sz w:val="21"/>
                <w:szCs w:val="21"/>
              </w:rPr>
            </w:pPr>
            <w:r>
              <w:rPr>
                <w:rFonts w:hint="eastAsia" w:hAnsi="宋体" w:cs="宋体"/>
                <w:bCs/>
                <w:color w:val="auto"/>
                <w:kern w:val="0"/>
                <w:sz w:val="21"/>
                <w:szCs w:val="21"/>
              </w:rPr>
              <w:t>粉尘</w:t>
            </w:r>
          </w:p>
        </w:tc>
        <w:tc>
          <w:tcPr>
            <w:tcW w:w="2808" w:type="pct"/>
            <w:tcBorders>
              <w:tl2br w:val="nil"/>
              <w:tr2bl w:val="nil"/>
            </w:tcBorders>
          </w:tcPr>
          <w:p w14:paraId="1B800AE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textAlignment w:val="auto"/>
              <w:rPr>
                <w:rFonts w:hint="default" w:hAnsi="宋体" w:cs="宋体"/>
                <w:bCs/>
                <w:color w:val="auto"/>
                <w:kern w:val="0"/>
                <w:sz w:val="21"/>
                <w:szCs w:val="21"/>
              </w:rPr>
            </w:pPr>
            <w:r>
              <w:rPr>
                <w:rFonts w:hint="eastAsia" w:hAnsi="宋体" w:cs="宋体"/>
                <w:color w:val="auto"/>
                <w:sz w:val="21"/>
                <w:szCs w:val="21"/>
              </w:rPr>
              <w:t>①未采用湿式凿岩；②装卸矿过程中未采取洒水除尘的措施；③通风不良；④不按规定佩戴个人防护用品；⑤通风、除尘等安全设施未按照规范要求设置。</w:t>
            </w:r>
          </w:p>
        </w:tc>
        <w:tc>
          <w:tcPr>
            <w:tcW w:w="382" w:type="pct"/>
            <w:tcBorders>
              <w:tl2br w:val="nil"/>
              <w:tr2bl w:val="nil"/>
            </w:tcBorders>
            <w:vAlign w:val="center"/>
          </w:tcPr>
          <w:p w14:paraId="6E91936C">
            <w:pPr>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default" w:hAnsi="宋体" w:cs="宋体"/>
                <w:color w:val="auto"/>
                <w:sz w:val="21"/>
                <w:szCs w:val="21"/>
              </w:rPr>
            </w:pPr>
            <w:r>
              <w:rPr>
                <w:rFonts w:hint="eastAsia" w:hAnsi="宋体" w:cs="宋体"/>
                <w:color w:val="auto"/>
                <w:sz w:val="21"/>
                <w:szCs w:val="21"/>
              </w:rPr>
              <w:t>尘肺</w:t>
            </w:r>
          </w:p>
          <w:p w14:paraId="03F4B5A2">
            <w:pPr>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default" w:hAnsi="宋体" w:cs="宋体"/>
                <w:color w:val="auto"/>
                <w:sz w:val="21"/>
                <w:szCs w:val="21"/>
              </w:rPr>
            </w:pPr>
            <w:r>
              <w:rPr>
                <w:rFonts w:hint="eastAsia" w:hAnsi="宋体" w:cs="宋体"/>
                <w:color w:val="auto"/>
                <w:sz w:val="21"/>
                <w:szCs w:val="21"/>
              </w:rPr>
              <w:t>矽肺</w:t>
            </w:r>
          </w:p>
        </w:tc>
        <w:tc>
          <w:tcPr>
            <w:tcW w:w="679" w:type="pct"/>
            <w:tcBorders>
              <w:tl2br w:val="nil"/>
              <w:tr2bl w:val="nil"/>
            </w:tcBorders>
            <w:vAlign w:val="center"/>
          </w:tcPr>
          <w:p w14:paraId="3682B19C">
            <w:pPr>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rPr>
                <w:rFonts w:hint="eastAsia" w:ascii="宋体" w:hAnsi="宋体" w:eastAsia="宋体" w:cs="宋体"/>
                <w:color w:val="auto"/>
                <w:kern w:val="2"/>
                <w:sz w:val="21"/>
                <w:szCs w:val="21"/>
                <w:lang w:val="en-US" w:eastAsia="zh-CN" w:bidi="ar-SA"/>
              </w:rPr>
            </w:pPr>
            <w:r>
              <w:rPr>
                <w:rFonts w:hint="eastAsia" w:hAnsi="宋体" w:cs="宋体"/>
                <w:color w:val="auto"/>
                <w:sz w:val="21"/>
                <w:szCs w:val="21"/>
              </w:rPr>
              <w:t>职业病</w:t>
            </w:r>
          </w:p>
        </w:tc>
        <w:tc>
          <w:tcPr>
            <w:tcW w:w="426" w:type="pct"/>
            <w:tcBorders>
              <w:tl2br w:val="nil"/>
              <w:tr2bl w:val="nil"/>
            </w:tcBorders>
            <w:vAlign w:val="center"/>
          </w:tcPr>
          <w:p w14:paraId="1D592F94">
            <w:pPr>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default" w:hAnsi="宋体" w:cs="宋体"/>
                <w:color w:val="auto"/>
                <w:sz w:val="21"/>
                <w:szCs w:val="21"/>
              </w:rPr>
            </w:pPr>
            <w:r>
              <w:rPr>
                <w:rFonts w:hint="eastAsia" w:hAnsi="宋体" w:cs="宋体"/>
                <w:color w:val="auto"/>
                <w:sz w:val="21"/>
                <w:szCs w:val="21"/>
              </w:rPr>
              <w:t>Ⅱ级</w:t>
            </w:r>
          </w:p>
        </w:tc>
        <w:tc>
          <w:tcPr>
            <w:tcW w:w="385" w:type="pct"/>
            <w:vMerge w:val="continue"/>
            <w:tcBorders>
              <w:tl2br w:val="nil"/>
              <w:tr2bl w:val="nil"/>
            </w:tcBorders>
            <w:vAlign w:val="center"/>
          </w:tcPr>
          <w:p w14:paraId="1D749D9D">
            <w:pPr>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default" w:hAnsi="宋体" w:cs="宋体"/>
                <w:color w:val="auto"/>
                <w:sz w:val="21"/>
                <w:szCs w:val="21"/>
              </w:rPr>
            </w:pPr>
          </w:p>
        </w:tc>
      </w:tr>
    </w:tbl>
    <w:p w14:paraId="425B0445">
      <w:pPr>
        <w:ind w:firstLine="560"/>
        <w:rPr>
          <w:rFonts w:hAnsi="宋体" w:cs="宋体"/>
          <w:color w:val="auto"/>
          <w:szCs w:val="28"/>
        </w:rPr>
      </w:pPr>
      <w:r>
        <w:rPr>
          <w:rFonts w:hint="eastAsia" w:hAnsi="宋体" w:cs="宋体"/>
          <w:color w:val="auto"/>
          <w:szCs w:val="28"/>
        </w:rPr>
        <w:t>通过预先危险性分析得知通风单元发生中毒</w:t>
      </w:r>
      <w:r>
        <w:rPr>
          <w:rFonts w:hint="eastAsia" w:cs="宋体"/>
          <w:color w:val="auto"/>
          <w:szCs w:val="28"/>
          <w:lang w:eastAsia="zh-CN"/>
        </w:rPr>
        <w:t>和</w:t>
      </w:r>
      <w:r>
        <w:rPr>
          <w:rFonts w:hint="eastAsia" w:hAnsi="宋体" w:cs="宋体"/>
          <w:color w:val="auto"/>
          <w:szCs w:val="28"/>
        </w:rPr>
        <w:t>窒息危险等级为</w:t>
      </w:r>
      <w:r>
        <w:rPr>
          <w:rFonts w:hAnsi="宋体" w:cs="宋体"/>
          <w:color w:val="auto"/>
          <w:szCs w:val="28"/>
        </w:rPr>
        <w:t>Ⅲ</w:t>
      </w:r>
      <w:r>
        <w:rPr>
          <w:rFonts w:hint="eastAsia" w:hAnsi="宋体" w:cs="宋体"/>
          <w:color w:val="auto"/>
          <w:szCs w:val="28"/>
        </w:rPr>
        <w:t>级，可造成人员伤亡，应引起高度重视，加以防范；粉尘危害等级为</w:t>
      </w:r>
      <w:r>
        <w:rPr>
          <w:rFonts w:hAnsi="宋体" w:cs="宋体"/>
          <w:color w:val="auto"/>
          <w:szCs w:val="28"/>
        </w:rPr>
        <w:t>Ⅱ</w:t>
      </w:r>
      <w:r>
        <w:rPr>
          <w:rFonts w:hint="eastAsia" w:hAnsi="宋体" w:cs="宋体"/>
          <w:color w:val="auto"/>
          <w:szCs w:val="28"/>
        </w:rPr>
        <w:t>级，可导致</w:t>
      </w:r>
      <w:r>
        <w:rPr>
          <w:rFonts w:hAnsi="宋体" w:cs="宋体"/>
          <w:color w:val="auto"/>
          <w:szCs w:val="28"/>
        </w:rPr>
        <w:t>尘肺</w:t>
      </w:r>
      <w:r>
        <w:rPr>
          <w:rFonts w:hint="eastAsia" w:hAnsi="宋体" w:cs="宋体"/>
          <w:color w:val="auto"/>
          <w:szCs w:val="28"/>
        </w:rPr>
        <w:t>、</w:t>
      </w:r>
      <w:r>
        <w:rPr>
          <w:rFonts w:hAnsi="宋体" w:cs="宋体"/>
          <w:color w:val="auto"/>
          <w:szCs w:val="28"/>
        </w:rPr>
        <w:t>矽肺等职业病</w:t>
      </w:r>
      <w:r>
        <w:rPr>
          <w:rFonts w:hint="eastAsia" w:hAnsi="宋体" w:cs="宋体"/>
          <w:color w:val="auto"/>
          <w:szCs w:val="28"/>
        </w:rPr>
        <w:t>，亦应采取有效防治措施予以控制。</w:t>
      </w:r>
    </w:p>
    <w:p w14:paraId="564808FE">
      <w:pPr>
        <w:keepLines/>
        <w:spacing w:before="120" w:after="120"/>
        <w:ind w:firstLine="0" w:firstLineChars="0"/>
        <w:outlineLvl w:val="2"/>
        <w:rPr>
          <w:rFonts w:ascii="黑体" w:hAnsi="黑体" w:eastAsia="黑体"/>
          <w:color w:val="auto"/>
          <w:szCs w:val="20"/>
        </w:rPr>
      </w:pPr>
      <w:r>
        <w:rPr>
          <w:rFonts w:hint="eastAsia" w:ascii="黑体" w:hAnsi="黑体" w:eastAsia="黑体"/>
          <w:color w:val="auto"/>
          <w:szCs w:val="20"/>
        </w:rPr>
        <w:t>3.</w:t>
      </w:r>
      <w:r>
        <w:rPr>
          <w:rFonts w:hint="eastAsia" w:ascii="黑体" w:hAnsi="黑体" w:eastAsia="黑体"/>
          <w:color w:val="auto"/>
          <w:szCs w:val="20"/>
          <w:lang w:val="en-US" w:eastAsia="zh-CN"/>
        </w:rPr>
        <w:t>5</w:t>
      </w:r>
      <w:r>
        <w:rPr>
          <w:rFonts w:hint="eastAsia" w:ascii="黑体" w:hAnsi="黑体" w:eastAsia="黑体"/>
          <w:color w:val="auto"/>
          <w:szCs w:val="20"/>
        </w:rPr>
        <w:t>.2 通风单元符合性评价</w:t>
      </w:r>
    </w:p>
    <w:p w14:paraId="708390EF">
      <w:pPr>
        <w:spacing w:line="600" w:lineRule="exact"/>
        <w:ind w:firstLine="0" w:firstLineChars="0"/>
        <w:jc w:val="center"/>
        <w:rPr>
          <w:rFonts w:hAnsi="宋体"/>
          <w:b/>
          <w:color w:val="auto"/>
          <w:kern w:val="0"/>
          <w:szCs w:val="28"/>
        </w:rPr>
      </w:pPr>
      <w:r>
        <w:rPr>
          <w:rFonts w:hint="eastAsia" w:hAnsi="宋体"/>
          <w:b/>
          <w:color w:val="auto"/>
          <w:kern w:val="0"/>
          <w:szCs w:val="28"/>
        </w:rPr>
        <w:t>表3.</w:t>
      </w:r>
      <w:r>
        <w:rPr>
          <w:rFonts w:hint="eastAsia"/>
          <w:b/>
          <w:color w:val="auto"/>
          <w:kern w:val="0"/>
          <w:szCs w:val="28"/>
          <w:lang w:val="en-US" w:eastAsia="zh-CN"/>
        </w:rPr>
        <w:t>5</w:t>
      </w:r>
      <w:r>
        <w:rPr>
          <w:rFonts w:hint="eastAsia" w:hAnsi="宋体"/>
          <w:b/>
          <w:color w:val="auto"/>
          <w:kern w:val="0"/>
          <w:szCs w:val="28"/>
        </w:rPr>
        <w:t>-2 通风系统安全检查表</w:t>
      </w:r>
    </w:p>
    <w:tbl>
      <w:tblPr>
        <w:tblStyle w:val="25"/>
        <w:tblW w:w="5000" w:type="pct"/>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658"/>
        <w:gridCol w:w="3717"/>
        <w:gridCol w:w="1792"/>
        <w:gridCol w:w="2692"/>
        <w:gridCol w:w="655"/>
      </w:tblGrid>
      <w:tr w14:paraId="0C2B9F0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blHeader/>
        </w:trPr>
        <w:tc>
          <w:tcPr>
            <w:tcW w:w="346" w:type="pct"/>
            <w:tcBorders>
              <w:tl2br w:val="nil"/>
              <w:tr2bl w:val="nil"/>
            </w:tcBorders>
            <w:vAlign w:val="center"/>
          </w:tcPr>
          <w:p w14:paraId="3360485C">
            <w:pPr>
              <w:keepNext w:val="0"/>
              <w:keepLines w:val="0"/>
              <w:pageBreakBefore w:val="0"/>
              <w:widowControl w:val="0"/>
              <w:suppressLineNumbers w:val="0"/>
              <w:kinsoku/>
              <w:wordWrap/>
              <w:overflowPunct/>
              <w:topLinePunct w:val="0"/>
              <w:autoSpaceDE/>
              <w:autoSpaceDN/>
              <w:bidi w:val="0"/>
              <w:spacing w:before="0" w:beforeAutospacing="0" w:after="0" w:afterAutospacing="0" w:line="300" w:lineRule="exact"/>
              <w:ind w:left="0" w:right="0" w:firstLine="0" w:firstLineChars="0"/>
              <w:jc w:val="center"/>
              <w:textAlignment w:val="auto"/>
              <w:rPr>
                <w:rFonts w:hint="default" w:hAnsi="宋体"/>
                <w:b/>
                <w:color w:val="auto"/>
                <w:kern w:val="0"/>
                <w:sz w:val="21"/>
                <w:szCs w:val="21"/>
              </w:rPr>
            </w:pPr>
            <w:r>
              <w:rPr>
                <w:rFonts w:hint="eastAsia" w:hAnsi="宋体"/>
                <w:b/>
                <w:color w:val="auto"/>
                <w:kern w:val="0"/>
                <w:sz w:val="21"/>
                <w:szCs w:val="21"/>
              </w:rPr>
              <w:t>序号</w:t>
            </w:r>
          </w:p>
        </w:tc>
        <w:tc>
          <w:tcPr>
            <w:tcW w:w="1952" w:type="pct"/>
            <w:tcBorders>
              <w:tl2br w:val="nil"/>
              <w:tr2bl w:val="nil"/>
            </w:tcBorders>
            <w:vAlign w:val="center"/>
          </w:tcPr>
          <w:p w14:paraId="0EAC1E57">
            <w:pPr>
              <w:keepNext w:val="0"/>
              <w:keepLines w:val="0"/>
              <w:pageBreakBefore w:val="0"/>
              <w:widowControl w:val="0"/>
              <w:suppressLineNumbers w:val="0"/>
              <w:kinsoku/>
              <w:wordWrap/>
              <w:overflowPunct/>
              <w:topLinePunct w:val="0"/>
              <w:autoSpaceDE/>
              <w:autoSpaceDN/>
              <w:bidi w:val="0"/>
              <w:spacing w:before="0" w:beforeAutospacing="0" w:after="0" w:afterAutospacing="0" w:line="300" w:lineRule="exact"/>
              <w:ind w:left="0" w:right="0" w:firstLine="0" w:firstLineChars="0"/>
              <w:jc w:val="center"/>
              <w:textAlignment w:val="auto"/>
              <w:rPr>
                <w:rFonts w:hint="default" w:hAnsi="宋体"/>
                <w:b/>
                <w:color w:val="auto"/>
                <w:kern w:val="0"/>
                <w:sz w:val="21"/>
                <w:szCs w:val="21"/>
              </w:rPr>
            </w:pPr>
            <w:r>
              <w:rPr>
                <w:rFonts w:hint="eastAsia" w:hAnsi="宋体"/>
                <w:b/>
                <w:color w:val="auto"/>
                <w:kern w:val="0"/>
                <w:sz w:val="21"/>
                <w:szCs w:val="21"/>
              </w:rPr>
              <w:t>检查内容</w:t>
            </w:r>
          </w:p>
        </w:tc>
        <w:tc>
          <w:tcPr>
            <w:tcW w:w="941" w:type="pct"/>
            <w:tcBorders>
              <w:tl2br w:val="nil"/>
              <w:tr2bl w:val="nil"/>
            </w:tcBorders>
            <w:vAlign w:val="center"/>
          </w:tcPr>
          <w:p w14:paraId="594D6136">
            <w:pPr>
              <w:keepNext w:val="0"/>
              <w:keepLines w:val="0"/>
              <w:pageBreakBefore w:val="0"/>
              <w:widowControl w:val="0"/>
              <w:suppressLineNumbers w:val="0"/>
              <w:kinsoku/>
              <w:wordWrap/>
              <w:overflowPunct/>
              <w:topLinePunct w:val="0"/>
              <w:autoSpaceDE/>
              <w:autoSpaceDN/>
              <w:bidi w:val="0"/>
              <w:spacing w:before="0" w:beforeAutospacing="0" w:after="0" w:afterAutospacing="0" w:line="300" w:lineRule="exact"/>
              <w:ind w:left="0" w:right="0" w:firstLine="0" w:firstLineChars="0"/>
              <w:jc w:val="center"/>
              <w:textAlignment w:val="auto"/>
              <w:rPr>
                <w:rFonts w:hint="default" w:hAnsi="宋体"/>
                <w:b/>
                <w:color w:val="auto"/>
                <w:kern w:val="0"/>
                <w:sz w:val="21"/>
                <w:szCs w:val="21"/>
              </w:rPr>
            </w:pPr>
            <w:r>
              <w:rPr>
                <w:rFonts w:hint="eastAsia" w:hAnsi="宋体"/>
                <w:b/>
                <w:color w:val="auto"/>
                <w:kern w:val="0"/>
                <w:sz w:val="21"/>
                <w:szCs w:val="21"/>
              </w:rPr>
              <w:t>标准依据</w:t>
            </w:r>
          </w:p>
        </w:tc>
        <w:tc>
          <w:tcPr>
            <w:tcW w:w="1414" w:type="pct"/>
            <w:tcBorders>
              <w:tl2br w:val="nil"/>
              <w:tr2bl w:val="nil"/>
            </w:tcBorders>
            <w:vAlign w:val="center"/>
          </w:tcPr>
          <w:p w14:paraId="7E5CF093">
            <w:pPr>
              <w:keepNext w:val="0"/>
              <w:keepLines w:val="0"/>
              <w:pageBreakBefore w:val="0"/>
              <w:widowControl w:val="0"/>
              <w:suppressLineNumbers w:val="0"/>
              <w:kinsoku/>
              <w:wordWrap/>
              <w:overflowPunct/>
              <w:topLinePunct w:val="0"/>
              <w:autoSpaceDE/>
              <w:autoSpaceDN/>
              <w:bidi w:val="0"/>
              <w:spacing w:before="0" w:beforeAutospacing="0" w:after="0" w:afterAutospacing="0" w:line="300" w:lineRule="exact"/>
              <w:ind w:left="0" w:right="0" w:firstLine="0" w:firstLineChars="0"/>
              <w:jc w:val="center"/>
              <w:textAlignment w:val="auto"/>
              <w:rPr>
                <w:rFonts w:hint="default" w:hAnsi="宋体"/>
                <w:b/>
                <w:color w:val="auto"/>
                <w:kern w:val="0"/>
                <w:sz w:val="21"/>
                <w:szCs w:val="21"/>
              </w:rPr>
            </w:pPr>
            <w:r>
              <w:rPr>
                <w:rFonts w:hint="eastAsia" w:hAnsi="宋体"/>
                <w:b/>
                <w:color w:val="auto"/>
                <w:kern w:val="0"/>
                <w:sz w:val="21"/>
                <w:szCs w:val="21"/>
              </w:rPr>
              <w:t>检查情况</w:t>
            </w:r>
          </w:p>
        </w:tc>
        <w:tc>
          <w:tcPr>
            <w:tcW w:w="344" w:type="pct"/>
            <w:tcBorders>
              <w:tl2br w:val="nil"/>
              <w:tr2bl w:val="nil"/>
            </w:tcBorders>
            <w:vAlign w:val="center"/>
          </w:tcPr>
          <w:p w14:paraId="4C6558B9">
            <w:pPr>
              <w:keepNext w:val="0"/>
              <w:keepLines w:val="0"/>
              <w:pageBreakBefore w:val="0"/>
              <w:widowControl w:val="0"/>
              <w:suppressLineNumbers w:val="0"/>
              <w:kinsoku/>
              <w:wordWrap/>
              <w:overflowPunct/>
              <w:topLinePunct w:val="0"/>
              <w:autoSpaceDE/>
              <w:autoSpaceDN/>
              <w:bidi w:val="0"/>
              <w:spacing w:before="0" w:beforeAutospacing="0" w:after="0" w:afterAutospacing="0" w:line="300" w:lineRule="exact"/>
              <w:ind w:left="0" w:right="0" w:firstLine="0" w:firstLineChars="0"/>
              <w:jc w:val="center"/>
              <w:textAlignment w:val="auto"/>
              <w:rPr>
                <w:rFonts w:hint="default" w:hAnsi="宋体"/>
                <w:b/>
                <w:color w:val="auto"/>
                <w:kern w:val="0"/>
                <w:sz w:val="21"/>
                <w:szCs w:val="21"/>
              </w:rPr>
            </w:pPr>
            <w:r>
              <w:rPr>
                <w:rFonts w:hint="eastAsia" w:hAnsi="宋体"/>
                <w:b/>
                <w:color w:val="auto"/>
                <w:kern w:val="0"/>
                <w:sz w:val="21"/>
                <w:szCs w:val="21"/>
              </w:rPr>
              <w:t>检查结果</w:t>
            </w:r>
          </w:p>
        </w:tc>
      </w:tr>
      <w:tr w14:paraId="00A7E40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c>
          <w:tcPr>
            <w:tcW w:w="346" w:type="pct"/>
            <w:tcBorders>
              <w:tl2br w:val="nil"/>
              <w:tr2bl w:val="nil"/>
            </w:tcBorders>
            <w:vAlign w:val="center"/>
          </w:tcPr>
          <w:p w14:paraId="07044271">
            <w:pPr>
              <w:keepNext w:val="0"/>
              <w:keepLines/>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firstLine="0" w:firstLineChars="0"/>
              <w:jc w:val="center"/>
              <w:textAlignment w:val="auto"/>
              <w:rPr>
                <w:rFonts w:hint="eastAsia" w:hAnsi="宋体" w:eastAsia="宋体"/>
                <w:snapToGrid w:val="0"/>
                <w:color w:val="auto"/>
                <w:kern w:val="0"/>
                <w:sz w:val="21"/>
                <w:szCs w:val="21"/>
                <w:lang w:val="en-US" w:eastAsia="zh-CN"/>
              </w:rPr>
            </w:pPr>
            <w:r>
              <w:rPr>
                <w:rFonts w:hint="eastAsia"/>
                <w:snapToGrid w:val="0"/>
                <w:color w:val="auto"/>
                <w:kern w:val="0"/>
                <w:sz w:val="21"/>
                <w:szCs w:val="21"/>
                <w:lang w:val="en-US" w:eastAsia="zh-CN"/>
              </w:rPr>
              <w:t>1</w:t>
            </w:r>
          </w:p>
        </w:tc>
        <w:tc>
          <w:tcPr>
            <w:tcW w:w="1952" w:type="pct"/>
            <w:tcBorders>
              <w:tl2br w:val="nil"/>
              <w:tr2bl w:val="nil"/>
            </w:tcBorders>
            <w:vAlign w:val="center"/>
          </w:tcPr>
          <w:p w14:paraId="325801DB">
            <w:pPr>
              <w:keepNext w:val="0"/>
              <w:keepLines/>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leftChars="0" w:right="0" w:rightChars="0" w:firstLine="0" w:firstLineChars="0"/>
              <w:textAlignment w:val="auto"/>
              <w:rPr>
                <w:rFonts w:hint="eastAsia" w:ascii="宋体" w:hAnsi="宋体" w:eastAsia="宋体" w:cstheme="minorBidi"/>
                <w:snapToGrid w:val="0"/>
                <w:color w:val="auto"/>
                <w:kern w:val="0"/>
                <w:sz w:val="21"/>
                <w:szCs w:val="21"/>
                <w:lang w:val="en-US" w:eastAsia="zh-CN" w:bidi="ar-SA"/>
              </w:rPr>
            </w:pPr>
            <w:r>
              <w:rPr>
                <w:rFonts w:hint="eastAsia" w:hAnsi="宋体"/>
                <w:snapToGrid w:val="0"/>
                <w:color w:val="auto"/>
                <w:kern w:val="0"/>
                <w:sz w:val="21"/>
                <w:szCs w:val="21"/>
              </w:rPr>
              <w:t>地下矿山应采用机械通风。</w:t>
            </w:r>
          </w:p>
        </w:tc>
        <w:tc>
          <w:tcPr>
            <w:tcW w:w="941" w:type="pct"/>
            <w:tcBorders>
              <w:tl2br w:val="nil"/>
              <w:tr2bl w:val="nil"/>
            </w:tcBorders>
            <w:vAlign w:val="center"/>
          </w:tcPr>
          <w:p w14:paraId="56F637FB">
            <w:pPr>
              <w:keepNext w:val="0"/>
              <w:keepLines/>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firstLine="0" w:firstLineChars="0"/>
              <w:jc w:val="center"/>
              <w:textAlignment w:val="auto"/>
              <w:rPr>
                <w:rFonts w:hint="default" w:hAnsi="宋体"/>
                <w:snapToGrid w:val="0"/>
                <w:color w:val="auto"/>
                <w:kern w:val="0"/>
                <w:sz w:val="21"/>
                <w:szCs w:val="21"/>
              </w:rPr>
            </w:pPr>
            <w:r>
              <w:rPr>
                <w:rFonts w:hint="eastAsia" w:hAnsi="宋体"/>
                <w:snapToGrid w:val="0"/>
                <w:color w:val="auto"/>
                <w:kern w:val="0"/>
                <w:sz w:val="21"/>
                <w:szCs w:val="21"/>
              </w:rPr>
              <w:t>《金属非金属矿山安全规程》(GB16423-2020)</w:t>
            </w:r>
          </w:p>
          <w:p w14:paraId="3E8E2AE5">
            <w:pPr>
              <w:keepNext w:val="0"/>
              <w:keepLines/>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leftChars="0" w:right="0" w:rightChars="0" w:firstLine="0" w:firstLineChars="0"/>
              <w:jc w:val="center"/>
              <w:textAlignment w:val="auto"/>
              <w:rPr>
                <w:rFonts w:hint="eastAsia" w:ascii="宋体" w:hAnsi="宋体" w:eastAsia="宋体" w:cstheme="minorBidi"/>
                <w:snapToGrid w:val="0"/>
                <w:color w:val="auto"/>
                <w:kern w:val="0"/>
                <w:sz w:val="21"/>
                <w:szCs w:val="21"/>
                <w:lang w:val="en-US" w:eastAsia="zh-CN" w:bidi="ar-SA"/>
              </w:rPr>
            </w:pPr>
            <w:r>
              <w:rPr>
                <w:rFonts w:hint="eastAsia" w:hAnsi="宋体"/>
                <w:snapToGrid w:val="0"/>
                <w:color w:val="auto"/>
                <w:kern w:val="0"/>
                <w:sz w:val="21"/>
                <w:szCs w:val="21"/>
              </w:rPr>
              <w:t>第6.6.2.1条</w:t>
            </w:r>
          </w:p>
        </w:tc>
        <w:tc>
          <w:tcPr>
            <w:tcW w:w="1414" w:type="pct"/>
            <w:tcBorders>
              <w:tl2br w:val="nil"/>
              <w:tr2bl w:val="nil"/>
            </w:tcBorders>
            <w:vAlign w:val="center"/>
          </w:tcPr>
          <w:p w14:paraId="25273B9A">
            <w:pPr>
              <w:keepNext w:val="0"/>
              <w:keepLines/>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leftChars="0" w:right="0" w:rightChars="0" w:firstLine="0" w:firstLineChars="0"/>
              <w:textAlignment w:val="auto"/>
              <w:rPr>
                <w:rFonts w:hint="eastAsia" w:ascii="宋体" w:hAnsi="宋体" w:eastAsia="宋体" w:cstheme="minorBidi"/>
                <w:snapToGrid w:val="0"/>
                <w:color w:val="auto"/>
                <w:kern w:val="0"/>
                <w:sz w:val="21"/>
                <w:szCs w:val="21"/>
                <w:lang w:val="en-US" w:eastAsia="zh-CN" w:bidi="ar-SA"/>
              </w:rPr>
            </w:pPr>
            <w:r>
              <w:rPr>
                <w:rFonts w:hint="eastAsia"/>
                <w:color w:val="auto"/>
                <w:sz w:val="21"/>
                <w:szCs w:val="21"/>
                <w:lang w:eastAsia="zh-CN"/>
              </w:rPr>
              <w:t>该矿山</w:t>
            </w:r>
            <w:r>
              <w:rPr>
                <w:rFonts w:hint="eastAsia"/>
                <w:color w:val="auto"/>
                <w:sz w:val="21"/>
                <w:szCs w:val="21"/>
                <w:lang w:val="en-US" w:eastAsia="zh-CN"/>
              </w:rPr>
              <w:t>拟</w:t>
            </w:r>
            <w:r>
              <w:rPr>
                <w:rFonts w:hint="eastAsia"/>
                <w:color w:val="auto"/>
                <w:sz w:val="21"/>
                <w:szCs w:val="21"/>
                <w:lang w:eastAsia="zh-CN"/>
              </w:rPr>
              <w:t>采用单翼对角抽出式通风方式，</w:t>
            </w:r>
            <w:r>
              <w:rPr>
                <w:rFonts w:hint="eastAsia"/>
                <w:color w:val="auto"/>
                <w:sz w:val="21"/>
                <w:szCs w:val="21"/>
                <w:lang w:val="en-US" w:eastAsia="zh-CN"/>
              </w:rPr>
              <w:t>1230m</w:t>
            </w:r>
            <w:r>
              <w:rPr>
                <w:rFonts w:hint="eastAsia"/>
                <w:color w:val="auto"/>
                <w:sz w:val="21"/>
                <w:szCs w:val="21"/>
                <w:lang w:eastAsia="zh-CN"/>
              </w:rPr>
              <w:t>硐</w:t>
            </w:r>
            <w:r>
              <w:rPr>
                <w:rFonts w:hint="eastAsia"/>
                <w:color w:val="auto"/>
                <w:sz w:val="21"/>
                <w:szCs w:val="21"/>
                <w:lang w:val="en-US" w:eastAsia="zh-CN"/>
              </w:rPr>
              <w:t>口</w:t>
            </w:r>
            <w:r>
              <w:rPr>
                <w:rFonts w:hint="eastAsia"/>
                <w:color w:val="auto"/>
                <w:sz w:val="21"/>
                <w:szCs w:val="21"/>
                <w:lang w:eastAsia="zh-CN"/>
              </w:rPr>
              <w:t>进风，</w:t>
            </w:r>
            <w:r>
              <w:rPr>
                <w:rFonts w:hint="eastAsia"/>
                <w:color w:val="auto"/>
                <w:sz w:val="21"/>
                <w:szCs w:val="21"/>
                <w:lang w:val="en-US" w:eastAsia="zh-CN"/>
              </w:rPr>
              <w:t>1305m</w:t>
            </w:r>
            <w:r>
              <w:rPr>
                <w:rFonts w:hint="eastAsia"/>
                <w:color w:val="auto"/>
                <w:sz w:val="21"/>
                <w:szCs w:val="21"/>
                <w:lang w:eastAsia="zh-CN"/>
              </w:rPr>
              <w:t>硐</w:t>
            </w:r>
            <w:r>
              <w:rPr>
                <w:rFonts w:hint="eastAsia"/>
                <w:color w:val="auto"/>
                <w:sz w:val="21"/>
                <w:szCs w:val="21"/>
                <w:lang w:val="en-US" w:eastAsia="zh-CN"/>
              </w:rPr>
              <w:t>口</w:t>
            </w:r>
            <w:r>
              <w:rPr>
                <w:rFonts w:hint="eastAsia"/>
                <w:color w:val="auto"/>
                <w:sz w:val="21"/>
                <w:szCs w:val="21"/>
                <w:lang w:eastAsia="zh-CN"/>
              </w:rPr>
              <w:t>回风。</w:t>
            </w:r>
          </w:p>
        </w:tc>
        <w:tc>
          <w:tcPr>
            <w:tcW w:w="344" w:type="pct"/>
            <w:tcBorders>
              <w:tl2br w:val="nil"/>
              <w:tr2bl w:val="nil"/>
            </w:tcBorders>
            <w:vAlign w:val="center"/>
          </w:tcPr>
          <w:p w14:paraId="68B3137A">
            <w:pPr>
              <w:keepNext w:val="0"/>
              <w:keepLines/>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leftChars="0" w:right="0" w:rightChars="0" w:firstLine="0" w:firstLineChars="0"/>
              <w:jc w:val="center"/>
              <w:textAlignment w:val="auto"/>
              <w:rPr>
                <w:rFonts w:hint="eastAsia" w:ascii="宋体" w:hAnsi="宋体" w:eastAsia="宋体" w:cstheme="minorBidi"/>
                <w:snapToGrid w:val="0"/>
                <w:color w:val="auto"/>
                <w:kern w:val="0"/>
                <w:sz w:val="21"/>
                <w:szCs w:val="21"/>
                <w:lang w:val="en-US" w:eastAsia="zh-CN" w:bidi="ar-SA"/>
              </w:rPr>
            </w:pPr>
            <w:r>
              <w:rPr>
                <w:rFonts w:hint="eastAsia" w:hAnsi="宋体"/>
                <w:snapToGrid w:val="0"/>
                <w:color w:val="auto"/>
                <w:kern w:val="0"/>
                <w:sz w:val="21"/>
                <w:szCs w:val="21"/>
              </w:rPr>
              <w:t>符合</w:t>
            </w:r>
          </w:p>
        </w:tc>
      </w:tr>
      <w:tr w14:paraId="5677371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c>
          <w:tcPr>
            <w:tcW w:w="346" w:type="pct"/>
            <w:tcBorders>
              <w:tl2br w:val="nil"/>
              <w:tr2bl w:val="nil"/>
            </w:tcBorders>
            <w:vAlign w:val="center"/>
          </w:tcPr>
          <w:p w14:paraId="242EF02A">
            <w:pPr>
              <w:keepNext w:val="0"/>
              <w:keepLines/>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firstLine="0" w:firstLineChars="0"/>
              <w:jc w:val="center"/>
              <w:textAlignment w:val="auto"/>
              <w:rPr>
                <w:rFonts w:hint="eastAsia" w:hAnsi="宋体" w:eastAsia="宋体"/>
                <w:snapToGrid w:val="0"/>
                <w:color w:val="auto"/>
                <w:kern w:val="0"/>
                <w:sz w:val="21"/>
                <w:szCs w:val="21"/>
                <w:lang w:val="en-US" w:eastAsia="zh-CN"/>
              </w:rPr>
            </w:pPr>
            <w:r>
              <w:rPr>
                <w:rFonts w:hint="eastAsia"/>
                <w:snapToGrid w:val="0"/>
                <w:color w:val="auto"/>
                <w:kern w:val="0"/>
                <w:sz w:val="21"/>
                <w:szCs w:val="21"/>
                <w:lang w:val="en-US" w:eastAsia="zh-CN"/>
              </w:rPr>
              <w:t>2</w:t>
            </w:r>
          </w:p>
        </w:tc>
        <w:tc>
          <w:tcPr>
            <w:tcW w:w="1952" w:type="pct"/>
            <w:tcBorders>
              <w:tl2br w:val="nil"/>
              <w:tr2bl w:val="nil"/>
            </w:tcBorders>
            <w:vAlign w:val="center"/>
          </w:tcPr>
          <w:p w14:paraId="2F70E4AC">
            <w:pPr>
              <w:keepNext w:val="0"/>
              <w:keepLines/>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leftChars="0" w:right="0" w:rightChars="0" w:firstLine="0" w:firstLineChars="0"/>
              <w:textAlignment w:val="auto"/>
              <w:rPr>
                <w:rFonts w:hint="eastAsia" w:ascii="宋体" w:hAnsi="宋体" w:eastAsia="宋体" w:cstheme="minorBidi"/>
                <w:snapToGrid w:val="0"/>
                <w:color w:val="auto"/>
                <w:kern w:val="0"/>
                <w:sz w:val="21"/>
                <w:szCs w:val="21"/>
                <w:lang w:val="en-US" w:eastAsia="zh-CN" w:bidi="ar-SA"/>
              </w:rPr>
            </w:pPr>
            <w:r>
              <w:rPr>
                <w:rFonts w:hint="eastAsia" w:hAnsi="宋体"/>
                <w:snapToGrid w:val="0"/>
                <w:color w:val="auto"/>
                <w:kern w:val="0"/>
                <w:sz w:val="21"/>
                <w:szCs w:val="21"/>
              </w:rPr>
              <w:t>矿井进风应满足下列要求：①井下工作人员供风量不少于4m</w:t>
            </w:r>
            <w:r>
              <w:rPr>
                <w:rFonts w:hint="eastAsia" w:hAnsi="宋体"/>
                <w:snapToGrid w:val="0"/>
                <w:color w:val="auto"/>
                <w:kern w:val="0"/>
                <w:sz w:val="21"/>
                <w:szCs w:val="21"/>
                <w:vertAlign w:val="superscript"/>
              </w:rPr>
              <w:t>３</w:t>
            </w:r>
            <w:r>
              <w:rPr>
                <w:rFonts w:hint="eastAsia" w:hAnsi="宋体"/>
                <w:snapToGrid w:val="0"/>
                <w:color w:val="auto"/>
                <w:kern w:val="0"/>
                <w:sz w:val="21"/>
                <w:szCs w:val="21"/>
              </w:rPr>
              <w:t>/(min·人)；②排尘风速：硐室型采场不小于0.15m/s，饰面石材开采时不小于0.06m/s；巷道型采场和掘进巷道不小于0.25m/s；电耙道和二次破碎巷道不小于0.5m/s；箕斗硐室、装矿皮带道等作业地点的风速不小于0.2m/s。</w:t>
            </w:r>
          </w:p>
        </w:tc>
        <w:tc>
          <w:tcPr>
            <w:tcW w:w="941" w:type="pct"/>
            <w:tcBorders>
              <w:tl2br w:val="nil"/>
              <w:tr2bl w:val="nil"/>
            </w:tcBorders>
            <w:vAlign w:val="center"/>
          </w:tcPr>
          <w:p w14:paraId="35483EB1">
            <w:pPr>
              <w:keepNext w:val="0"/>
              <w:keepLines/>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firstLine="0" w:firstLineChars="0"/>
              <w:jc w:val="center"/>
              <w:textAlignment w:val="auto"/>
              <w:rPr>
                <w:rFonts w:hint="default" w:hAnsi="宋体"/>
                <w:snapToGrid w:val="0"/>
                <w:color w:val="auto"/>
                <w:kern w:val="0"/>
                <w:sz w:val="21"/>
                <w:szCs w:val="21"/>
              </w:rPr>
            </w:pPr>
            <w:r>
              <w:rPr>
                <w:rFonts w:hint="eastAsia" w:hAnsi="宋体"/>
                <w:snapToGrid w:val="0"/>
                <w:color w:val="auto"/>
                <w:kern w:val="0"/>
                <w:sz w:val="21"/>
                <w:szCs w:val="21"/>
              </w:rPr>
              <w:t>《金属非金属矿山安全规程》(GB16423-2020)</w:t>
            </w:r>
          </w:p>
          <w:p w14:paraId="772514F0">
            <w:pPr>
              <w:keepNext w:val="0"/>
              <w:keepLines/>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leftChars="0" w:right="0" w:rightChars="0" w:firstLine="0" w:firstLineChars="0"/>
              <w:jc w:val="center"/>
              <w:textAlignment w:val="auto"/>
              <w:rPr>
                <w:rFonts w:hint="eastAsia" w:ascii="宋体" w:hAnsi="宋体" w:eastAsia="宋体" w:cstheme="minorBidi"/>
                <w:snapToGrid w:val="0"/>
                <w:color w:val="auto"/>
                <w:kern w:val="0"/>
                <w:sz w:val="21"/>
                <w:szCs w:val="21"/>
                <w:lang w:val="en-US" w:eastAsia="zh-CN" w:bidi="ar-SA"/>
              </w:rPr>
            </w:pPr>
            <w:r>
              <w:rPr>
                <w:rFonts w:hint="eastAsia" w:hAnsi="宋体"/>
                <w:snapToGrid w:val="0"/>
                <w:color w:val="auto"/>
                <w:kern w:val="0"/>
                <w:sz w:val="21"/>
                <w:szCs w:val="21"/>
              </w:rPr>
              <w:t>第6.6.1.3条</w:t>
            </w:r>
          </w:p>
        </w:tc>
        <w:tc>
          <w:tcPr>
            <w:tcW w:w="1414" w:type="pct"/>
            <w:tcBorders>
              <w:tl2br w:val="nil"/>
              <w:tr2bl w:val="nil"/>
            </w:tcBorders>
            <w:vAlign w:val="center"/>
          </w:tcPr>
          <w:p w14:paraId="53B7F4A1">
            <w:pPr>
              <w:keepNext w:val="0"/>
              <w:keepLines/>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leftChars="0" w:right="0" w:rightChars="0" w:firstLine="0" w:firstLineChars="0"/>
              <w:textAlignment w:val="auto"/>
              <w:rPr>
                <w:rFonts w:hint="eastAsia" w:ascii="宋体" w:hAnsi="宋体" w:eastAsia="宋体" w:cstheme="minorBidi"/>
                <w:snapToGrid w:val="0"/>
                <w:color w:val="auto"/>
                <w:kern w:val="0"/>
                <w:sz w:val="21"/>
                <w:szCs w:val="21"/>
                <w:lang w:val="en-US" w:eastAsia="zh-CN" w:bidi="ar-SA"/>
              </w:rPr>
            </w:pPr>
            <w:r>
              <w:rPr>
                <w:rFonts w:hint="eastAsia"/>
                <w:color w:val="auto"/>
                <w:sz w:val="21"/>
                <w:szCs w:val="21"/>
                <w:lang w:eastAsia="zh-CN"/>
              </w:rPr>
              <w:t>可研报告</w:t>
            </w:r>
            <w:r>
              <w:rPr>
                <w:rFonts w:hint="eastAsia"/>
                <w:color w:val="auto"/>
                <w:sz w:val="21"/>
                <w:szCs w:val="21"/>
                <w:lang w:val="en-US" w:eastAsia="zh-CN"/>
              </w:rPr>
              <w:t>对矿井</w:t>
            </w:r>
            <w:r>
              <w:rPr>
                <w:rFonts w:hint="eastAsia"/>
                <w:color w:val="auto"/>
                <w:sz w:val="21"/>
                <w:szCs w:val="21"/>
              </w:rPr>
              <w:t>所需风量</w:t>
            </w:r>
            <w:r>
              <w:rPr>
                <w:rFonts w:hint="eastAsia"/>
                <w:color w:val="auto"/>
                <w:sz w:val="21"/>
                <w:szCs w:val="21"/>
                <w:lang w:val="en-US" w:eastAsia="zh-CN"/>
              </w:rPr>
              <w:t>符合性进行了验证。</w:t>
            </w:r>
          </w:p>
        </w:tc>
        <w:tc>
          <w:tcPr>
            <w:tcW w:w="344" w:type="pct"/>
            <w:tcBorders>
              <w:tl2br w:val="nil"/>
              <w:tr2bl w:val="nil"/>
            </w:tcBorders>
            <w:vAlign w:val="center"/>
          </w:tcPr>
          <w:p w14:paraId="0744761A">
            <w:pPr>
              <w:keepNext w:val="0"/>
              <w:keepLines/>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leftChars="0" w:right="0" w:rightChars="0" w:firstLine="0" w:firstLineChars="0"/>
              <w:jc w:val="center"/>
              <w:textAlignment w:val="auto"/>
              <w:rPr>
                <w:rFonts w:hint="eastAsia" w:ascii="宋体" w:hAnsi="宋体" w:eastAsia="宋体" w:cstheme="minorBidi"/>
                <w:snapToGrid w:val="0"/>
                <w:color w:val="auto"/>
                <w:kern w:val="0"/>
                <w:sz w:val="21"/>
                <w:szCs w:val="21"/>
                <w:lang w:val="en-US" w:eastAsia="zh-CN" w:bidi="ar-SA"/>
              </w:rPr>
            </w:pPr>
            <w:r>
              <w:rPr>
                <w:rFonts w:hint="eastAsia" w:hAnsi="宋体"/>
                <w:snapToGrid w:val="0"/>
                <w:color w:val="auto"/>
                <w:kern w:val="0"/>
                <w:sz w:val="21"/>
                <w:szCs w:val="21"/>
              </w:rPr>
              <w:t>符合</w:t>
            </w:r>
          </w:p>
        </w:tc>
      </w:tr>
      <w:tr w14:paraId="37542F9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c>
          <w:tcPr>
            <w:tcW w:w="346" w:type="pct"/>
            <w:tcBorders>
              <w:tl2br w:val="nil"/>
              <w:tr2bl w:val="nil"/>
            </w:tcBorders>
            <w:vAlign w:val="center"/>
          </w:tcPr>
          <w:p w14:paraId="170853C6">
            <w:pPr>
              <w:keepNext w:val="0"/>
              <w:keepLines/>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firstLine="0" w:firstLineChars="0"/>
              <w:jc w:val="center"/>
              <w:textAlignment w:val="auto"/>
              <w:rPr>
                <w:rFonts w:hint="eastAsia" w:hAnsi="宋体" w:eastAsia="宋体"/>
                <w:snapToGrid w:val="0"/>
                <w:color w:val="auto"/>
                <w:kern w:val="0"/>
                <w:sz w:val="21"/>
                <w:szCs w:val="21"/>
                <w:lang w:val="en-US" w:eastAsia="zh-CN"/>
              </w:rPr>
            </w:pPr>
            <w:r>
              <w:rPr>
                <w:rFonts w:hint="eastAsia"/>
                <w:snapToGrid w:val="0"/>
                <w:color w:val="auto"/>
                <w:kern w:val="0"/>
                <w:sz w:val="21"/>
                <w:szCs w:val="21"/>
                <w:lang w:val="en-US" w:eastAsia="zh-CN"/>
              </w:rPr>
              <w:t>3</w:t>
            </w:r>
          </w:p>
        </w:tc>
        <w:tc>
          <w:tcPr>
            <w:tcW w:w="1952" w:type="pct"/>
            <w:tcBorders>
              <w:tl2br w:val="nil"/>
              <w:tr2bl w:val="nil"/>
            </w:tcBorders>
            <w:vAlign w:val="center"/>
          </w:tcPr>
          <w:p w14:paraId="7B58D4F0">
            <w:pPr>
              <w:keepNext w:val="0"/>
              <w:keepLines/>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leftChars="0" w:right="0" w:rightChars="0" w:firstLine="0" w:firstLineChars="0"/>
              <w:textAlignment w:val="auto"/>
              <w:rPr>
                <w:rFonts w:hint="eastAsia" w:ascii="宋体" w:hAnsi="宋体" w:eastAsia="宋体" w:cstheme="minorBidi"/>
                <w:snapToGrid w:val="0"/>
                <w:color w:val="auto"/>
                <w:kern w:val="0"/>
                <w:sz w:val="21"/>
                <w:szCs w:val="21"/>
                <w:lang w:val="en-US" w:eastAsia="zh-CN" w:bidi="ar-SA"/>
              </w:rPr>
            </w:pPr>
            <w:r>
              <w:rPr>
                <w:rFonts w:hint="eastAsia" w:hAnsi="宋体"/>
                <w:snapToGrid w:val="0"/>
                <w:color w:val="auto"/>
                <w:kern w:val="0"/>
                <w:sz w:val="21"/>
                <w:szCs w:val="21"/>
              </w:rPr>
              <w:t>每台主通风机电机均应有备用，并能迅速更换。同一个硐室或风机房内使用多台同型号电机时，可以只备用1台。</w:t>
            </w:r>
          </w:p>
        </w:tc>
        <w:tc>
          <w:tcPr>
            <w:tcW w:w="941" w:type="pct"/>
            <w:tcBorders>
              <w:tl2br w:val="nil"/>
              <w:tr2bl w:val="nil"/>
            </w:tcBorders>
            <w:vAlign w:val="center"/>
          </w:tcPr>
          <w:p w14:paraId="614F8D00">
            <w:pPr>
              <w:keepNext w:val="0"/>
              <w:keepLines/>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firstLine="0" w:firstLineChars="0"/>
              <w:jc w:val="center"/>
              <w:textAlignment w:val="auto"/>
              <w:rPr>
                <w:rFonts w:hint="default" w:hAnsi="宋体"/>
                <w:snapToGrid w:val="0"/>
                <w:color w:val="auto"/>
                <w:kern w:val="0"/>
                <w:sz w:val="21"/>
                <w:szCs w:val="21"/>
              </w:rPr>
            </w:pPr>
            <w:r>
              <w:rPr>
                <w:rFonts w:hint="eastAsia" w:hAnsi="宋体"/>
                <w:snapToGrid w:val="0"/>
                <w:color w:val="auto"/>
                <w:kern w:val="0"/>
                <w:sz w:val="21"/>
                <w:szCs w:val="21"/>
              </w:rPr>
              <w:t>《金属非金属矿山安全规程》(GB16423-2020)</w:t>
            </w:r>
          </w:p>
          <w:p w14:paraId="287EDDD3">
            <w:pPr>
              <w:keepNext w:val="0"/>
              <w:keepLines/>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leftChars="0" w:right="0" w:rightChars="0" w:firstLine="0" w:firstLineChars="0"/>
              <w:jc w:val="center"/>
              <w:textAlignment w:val="auto"/>
              <w:rPr>
                <w:rFonts w:hint="eastAsia" w:ascii="宋体" w:hAnsi="宋体" w:eastAsia="宋体" w:cstheme="minorBidi"/>
                <w:snapToGrid w:val="0"/>
                <w:color w:val="auto"/>
                <w:kern w:val="0"/>
                <w:sz w:val="21"/>
                <w:szCs w:val="21"/>
                <w:lang w:val="en-US" w:eastAsia="zh-CN" w:bidi="ar-SA"/>
              </w:rPr>
            </w:pPr>
            <w:r>
              <w:rPr>
                <w:rFonts w:hint="eastAsia" w:hAnsi="宋体"/>
                <w:snapToGrid w:val="0"/>
                <w:color w:val="auto"/>
                <w:kern w:val="0"/>
                <w:sz w:val="21"/>
                <w:szCs w:val="21"/>
              </w:rPr>
              <w:t>第6.6.3.2条</w:t>
            </w:r>
          </w:p>
        </w:tc>
        <w:tc>
          <w:tcPr>
            <w:tcW w:w="1414" w:type="pct"/>
            <w:tcBorders>
              <w:tl2br w:val="nil"/>
              <w:tr2bl w:val="nil"/>
            </w:tcBorders>
            <w:vAlign w:val="center"/>
          </w:tcPr>
          <w:p w14:paraId="05F31F45">
            <w:pPr>
              <w:keepNext w:val="0"/>
              <w:keepLines/>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leftChars="0" w:right="0" w:rightChars="0" w:firstLine="0" w:firstLineChars="0"/>
              <w:textAlignment w:val="auto"/>
              <w:rPr>
                <w:rFonts w:hint="eastAsia" w:ascii="宋体" w:hAnsi="宋体" w:eastAsia="宋体" w:cstheme="minorBidi"/>
                <w:snapToGrid w:val="0"/>
                <w:color w:val="auto"/>
                <w:kern w:val="0"/>
                <w:sz w:val="21"/>
                <w:szCs w:val="21"/>
                <w:lang w:val="en-US" w:eastAsia="zh-CN" w:bidi="ar-SA"/>
              </w:rPr>
            </w:pPr>
            <w:r>
              <w:rPr>
                <w:rFonts w:hint="eastAsia" w:hAnsi="宋体"/>
                <w:snapToGrid w:val="0"/>
                <w:color w:val="auto"/>
                <w:kern w:val="0"/>
                <w:sz w:val="21"/>
                <w:szCs w:val="21"/>
                <w:lang w:val="en-US" w:eastAsia="zh-CN"/>
              </w:rPr>
              <w:t>拟选用</w:t>
            </w:r>
            <w:r>
              <w:rPr>
                <w:rFonts w:hint="eastAsia" w:hAnsi="宋体"/>
                <w:snapToGrid w:val="0"/>
                <w:color w:val="auto"/>
                <w:kern w:val="0"/>
                <w:sz w:val="21"/>
                <w:szCs w:val="21"/>
              </w:rPr>
              <w:t>FKZ(K40)-4-NO14型轴流式</w:t>
            </w:r>
            <w:r>
              <w:rPr>
                <w:rFonts w:hint="eastAsia"/>
                <w:snapToGrid w:val="0"/>
                <w:color w:val="auto"/>
                <w:kern w:val="0"/>
                <w:sz w:val="21"/>
                <w:szCs w:val="21"/>
                <w:lang w:val="en-US" w:eastAsia="zh-CN"/>
              </w:rPr>
              <w:t>主通风机</w:t>
            </w:r>
            <w:r>
              <w:rPr>
                <w:rFonts w:hint="eastAsia" w:hAnsi="宋体"/>
                <w:snapToGrid w:val="0"/>
                <w:color w:val="auto"/>
                <w:kern w:val="0"/>
                <w:sz w:val="21"/>
                <w:szCs w:val="21"/>
                <w:lang w:eastAsia="zh-CN"/>
              </w:rPr>
              <w:t>，</w:t>
            </w:r>
            <w:r>
              <w:rPr>
                <w:rFonts w:hint="eastAsia" w:hAnsi="宋体"/>
                <w:snapToGrid w:val="0"/>
                <w:color w:val="auto"/>
                <w:kern w:val="0"/>
                <w:sz w:val="21"/>
                <w:szCs w:val="21"/>
              </w:rPr>
              <w:t>配套</w:t>
            </w:r>
            <w:r>
              <w:rPr>
                <w:rFonts w:hint="eastAsia"/>
                <w:snapToGrid w:val="0"/>
                <w:color w:val="auto"/>
                <w:kern w:val="0"/>
                <w:sz w:val="21"/>
                <w:szCs w:val="21"/>
                <w:lang w:val="en-US" w:eastAsia="zh-CN"/>
              </w:rPr>
              <w:t>90kW</w:t>
            </w:r>
            <w:r>
              <w:rPr>
                <w:rFonts w:hint="eastAsia" w:hAnsi="宋体"/>
                <w:snapToGrid w:val="0"/>
                <w:color w:val="auto"/>
                <w:kern w:val="0"/>
                <w:sz w:val="21"/>
                <w:szCs w:val="21"/>
              </w:rPr>
              <w:t>电机</w:t>
            </w:r>
            <w:r>
              <w:rPr>
                <w:rFonts w:hint="eastAsia"/>
                <w:snapToGrid w:val="0"/>
                <w:color w:val="auto"/>
                <w:kern w:val="0"/>
                <w:sz w:val="21"/>
                <w:szCs w:val="21"/>
                <w:lang w:val="en-US" w:eastAsia="zh-CN"/>
              </w:rPr>
              <w:t>两台</w:t>
            </w:r>
            <w:r>
              <w:rPr>
                <w:rFonts w:hint="eastAsia" w:hAnsi="宋体"/>
                <w:snapToGrid w:val="0"/>
                <w:color w:val="auto"/>
                <w:kern w:val="0"/>
                <w:sz w:val="21"/>
                <w:szCs w:val="21"/>
              </w:rPr>
              <w:t>，风机配置手拉环链葫芦1台，矿用可伸缩型三脚架1套。</w:t>
            </w:r>
          </w:p>
        </w:tc>
        <w:tc>
          <w:tcPr>
            <w:tcW w:w="344" w:type="pct"/>
            <w:tcBorders>
              <w:tl2br w:val="nil"/>
              <w:tr2bl w:val="nil"/>
            </w:tcBorders>
            <w:vAlign w:val="center"/>
          </w:tcPr>
          <w:p w14:paraId="2C481E64">
            <w:pPr>
              <w:keepNext w:val="0"/>
              <w:keepLines/>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leftChars="0" w:right="0" w:rightChars="0" w:firstLine="0" w:firstLineChars="0"/>
              <w:jc w:val="center"/>
              <w:textAlignment w:val="auto"/>
              <w:rPr>
                <w:rFonts w:hint="eastAsia" w:ascii="宋体" w:hAnsi="宋体" w:eastAsia="宋体" w:cstheme="minorBidi"/>
                <w:snapToGrid w:val="0"/>
                <w:color w:val="auto"/>
                <w:kern w:val="0"/>
                <w:sz w:val="21"/>
                <w:szCs w:val="21"/>
                <w:lang w:val="en-US" w:eastAsia="zh-CN" w:bidi="ar-SA"/>
              </w:rPr>
            </w:pPr>
            <w:r>
              <w:rPr>
                <w:rFonts w:hint="eastAsia" w:hAnsi="宋体"/>
                <w:snapToGrid w:val="0"/>
                <w:color w:val="auto"/>
                <w:kern w:val="0"/>
                <w:sz w:val="21"/>
                <w:szCs w:val="21"/>
              </w:rPr>
              <w:t>符合</w:t>
            </w:r>
          </w:p>
        </w:tc>
      </w:tr>
      <w:tr w14:paraId="015F13A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c>
          <w:tcPr>
            <w:tcW w:w="346" w:type="pct"/>
            <w:tcBorders>
              <w:tl2br w:val="nil"/>
              <w:tr2bl w:val="nil"/>
            </w:tcBorders>
            <w:vAlign w:val="center"/>
          </w:tcPr>
          <w:p w14:paraId="4D7E8662">
            <w:pPr>
              <w:keepNext w:val="0"/>
              <w:keepLines/>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firstLine="0" w:firstLineChars="0"/>
              <w:jc w:val="center"/>
              <w:textAlignment w:val="auto"/>
              <w:rPr>
                <w:rFonts w:hint="eastAsia" w:hAnsi="宋体" w:eastAsia="宋体"/>
                <w:snapToGrid w:val="0"/>
                <w:color w:val="auto"/>
                <w:kern w:val="0"/>
                <w:sz w:val="21"/>
                <w:szCs w:val="21"/>
                <w:lang w:val="en-US" w:eastAsia="zh-CN"/>
              </w:rPr>
            </w:pPr>
            <w:r>
              <w:rPr>
                <w:rFonts w:hint="eastAsia"/>
                <w:snapToGrid w:val="0"/>
                <w:color w:val="auto"/>
                <w:kern w:val="0"/>
                <w:sz w:val="21"/>
                <w:szCs w:val="21"/>
                <w:lang w:val="en-US" w:eastAsia="zh-CN"/>
              </w:rPr>
              <w:t>4</w:t>
            </w:r>
          </w:p>
        </w:tc>
        <w:tc>
          <w:tcPr>
            <w:tcW w:w="1952" w:type="pct"/>
            <w:tcBorders>
              <w:tl2br w:val="nil"/>
              <w:tr2bl w:val="nil"/>
            </w:tcBorders>
            <w:vAlign w:val="center"/>
          </w:tcPr>
          <w:p w14:paraId="1B11CA00">
            <w:pPr>
              <w:keepNext w:val="0"/>
              <w:keepLines/>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leftChars="0" w:right="0" w:rightChars="0" w:firstLine="0" w:firstLineChars="0"/>
              <w:textAlignment w:val="auto"/>
              <w:rPr>
                <w:rFonts w:hint="eastAsia" w:ascii="宋体" w:hAnsi="宋体" w:eastAsia="宋体" w:cstheme="minorBidi"/>
                <w:snapToGrid w:val="0"/>
                <w:color w:val="auto"/>
                <w:kern w:val="0"/>
                <w:sz w:val="21"/>
                <w:szCs w:val="21"/>
                <w:lang w:val="en-US" w:eastAsia="zh-CN" w:bidi="ar-SA"/>
              </w:rPr>
            </w:pPr>
            <w:r>
              <w:rPr>
                <w:rFonts w:hint="default" w:hAnsi="宋体"/>
                <w:snapToGrid w:val="0"/>
                <w:color w:val="auto"/>
                <w:kern w:val="0"/>
                <w:sz w:val="21"/>
                <w:szCs w:val="21"/>
              </w:rPr>
              <w:t>主通风设施应能使矿井风流在10min内反向，反风量不小于正常运转时风量的60%。采用多级机站通风的矿山，主通风系统的每台通风机都应满足反风要求，以保证整个系统可以反风。</w:t>
            </w:r>
          </w:p>
        </w:tc>
        <w:tc>
          <w:tcPr>
            <w:tcW w:w="941" w:type="pct"/>
            <w:tcBorders>
              <w:tl2br w:val="nil"/>
              <w:tr2bl w:val="nil"/>
            </w:tcBorders>
            <w:vAlign w:val="center"/>
          </w:tcPr>
          <w:p w14:paraId="43A2E495">
            <w:pPr>
              <w:keepNext w:val="0"/>
              <w:keepLines/>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firstLine="0" w:firstLineChars="0"/>
              <w:jc w:val="center"/>
              <w:textAlignment w:val="auto"/>
              <w:rPr>
                <w:rFonts w:hint="default" w:hAnsi="宋体"/>
                <w:snapToGrid w:val="0"/>
                <w:color w:val="auto"/>
                <w:kern w:val="0"/>
                <w:sz w:val="21"/>
                <w:szCs w:val="21"/>
              </w:rPr>
            </w:pPr>
            <w:r>
              <w:rPr>
                <w:rFonts w:hint="eastAsia" w:hAnsi="宋体"/>
                <w:snapToGrid w:val="0"/>
                <w:color w:val="auto"/>
                <w:kern w:val="0"/>
                <w:sz w:val="21"/>
                <w:szCs w:val="21"/>
              </w:rPr>
              <w:t>《金属非金属矿山安全规程》(GB16423-2020)</w:t>
            </w:r>
          </w:p>
          <w:p w14:paraId="5A352DDC">
            <w:pPr>
              <w:keepNext w:val="0"/>
              <w:keepLines/>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leftChars="0" w:right="0" w:rightChars="0" w:firstLine="0" w:firstLineChars="0"/>
              <w:jc w:val="center"/>
              <w:textAlignment w:val="auto"/>
              <w:rPr>
                <w:rFonts w:hint="eastAsia" w:ascii="宋体" w:hAnsi="宋体" w:eastAsia="宋体" w:cstheme="minorBidi"/>
                <w:snapToGrid w:val="0"/>
                <w:color w:val="auto"/>
                <w:kern w:val="0"/>
                <w:sz w:val="21"/>
                <w:szCs w:val="21"/>
                <w:lang w:val="en-US" w:eastAsia="zh-CN" w:bidi="ar-SA"/>
              </w:rPr>
            </w:pPr>
            <w:r>
              <w:rPr>
                <w:rFonts w:hint="eastAsia" w:hAnsi="宋体"/>
                <w:snapToGrid w:val="0"/>
                <w:color w:val="auto"/>
                <w:kern w:val="0"/>
                <w:sz w:val="21"/>
                <w:szCs w:val="21"/>
              </w:rPr>
              <w:t>第6.6.3.</w:t>
            </w:r>
            <w:r>
              <w:rPr>
                <w:rFonts w:hint="eastAsia"/>
                <w:snapToGrid w:val="0"/>
                <w:color w:val="auto"/>
                <w:kern w:val="0"/>
                <w:sz w:val="21"/>
                <w:szCs w:val="21"/>
                <w:lang w:val="en-US" w:eastAsia="zh-CN"/>
              </w:rPr>
              <w:t>3</w:t>
            </w:r>
            <w:r>
              <w:rPr>
                <w:rFonts w:hint="eastAsia" w:hAnsi="宋体"/>
                <w:snapToGrid w:val="0"/>
                <w:color w:val="auto"/>
                <w:kern w:val="0"/>
                <w:sz w:val="21"/>
                <w:szCs w:val="21"/>
              </w:rPr>
              <w:t>条</w:t>
            </w:r>
          </w:p>
        </w:tc>
        <w:tc>
          <w:tcPr>
            <w:tcW w:w="1414" w:type="pct"/>
            <w:tcBorders>
              <w:tl2br w:val="nil"/>
              <w:tr2bl w:val="nil"/>
            </w:tcBorders>
            <w:vAlign w:val="center"/>
          </w:tcPr>
          <w:p w14:paraId="49D4CAB8">
            <w:pPr>
              <w:keepNext w:val="0"/>
              <w:keepLines/>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leftChars="0" w:right="0" w:rightChars="0" w:firstLine="0" w:firstLineChars="0"/>
              <w:textAlignment w:val="auto"/>
              <w:rPr>
                <w:rFonts w:hint="eastAsia" w:ascii="宋体" w:hAnsi="宋体" w:eastAsia="宋体" w:cstheme="minorBidi"/>
                <w:snapToGrid w:val="0"/>
                <w:color w:val="auto"/>
                <w:kern w:val="0"/>
                <w:sz w:val="21"/>
                <w:szCs w:val="21"/>
                <w:lang w:val="en-US" w:eastAsia="zh-CN" w:bidi="ar-SA"/>
              </w:rPr>
            </w:pPr>
            <w:r>
              <w:rPr>
                <w:rFonts w:hint="eastAsia" w:hAnsi="宋体"/>
                <w:snapToGrid w:val="0"/>
                <w:color w:val="auto"/>
                <w:kern w:val="0"/>
                <w:sz w:val="21"/>
                <w:szCs w:val="21"/>
                <w:lang w:val="en-US" w:eastAsia="zh-CN"/>
              </w:rPr>
              <w:t>根据可研报告，风机可</w:t>
            </w:r>
            <w:r>
              <w:rPr>
                <w:rFonts w:hint="eastAsia"/>
                <w:snapToGrid w:val="0"/>
                <w:color w:val="auto"/>
                <w:kern w:val="0"/>
                <w:sz w:val="21"/>
                <w:szCs w:val="21"/>
                <w:lang w:val="en-US" w:eastAsia="zh-CN"/>
              </w:rPr>
              <w:t>在10分钟内实现</w:t>
            </w:r>
            <w:r>
              <w:rPr>
                <w:rFonts w:hint="eastAsia" w:hAnsi="宋体"/>
                <w:snapToGrid w:val="0"/>
                <w:color w:val="auto"/>
                <w:kern w:val="0"/>
                <w:sz w:val="21"/>
                <w:szCs w:val="21"/>
                <w:lang w:val="en-US" w:eastAsia="zh-CN"/>
              </w:rPr>
              <w:t>反转反风，反风率大于60％</w:t>
            </w:r>
            <w:r>
              <w:rPr>
                <w:rFonts w:hint="default" w:hAnsi="宋体"/>
                <w:snapToGrid w:val="0"/>
                <w:color w:val="auto"/>
                <w:kern w:val="0"/>
                <w:sz w:val="21"/>
                <w:szCs w:val="21"/>
                <w:lang w:val="en-US" w:eastAsia="zh-CN"/>
              </w:rPr>
              <w:t>。</w:t>
            </w:r>
          </w:p>
        </w:tc>
        <w:tc>
          <w:tcPr>
            <w:tcW w:w="344" w:type="pct"/>
            <w:tcBorders>
              <w:tl2br w:val="nil"/>
              <w:tr2bl w:val="nil"/>
            </w:tcBorders>
            <w:vAlign w:val="center"/>
          </w:tcPr>
          <w:p w14:paraId="7428AE44">
            <w:pPr>
              <w:keepNext w:val="0"/>
              <w:keepLines/>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leftChars="0" w:right="0" w:rightChars="0" w:firstLine="0" w:firstLineChars="0"/>
              <w:jc w:val="center"/>
              <w:textAlignment w:val="auto"/>
              <w:rPr>
                <w:rFonts w:hint="eastAsia" w:ascii="宋体" w:hAnsi="宋体" w:eastAsia="宋体" w:cstheme="minorBidi"/>
                <w:snapToGrid w:val="0"/>
                <w:color w:val="auto"/>
                <w:kern w:val="0"/>
                <w:sz w:val="21"/>
                <w:szCs w:val="21"/>
                <w:lang w:val="en-US" w:eastAsia="zh-CN" w:bidi="ar-SA"/>
              </w:rPr>
            </w:pPr>
            <w:r>
              <w:rPr>
                <w:rFonts w:hint="eastAsia" w:hAnsi="宋体"/>
                <w:snapToGrid w:val="0"/>
                <w:color w:val="auto"/>
                <w:kern w:val="0"/>
                <w:sz w:val="21"/>
                <w:szCs w:val="21"/>
              </w:rPr>
              <w:t>符合</w:t>
            </w:r>
          </w:p>
        </w:tc>
      </w:tr>
      <w:tr w14:paraId="6640A33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c>
          <w:tcPr>
            <w:tcW w:w="346" w:type="pct"/>
            <w:tcBorders>
              <w:tl2br w:val="nil"/>
              <w:tr2bl w:val="nil"/>
            </w:tcBorders>
            <w:vAlign w:val="center"/>
          </w:tcPr>
          <w:p w14:paraId="7D0AB9B1">
            <w:pPr>
              <w:keepNext w:val="0"/>
              <w:keepLines/>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firstLine="0" w:firstLineChars="0"/>
              <w:jc w:val="center"/>
              <w:textAlignment w:val="auto"/>
              <w:rPr>
                <w:rFonts w:hint="eastAsia" w:hAnsi="宋体" w:eastAsia="宋体"/>
                <w:snapToGrid w:val="0"/>
                <w:color w:val="auto"/>
                <w:kern w:val="0"/>
                <w:sz w:val="21"/>
                <w:szCs w:val="21"/>
                <w:lang w:val="en-US" w:eastAsia="zh-CN"/>
              </w:rPr>
            </w:pPr>
            <w:r>
              <w:rPr>
                <w:rFonts w:hint="eastAsia"/>
                <w:snapToGrid w:val="0"/>
                <w:color w:val="auto"/>
                <w:kern w:val="0"/>
                <w:sz w:val="21"/>
                <w:szCs w:val="21"/>
                <w:lang w:val="en-US" w:eastAsia="zh-CN"/>
              </w:rPr>
              <w:t>5</w:t>
            </w:r>
          </w:p>
        </w:tc>
        <w:tc>
          <w:tcPr>
            <w:tcW w:w="1952" w:type="pct"/>
            <w:tcBorders>
              <w:tl2br w:val="nil"/>
              <w:tr2bl w:val="nil"/>
            </w:tcBorders>
            <w:vAlign w:val="center"/>
          </w:tcPr>
          <w:p w14:paraId="6332E12D">
            <w:pPr>
              <w:keepNext w:val="0"/>
              <w:keepLines/>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leftChars="0" w:right="0" w:rightChars="0" w:firstLine="0" w:firstLineChars="0"/>
              <w:textAlignment w:val="auto"/>
              <w:rPr>
                <w:rFonts w:hint="default" w:ascii="宋体" w:hAnsi="宋体" w:eastAsia="宋体" w:cs="宋体"/>
                <w:color w:val="auto"/>
                <w:spacing w:val="1"/>
                <w:kern w:val="2"/>
                <w:sz w:val="20"/>
                <w:szCs w:val="20"/>
                <w:lang w:val="en-US" w:eastAsia="zh-CN" w:bidi="ar-SA"/>
              </w:rPr>
            </w:pPr>
            <w:r>
              <w:rPr>
                <w:rFonts w:hint="default" w:hAnsi="宋体"/>
                <w:snapToGrid w:val="0"/>
                <w:color w:val="auto"/>
                <w:kern w:val="0"/>
                <w:sz w:val="21"/>
                <w:szCs w:val="21"/>
              </w:rPr>
              <w:t>主通风机房应设有测量风压、风量、电流、电压和轴承温度等的仪表。每班都应对通风机</w:t>
            </w:r>
            <w:r>
              <w:rPr>
                <w:rFonts w:hint="eastAsia"/>
                <w:snapToGrid w:val="0"/>
                <w:color w:val="auto"/>
                <w:kern w:val="0"/>
                <w:sz w:val="21"/>
                <w:szCs w:val="21"/>
                <w:lang w:eastAsia="zh-CN"/>
              </w:rPr>
              <w:t>运行</w:t>
            </w:r>
            <w:r>
              <w:rPr>
                <w:rFonts w:hint="default" w:hAnsi="宋体"/>
                <w:snapToGrid w:val="0"/>
                <w:color w:val="auto"/>
                <w:kern w:val="0"/>
                <w:sz w:val="21"/>
                <w:szCs w:val="21"/>
              </w:rPr>
              <w:t>情况进行检查，并有运转记录。采用自动控制的主通风机，每两周应进行1次自控系统的检查。</w:t>
            </w:r>
          </w:p>
        </w:tc>
        <w:tc>
          <w:tcPr>
            <w:tcW w:w="941" w:type="pct"/>
            <w:tcBorders>
              <w:tl2br w:val="nil"/>
              <w:tr2bl w:val="nil"/>
            </w:tcBorders>
            <w:vAlign w:val="center"/>
          </w:tcPr>
          <w:p w14:paraId="6B0B9985">
            <w:pPr>
              <w:keepNext w:val="0"/>
              <w:keepLines/>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firstLine="0" w:firstLineChars="0"/>
              <w:jc w:val="center"/>
              <w:textAlignment w:val="auto"/>
              <w:rPr>
                <w:rFonts w:hint="default" w:hAnsi="宋体"/>
                <w:snapToGrid w:val="0"/>
                <w:color w:val="auto"/>
                <w:kern w:val="0"/>
                <w:sz w:val="21"/>
                <w:szCs w:val="21"/>
              </w:rPr>
            </w:pPr>
            <w:r>
              <w:rPr>
                <w:rFonts w:hint="eastAsia" w:hAnsi="宋体"/>
                <w:snapToGrid w:val="0"/>
                <w:color w:val="auto"/>
                <w:kern w:val="0"/>
                <w:sz w:val="21"/>
                <w:szCs w:val="21"/>
              </w:rPr>
              <w:t>《金属非金属矿山安全规程》(GB16423-2020)</w:t>
            </w:r>
          </w:p>
          <w:p w14:paraId="1D18CF37">
            <w:pPr>
              <w:keepNext w:val="0"/>
              <w:keepLines/>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leftChars="0" w:right="0" w:rightChars="0" w:firstLine="0" w:firstLineChars="0"/>
              <w:jc w:val="center"/>
              <w:textAlignment w:val="auto"/>
              <w:rPr>
                <w:rFonts w:hint="eastAsia" w:ascii="宋体" w:hAnsi="宋体" w:eastAsia="宋体" w:cstheme="minorBidi"/>
                <w:snapToGrid w:val="0"/>
                <w:color w:val="auto"/>
                <w:kern w:val="0"/>
                <w:sz w:val="21"/>
                <w:szCs w:val="21"/>
                <w:lang w:val="en-US" w:eastAsia="zh-CN" w:bidi="ar-SA"/>
              </w:rPr>
            </w:pPr>
            <w:r>
              <w:rPr>
                <w:rFonts w:hint="eastAsia" w:hAnsi="宋体"/>
                <w:snapToGrid w:val="0"/>
                <w:color w:val="auto"/>
                <w:kern w:val="0"/>
                <w:sz w:val="21"/>
                <w:szCs w:val="21"/>
              </w:rPr>
              <w:t>第6.6.3.</w:t>
            </w:r>
            <w:r>
              <w:rPr>
                <w:rFonts w:hint="eastAsia"/>
                <w:snapToGrid w:val="0"/>
                <w:color w:val="auto"/>
                <w:kern w:val="0"/>
                <w:sz w:val="21"/>
                <w:szCs w:val="21"/>
                <w:lang w:val="en-US" w:eastAsia="zh-CN"/>
              </w:rPr>
              <w:t>4</w:t>
            </w:r>
            <w:r>
              <w:rPr>
                <w:rFonts w:hint="eastAsia" w:hAnsi="宋体"/>
                <w:snapToGrid w:val="0"/>
                <w:color w:val="auto"/>
                <w:kern w:val="0"/>
                <w:sz w:val="21"/>
                <w:szCs w:val="21"/>
              </w:rPr>
              <w:t>条</w:t>
            </w:r>
          </w:p>
        </w:tc>
        <w:tc>
          <w:tcPr>
            <w:tcW w:w="1414" w:type="pct"/>
            <w:tcBorders>
              <w:tl2br w:val="nil"/>
              <w:tr2bl w:val="nil"/>
            </w:tcBorders>
            <w:vAlign w:val="center"/>
          </w:tcPr>
          <w:p w14:paraId="7C3F4A69">
            <w:pPr>
              <w:keepNext w:val="0"/>
              <w:keepLines/>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leftChars="0" w:right="0" w:rightChars="0" w:firstLine="0" w:firstLineChars="0"/>
              <w:textAlignment w:val="auto"/>
              <w:rPr>
                <w:rFonts w:hint="eastAsia" w:ascii="宋体" w:hAnsi="宋体" w:eastAsia="宋体" w:cstheme="minorBidi"/>
                <w:snapToGrid w:val="0"/>
                <w:color w:val="auto"/>
                <w:kern w:val="0"/>
                <w:sz w:val="21"/>
                <w:szCs w:val="21"/>
                <w:lang w:val="en-US" w:eastAsia="zh-CN" w:bidi="ar-SA"/>
              </w:rPr>
            </w:pPr>
            <w:r>
              <w:rPr>
                <w:rFonts w:hint="eastAsia"/>
                <w:snapToGrid w:val="0"/>
                <w:color w:val="auto"/>
                <w:kern w:val="0"/>
                <w:sz w:val="21"/>
                <w:szCs w:val="21"/>
                <w:lang w:eastAsia="zh-CN"/>
              </w:rPr>
              <w:t>可研报告</w:t>
            </w:r>
            <w:r>
              <w:rPr>
                <w:rFonts w:hint="eastAsia" w:hAnsi="宋体"/>
                <w:snapToGrid w:val="0"/>
                <w:color w:val="auto"/>
                <w:kern w:val="0"/>
                <w:sz w:val="21"/>
                <w:szCs w:val="21"/>
                <w:lang w:val="en-US" w:eastAsia="zh-CN"/>
              </w:rPr>
              <w:t>中拟设置风速风压传感器，</w:t>
            </w:r>
            <w:r>
              <w:rPr>
                <w:rFonts w:hint="default" w:hAnsi="宋体"/>
                <w:snapToGrid w:val="0"/>
                <w:color w:val="auto"/>
                <w:kern w:val="0"/>
                <w:sz w:val="21"/>
                <w:szCs w:val="21"/>
              </w:rPr>
              <w:t>通风自动化系统通过主控计算机对每一台风机进行远程集中启停控制、正反转控制，对风机运行状态和风机电流、电压、温度、风量、风压、风速、CO浓度等参数进行实时监测</w:t>
            </w:r>
            <w:r>
              <w:rPr>
                <w:rFonts w:hint="eastAsia" w:hAnsi="宋体"/>
                <w:snapToGrid w:val="0"/>
                <w:color w:val="auto"/>
                <w:kern w:val="0"/>
                <w:sz w:val="21"/>
                <w:szCs w:val="21"/>
                <w:lang w:eastAsia="zh-CN"/>
              </w:rPr>
              <w:t>。</w:t>
            </w:r>
          </w:p>
        </w:tc>
        <w:tc>
          <w:tcPr>
            <w:tcW w:w="344" w:type="pct"/>
            <w:tcBorders>
              <w:tl2br w:val="nil"/>
              <w:tr2bl w:val="nil"/>
            </w:tcBorders>
            <w:vAlign w:val="center"/>
          </w:tcPr>
          <w:p w14:paraId="5891B6CE">
            <w:pPr>
              <w:keepNext w:val="0"/>
              <w:keepLines/>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leftChars="0" w:right="0" w:rightChars="0" w:firstLine="0" w:firstLineChars="0"/>
              <w:jc w:val="center"/>
              <w:textAlignment w:val="auto"/>
              <w:rPr>
                <w:rFonts w:hint="eastAsia" w:ascii="宋体" w:hAnsi="宋体" w:eastAsia="宋体" w:cstheme="minorBidi"/>
                <w:snapToGrid w:val="0"/>
                <w:color w:val="auto"/>
                <w:kern w:val="0"/>
                <w:sz w:val="21"/>
                <w:szCs w:val="21"/>
                <w:lang w:val="en-US" w:eastAsia="zh-CN" w:bidi="ar-SA"/>
              </w:rPr>
            </w:pPr>
            <w:r>
              <w:rPr>
                <w:rFonts w:hint="eastAsia"/>
                <w:snapToGrid w:val="0"/>
                <w:color w:val="auto"/>
                <w:kern w:val="0"/>
                <w:sz w:val="21"/>
                <w:szCs w:val="21"/>
                <w:lang w:val="en-US" w:eastAsia="zh-CN"/>
              </w:rPr>
              <w:t>符合</w:t>
            </w:r>
          </w:p>
        </w:tc>
      </w:tr>
      <w:tr w14:paraId="3B8B778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c>
          <w:tcPr>
            <w:tcW w:w="346" w:type="pct"/>
            <w:tcBorders>
              <w:tl2br w:val="nil"/>
              <w:tr2bl w:val="nil"/>
            </w:tcBorders>
            <w:vAlign w:val="center"/>
          </w:tcPr>
          <w:p w14:paraId="7B40CA91">
            <w:pPr>
              <w:keepNext w:val="0"/>
              <w:keepLines/>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firstLine="0" w:firstLineChars="0"/>
              <w:jc w:val="center"/>
              <w:textAlignment w:val="auto"/>
              <w:rPr>
                <w:rFonts w:hint="default"/>
                <w:snapToGrid w:val="0"/>
                <w:color w:val="auto"/>
                <w:kern w:val="0"/>
                <w:sz w:val="21"/>
                <w:szCs w:val="21"/>
                <w:lang w:val="en-US" w:eastAsia="zh-CN"/>
              </w:rPr>
            </w:pPr>
            <w:r>
              <w:rPr>
                <w:rFonts w:hint="eastAsia"/>
                <w:snapToGrid w:val="0"/>
                <w:color w:val="auto"/>
                <w:kern w:val="0"/>
                <w:sz w:val="21"/>
                <w:szCs w:val="21"/>
                <w:lang w:val="en-US" w:eastAsia="zh-CN"/>
              </w:rPr>
              <w:t>6</w:t>
            </w:r>
          </w:p>
        </w:tc>
        <w:tc>
          <w:tcPr>
            <w:tcW w:w="1952" w:type="pct"/>
            <w:tcBorders>
              <w:tl2br w:val="nil"/>
              <w:tr2bl w:val="nil"/>
            </w:tcBorders>
            <w:vAlign w:val="center"/>
          </w:tcPr>
          <w:p w14:paraId="158F22A4">
            <w:pPr>
              <w:keepNext w:val="0"/>
              <w:keepLines/>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leftChars="0" w:right="0" w:rightChars="0" w:firstLine="0" w:firstLineChars="0"/>
              <w:textAlignment w:val="auto"/>
              <w:rPr>
                <w:rFonts w:hint="default" w:hAnsi="宋体"/>
                <w:snapToGrid w:val="0"/>
                <w:color w:val="auto"/>
                <w:kern w:val="0"/>
                <w:sz w:val="21"/>
                <w:szCs w:val="21"/>
              </w:rPr>
            </w:pPr>
            <w:r>
              <w:rPr>
                <w:rFonts w:hint="default" w:hAnsi="宋体"/>
                <w:snapToGrid w:val="0"/>
                <w:color w:val="auto"/>
                <w:kern w:val="0"/>
                <w:sz w:val="21"/>
                <w:szCs w:val="21"/>
              </w:rPr>
              <w:t>主通风机的风量不应小于矿井总风量乘以主通风机风硐装置的漏风系数;主通风机的风压不应小于矿井最大阻力损失加上主通风机风硐装置的阻力损失与风机出口动压损失，还应计算自然风压的影响。</w:t>
            </w:r>
          </w:p>
        </w:tc>
        <w:tc>
          <w:tcPr>
            <w:tcW w:w="941" w:type="pct"/>
            <w:tcBorders>
              <w:tl2br w:val="nil"/>
              <w:tr2bl w:val="nil"/>
            </w:tcBorders>
            <w:vAlign w:val="center"/>
          </w:tcPr>
          <w:p w14:paraId="6BBF9F03">
            <w:pPr>
              <w:keepNext w:val="0"/>
              <w:keepLines/>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leftChars="0" w:right="0" w:rightChars="0" w:firstLine="0" w:firstLineChars="0"/>
              <w:jc w:val="center"/>
              <w:textAlignment w:val="auto"/>
              <w:rPr>
                <w:rFonts w:hint="eastAsia" w:hAnsi="宋体"/>
                <w:snapToGrid w:val="0"/>
                <w:color w:val="auto"/>
                <w:kern w:val="0"/>
                <w:sz w:val="21"/>
                <w:szCs w:val="21"/>
              </w:rPr>
            </w:pPr>
            <w:r>
              <w:rPr>
                <w:rFonts w:hint="eastAsia" w:hAnsi="宋体" w:cs="宋体"/>
                <w:color w:val="auto"/>
                <w:sz w:val="21"/>
                <w:szCs w:val="21"/>
                <w:lang w:eastAsia="zh-CN"/>
              </w:rPr>
              <w:t>《</w:t>
            </w:r>
            <w:r>
              <w:rPr>
                <w:rFonts w:hint="eastAsia" w:hAnsi="宋体" w:cs="宋体"/>
                <w:color w:val="auto"/>
                <w:sz w:val="21"/>
                <w:szCs w:val="21"/>
                <w:lang w:val="en-US" w:eastAsia="zh-CN"/>
              </w:rPr>
              <w:t>有色金属采矿设计规范</w:t>
            </w:r>
            <w:r>
              <w:rPr>
                <w:rFonts w:hint="eastAsia" w:hAnsi="宋体" w:cs="宋体"/>
                <w:color w:val="auto"/>
                <w:sz w:val="21"/>
                <w:szCs w:val="21"/>
                <w:lang w:eastAsia="zh-CN"/>
              </w:rPr>
              <w:t>》</w:t>
            </w:r>
            <w:r>
              <w:rPr>
                <w:rFonts w:hint="eastAsia" w:hAnsi="宋体" w:cs="宋体"/>
                <w:color w:val="auto"/>
                <w:sz w:val="21"/>
                <w:szCs w:val="21"/>
                <w:lang w:val="en-US" w:eastAsia="zh-CN"/>
              </w:rPr>
              <w:t>(GB50771-2012)第9.</w:t>
            </w:r>
            <w:r>
              <w:rPr>
                <w:rFonts w:hint="eastAsia" w:cs="宋体"/>
                <w:color w:val="auto"/>
                <w:sz w:val="21"/>
                <w:szCs w:val="21"/>
                <w:lang w:val="en-US" w:eastAsia="zh-CN"/>
              </w:rPr>
              <w:t>4</w:t>
            </w:r>
            <w:r>
              <w:rPr>
                <w:rFonts w:hint="eastAsia" w:hAnsi="宋体" w:cs="宋体"/>
                <w:color w:val="auto"/>
                <w:sz w:val="21"/>
                <w:szCs w:val="21"/>
                <w:lang w:val="en-US" w:eastAsia="zh-CN"/>
              </w:rPr>
              <w:t>.</w:t>
            </w:r>
            <w:r>
              <w:rPr>
                <w:rFonts w:hint="eastAsia" w:cs="宋体"/>
                <w:color w:val="auto"/>
                <w:sz w:val="21"/>
                <w:szCs w:val="21"/>
                <w:lang w:val="en-US" w:eastAsia="zh-CN"/>
              </w:rPr>
              <w:t>1</w:t>
            </w:r>
            <w:r>
              <w:rPr>
                <w:rFonts w:hint="eastAsia" w:hAnsi="宋体" w:cs="宋体"/>
                <w:color w:val="auto"/>
                <w:sz w:val="21"/>
                <w:szCs w:val="21"/>
                <w:lang w:val="en-US" w:eastAsia="zh-CN"/>
              </w:rPr>
              <w:t>条</w:t>
            </w:r>
          </w:p>
        </w:tc>
        <w:tc>
          <w:tcPr>
            <w:tcW w:w="1414" w:type="pct"/>
            <w:tcBorders>
              <w:tl2br w:val="nil"/>
              <w:tr2bl w:val="nil"/>
            </w:tcBorders>
            <w:vAlign w:val="center"/>
          </w:tcPr>
          <w:p w14:paraId="05A79E62">
            <w:pPr>
              <w:keepNext w:val="0"/>
              <w:keepLines/>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leftChars="0" w:right="0" w:rightChars="0" w:firstLine="0" w:firstLineChars="0"/>
              <w:textAlignment w:val="auto"/>
              <w:rPr>
                <w:rFonts w:hint="eastAsia"/>
                <w:snapToGrid w:val="0"/>
                <w:color w:val="auto"/>
                <w:kern w:val="0"/>
                <w:sz w:val="21"/>
                <w:szCs w:val="21"/>
                <w:lang w:val="en-US" w:eastAsia="zh-CN"/>
              </w:rPr>
            </w:pPr>
            <w:r>
              <w:rPr>
                <w:rFonts w:hint="eastAsia"/>
                <w:snapToGrid w:val="0"/>
                <w:color w:val="auto"/>
                <w:kern w:val="0"/>
                <w:sz w:val="21"/>
                <w:szCs w:val="21"/>
                <w:lang w:val="en-US" w:eastAsia="zh-CN"/>
              </w:rPr>
              <w:t>矿井最大需风量33.82</w:t>
            </w:r>
          </w:p>
          <w:p w14:paraId="00BBB44A">
            <w:pPr>
              <w:keepNext w:val="0"/>
              <w:keepLines/>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leftChars="0" w:right="0" w:rightChars="0" w:firstLine="0" w:firstLineChars="0"/>
              <w:textAlignment w:val="auto"/>
              <w:rPr>
                <w:rFonts w:hint="eastAsia"/>
                <w:snapToGrid w:val="0"/>
                <w:color w:val="auto"/>
                <w:kern w:val="0"/>
                <w:sz w:val="21"/>
                <w:szCs w:val="21"/>
                <w:lang w:val="en-US" w:eastAsia="zh-CN"/>
              </w:rPr>
            </w:pPr>
            <w:r>
              <w:rPr>
                <w:rFonts w:hint="eastAsia"/>
                <w:snapToGrid w:val="0"/>
                <w:color w:val="auto"/>
                <w:kern w:val="0"/>
                <w:sz w:val="21"/>
                <w:szCs w:val="21"/>
                <w:lang w:val="en-US" w:eastAsia="zh-CN"/>
              </w:rPr>
              <w:t>m³/s，漏风系数取1.15，风机的风量不应小于39.89</w:t>
            </w:r>
          </w:p>
          <w:p w14:paraId="2A775689">
            <w:pPr>
              <w:keepNext w:val="0"/>
              <w:keepLines/>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leftChars="0" w:right="0" w:rightChars="0" w:firstLine="0" w:firstLineChars="0"/>
              <w:textAlignment w:val="auto"/>
              <w:rPr>
                <w:rFonts w:hint="default"/>
                <w:snapToGrid w:val="0"/>
                <w:color w:val="auto"/>
                <w:kern w:val="0"/>
                <w:sz w:val="21"/>
                <w:szCs w:val="21"/>
                <w:lang w:val="en-US" w:eastAsia="zh-CN"/>
              </w:rPr>
            </w:pPr>
            <w:r>
              <w:rPr>
                <w:rFonts w:hint="eastAsia"/>
                <w:snapToGrid w:val="0"/>
                <w:color w:val="auto"/>
                <w:kern w:val="0"/>
                <w:sz w:val="21"/>
                <w:szCs w:val="21"/>
                <w:lang w:val="en-US" w:eastAsia="zh-CN"/>
              </w:rPr>
              <w:t>m³/s，所选风机工况点风量为41m³/s。</w:t>
            </w:r>
          </w:p>
        </w:tc>
        <w:tc>
          <w:tcPr>
            <w:tcW w:w="344" w:type="pct"/>
            <w:tcBorders>
              <w:tl2br w:val="nil"/>
              <w:tr2bl w:val="nil"/>
            </w:tcBorders>
            <w:vAlign w:val="center"/>
          </w:tcPr>
          <w:p w14:paraId="05834A59">
            <w:pPr>
              <w:keepNext w:val="0"/>
              <w:keepLines/>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leftChars="0" w:right="0" w:rightChars="0" w:firstLine="0" w:firstLineChars="0"/>
              <w:jc w:val="center"/>
              <w:textAlignment w:val="auto"/>
              <w:rPr>
                <w:rFonts w:hint="eastAsia"/>
                <w:snapToGrid w:val="0"/>
                <w:color w:val="auto"/>
                <w:kern w:val="0"/>
                <w:sz w:val="21"/>
                <w:szCs w:val="21"/>
                <w:lang w:val="en-US" w:eastAsia="zh-CN"/>
              </w:rPr>
            </w:pPr>
            <w:r>
              <w:rPr>
                <w:rFonts w:hint="eastAsia"/>
                <w:snapToGrid w:val="0"/>
                <w:color w:val="auto"/>
                <w:kern w:val="0"/>
                <w:sz w:val="21"/>
                <w:szCs w:val="21"/>
                <w:lang w:val="en-US" w:eastAsia="zh-CN"/>
              </w:rPr>
              <w:t>符合</w:t>
            </w:r>
          </w:p>
        </w:tc>
      </w:tr>
      <w:tr w14:paraId="443F8BC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c>
          <w:tcPr>
            <w:tcW w:w="346" w:type="pct"/>
            <w:tcBorders>
              <w:tl2br w:val="nil"/>
              <w:tr2bl w:val="nil"/>
            </w:tcBorders>
            <w:vAlign w:val="center"/>
          </w:tcPr>
          <w:p w14:paraId="30A606F8">
            <w:pPr>
              <w:keepNext w:val="0"/>
              <w:keepLines/>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firstLine="0" w:firstLineChars="0"/>
              <w:jc w:val="center"/>
              <w:textAlignment w:val="auto"/>
              <w:rPr>
                <w:rFonts w:hint="eastAsia" w:hAnsi="宋体" w:eastAsia="宋体"/>
                <w:snapToGrid w:val="0"/>
                <w:color w:val="auto"/>
                <w:kern w:val="0"/>
                <w:sz w:val="21"/>
                <w:szCs w:val="21"/>
                <w:lang w:val="en-US" w:eastAsia="zh-CN"/>
              </w:rPr>
            </w:pPr>
            <w:r>
              <w:rPr>
                <w:rFonts w:hint="eastAsia"/>
                <w:snapToGrid w:val="0"/>
                <w:color w:val="auto"/>
                <w:kern w:val="0"/>
                <w:sz w:val="21"/>
                <w:szCs w:val="21"/>
                <w:lang w:val="en-US" w:eastAsia="zh-CN"/>
              </w:rPr>
              <w:t>7</w:t>
            </w:r>
          </w:p>
        </w:tc>
        <w:tc>
          <w:tcPr>
            <w:tcW w:w="1952" w:type="pct"/>
            <w:tcBorders>
              <w:tl2br w:val="nil"/>
              <w:tr2bl w:val="nil"/>
            </w:tcBorders>
            <w:vAlign w:val="center"/>
          </w:tcPr>
          <w:p w14:paraId="3A15C8DE">
            <w:pPr>
              <w:keepNext w:val="0"/>
              <w:keepLines/>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leftChars="0" w:right="0" w:rightChars="0" w:firstLine="0" w:firstLineChars="0"/>
              <w:textAlignment w:val="auto"/>
              <w:rPr>
                <w:rFonts w:hint="eastAsia" w:ascii="宋体" w:hAnsi="宋体" w:eastAsia="宋体" w:cstheme="minorBidi"/>
                <w:snapToGrid w:val="0"/>
                <w:color w:val="auto"/>
                <w:kern w:val="0"/>
                <w:sz w:val="21"/>
                <w:szCs w:val="21"/>
                <w:lang w:val="en-US" w:eastAsia="zh-CN" w:bidi="ar-SA"/>
              </w:rPr>
            </w:pPr>
            <w:r>
              <w:rPr>
                <w:rFonts w:hint="eastAsia" w:hAnsi="宋体"/>
                <w:snapToGrid w:val="0"/>
                <w:color w:val="auto"/>
                <w:kern w:val="0"/>
                <w:sz w:val="21"/>
                <w:szCs w:val="21"/>
              </w:rPr>
              <w:t>矿山形成系统通风、采场形成贯穿风流之前不应进行回采作业。</w:t>
            </w:r>
          </w:p>
        </w:tc>
        <w:tc>
          <w:tcPr>
            <w:tcW w:w="941" w:type="pct"/>
            <w:tcBorders>
              <w:tl2br w:val="nil"/>
              <w:tr2bl w:val="nil"/>
            </w:tcBorders>
            <w:vAlign w:val="center"/>
          </w:tcPr>
          <w:p w14:paraId="63ECCAB4">
            <w:pPr>
              <w:keepNext w:val="0"/>
              <w:keepLines/>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firstLine="0" w:firstLineChars="0"/>
              <w:jc w:val="center"/>
              <w:textAlignment w:val="auto"/>
              <w:rPr>
                <w:rFonts w:hint="default" w:hAnsi="宋体"/>
                <w:snapToGrid w:val="0"/>
                <w:color w:val="auto"/>
                <w:kern w:val="0"/>
                <w:sz w:val="21"/>
                <w:szCs w:val="21"/>
              </w:rPr>
            </w:pPr>
            <w:r>
              <w:rPr>
                <w:rFonts w:hint="eastAsia" w:hAnsi="宋体"/>
                <w:snapToGrid w:val="0"/>
                <w:color w:val="auto"/>
                <w:kern w:val="0"/>
                <w:sz w:val="21"/>
                <w:szCs w:val="21"/>
              </w:rPr>
              <w:t>《金属非金属矿山安全规程》(GB16423-2020)</w:t>
            </w:r>
          </w:p>
          <w:p w14:paraId="765050C0">
            <w:pPr>
              <w:keepNext w:val="0"/>
              <w:keepLines/>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leftChars="0" w:right="0" w:rightChars="0" w:firstLine="0" w:firstLineChars="0"/>
              <w:jc w:val="center"/>
              <w:textAlignment w:val="auto"/>
              <w:rPr>
                <w:rFonts w:hint="eastAsia" w:ascii="宋体" w:hAnsi="宋体" w:eastAsia="宋体" w:cstheme="minorBidi"/>
                <w:snapToGrid w:val="0"/>
                <w:color w:val="auto"/>
                <w:kern w:val="0"/>
                <w:sz w:val="21"/>
                <w:szCs w:val="21"/>
                <w:lang w:val="en-US" w:eastAsia="zh-CN" w:bidi="ar-SA"/>
              </w:rPr>
            </w:pPr>
            <w:r>
              <w:rPr>
                <w:rFonts w:hint="eastAsia" w:hAnsi="宋体"/>
                <w:snapToGrid w:val="0"/>
                <w:color w:val="auto"/>
                <w:kern w:val="0"/>
                <w:sz w:val="21"/>
                <w:szCs w:val="21"/>
              </w:rPr>
              <w:t>第6.6.2.3条</w:t>
            </w:r>
          </w:p>
        </w:tc>
        <w:tc>
          <w:tcPr>
            <w:tcW w:w="1414" w:type="pct"/>
            <w:tcBorders>
              <w:tl2br w:val="nil"/>
              <w:tr2bl w:val="nil"/>
            </w:tcBorders>
            <w:vAlign w:val="center"/>
          </w:tcPr>
          <w:p w14:paraId="717C213B">
            <w:pPr>
              <w:keepNext w:val="0"/>
              <w:keepLines/>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leftChars="0" w:right="0" w:rightChars="0" w:firstLine="0" w:firstLineChars="0"/>
              <w:textAlignment w:val="auto"/>
              <w:rPr>
                <w:rFonts w:hint="eastAsia" w:ascii="宋体" w:hAnsi="宋体" w:eastAsia="宋体" w:cstheme="minorBidi"/>
                <w:snapToGrid w:val="0"/>
                <w:color w:val="auto"/>
                <w:kern w:val="0"/>
                <w:sz w:val="21"/>
                <w:szCs w:val="21"/>
                <w:lang w:val="en-US" w:eastAsia="zh-CN" w:bidi="ar-SA"/>
              </w:rPr>
            </w:pPr>
            <w:r>
              <w:rPr>
                <w:rFonts w:hint="eastAsia"/>
                <w:color w:val="auto"/>
                <w:sz w:val="21"/>
                <w:szCs w:val="21"/>
              </w:rPr>
              <w:t>根据</w:t>
            </w:r>
            <w:r>
              <w:rPr>
                <w:rFonts w:hint="eastAsia"/>
                <w:color w:val="auto"/>
                <w:sz w:val="21"/>
                <w:szCs w:val="21"/>
                <w:lang w:eastAsia="zh-CN"/>
              </w:rPr>
              <w:t>可研报告</w:t>
            </w:r>
            <w:r>
              <w:rPr>
                <w:rFonts w:hint="eastAsia"/>
                <w:color w:val="auto"/>
                <w:sz w:val="21"/>
                <w:szCs w:val="21"/>
              </w:rPr>
              <w:t>，该矿山</w:t>
            </w:r>
            <w:r>
              <w:rPr>
                <w:rFonts w:hint="eastAsia" w:hAnsi="宋体"/>
                <w:snapToGrid w:val="0"/>
                <w:color w:val="auto"/>
                <w:kern w:val="0"/>
                <w:sz w:val="21"/>
                <w:szCs w:val="21"/>
              </w:rPr>
              <w:t>井下通风采用机械通风，在贯穿风流不能到达的工作面、通风难以控制或风阻较大的地方</w:t>
            </w:r>
            <w:r>
              <w:rPr>
                <w:rFonts w:hint="eastAsia"/>
                <w:snapToGrid w:val="0"/>
                <w:color w:val="auto"/>
                <w:kern w:val="0"/>
                <w:sz w:val="21"/>
                <w:szCs w:val="21"/>
                <w:lang w:val="en-US" w:eastAsia="zh-CN"/>
              </w:rPr>
              <w:t>拟</w:t>
            </w:r>
            <w:r>
              <w:rPr>
                <w:rFonts w:hint="eastAsia" w:hAnsi="宋体"/>
                <w:snapToGrid w:val="0"/>
                <w:color w:val="auto"/>
                <w:kern w:val="0"/>
                <w:sz w:val="21"/>
                <w:szCs w:val="21"/>
              </w:rPr>
              <w:t>采用局扇来进行局部通风</w:t>
            </w:r>
            <w:r>
              <w:rPr>
                <w:rFonts w:hint="eastAsia"/>
                <w:snapToGrid w:val="0"/>
                <w:color w:val="auto"/>
                <w:kern w:val="0"/>
                <w:sz w:val="21"/>
                <w:szCs w:val="21"/>
                <w:lang w:eastAsia="zh-CN"/>
              </w:rPr>
              <w:t>。</w:t>
            </w:r>
          </w:p>
        </w:tc>
        <w:tc>
          <w:tcPr>
            <w:tcW w:w="344" w:type="pct"/>
            <w:tcBorders>
              <w:tl2br w:val="nil"/>
              <w:tr2bl w:val="nil"/>
            </w:tcBorders>
            <w:vAlign w:val="center"/>
          </w:tcPr>
          <w:p w14:paraId="18B9A0CB">
            <w:pPr>
              <w:keepNext w:val="0"/>
              <w:keepLines/>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leftChars="0" w:right="0" w:rightChars="0" w:firstLine="0" w:firstLineChars="0"/>
              <w:jc w:val="center"/>
              <w:textAlignment w:val="auto"/>
              <w:rPr>
                <w:rFonts w:hint="eastAsia" w:ascii="宋体" w:hAnsi="宋体" w:eastAsia="宋体" w:cstheme="minorBidi"/>
                <w:snapToGrid w:val="0"/>
                <w:color w:val="auto"/>
                <w:kern w:val="0"/>
                <w:sz w:val="21"/>
                <w:szCs w:val="21"/>
                <w:lang w:val="en-US" w:eastAsia="zh-CN" w:bidi="ar-SA"/>
              </w:rPr>
            </w:pPr>
            <w:r>
              <w:rPr>
                <w:rFonts w:hint="eastAsia" w:hAnsi="宋体"/>
                <w:snapToGrid w:val="0"/>
                <w:color w:val="auto"/>
                <w:kern w:val="0"/>
                <w:sz w:val="21"/>
                <w:szCs w:val="21"/>
              </w:rPr>
              <w:t>符合</w:t>
            </w:r>
          </w:p>
        </w:tc>
      </w:tr>
      <w:tr w14:paraId="0CCCB04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c>
          <w:tcPr>
            <w:tcW w:w="346" w:type="pct"/>
            <w:tcBorders>
              <w:tl2br w:val="nil"/>
              <w:tr2bl w:val="nil"/>
            </w:tcBorders>
            <w:vAlign w:val="center"/>
          </w:tcPr>
          <w:p w14:paraId="7B0B33BD">
            <w:pPr>
              <w:keepNext w:val="0"/>
              <w:keepLines/>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firstLine="0" w:firstLineChars="0"/>
              <w:jc w:val="center"/>
              <w:textAlignment w:val="auto"/>
              <w:rPr>
                <w:rFonts w:hint="eastAsia" w:hAnsi="宋体" w:eastAsia="宋体"/>
                <w:snapToGrid w:val="0"/>
                <w:color w:val="auto"/>
                <w:kern w:val="0"/>
                <w:sz w:val="21"/>
                <w:szCs w:val="21"/>
                <w:lang w:val="en-US" w:eastAsia="zh-CN"/>
              </w:rPr>
            </w:pPr>
            <w:r>
              <w:rPr>
                <w:rFonts w:hint="eastAsia"/>
                <w:snapToGrid w:val="0"/>
                <w:color w:val="auto"/>
                <w:kern w:val="0"/>
                <w:sz w:val="21"/>
                <w:szCs w:val="21"/>
                <w:lang w:val="en-US" w:eastAsia="zh-CN"/>
              </w:rPr>
              <w:t>8</w:t>
            </w:r>
          </w:p>
        </w:tc>
        <w:tc>
          <w:tcPr>
            <w:tcW w:w="1952" w:type="pct"/>
            <w:tcBorders>
              <w:tl2br w:val="nil"/>
              <w:tr2bl w:val="nil"/>
            </w:tcBorders>
            <w:vAlign w:val="center"/>
          </w:tcPr>
          <w:p w14:paraId="761BF2C1">
            <w:pPr>
              <w:keepNext w:val="0"/>
              <w:keepLines/>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leftChars="0" w:right="0" w:rightChars="0" w:firstLine="0" w:firstLineChars="0"/>
              <w:textAlignment w:val="auto"/>
              <w:rPr>
                <w:rFonts w:hint="eastAsia" w:ascii="宋体" w:hAnsi="宋体" w:eastAsia="宋体" w:cstheme="minorBidi"/>
                <w:snapToGrid w:val="0"/>
                <w:color w:val="auto"/>
                <w:kern w:val="0"/>
                <w:sz w:val="21"/>
                <w:szCs w:val="21"/>
                <w:lang w:val="en-US" w:eastAsia="zh-CN" w:bidi="ar-SA"/>
              </w:rPr>
            </w:pPr>
            <w:r>
              <w:rPr>
                <w:rFonts w:hint="eastAsia" w:hAnsi="宋体"/>
                <w:snapToGrid w:val="0"/>
                <w:color w:val="auto"/>
                <w:kern w:val="0"/>
                <w:sz w:val="21"/>
                <w:szCs w:val="21"/>
              </w:rPr>
              <w:t>掘进工作面和通风不良的工作场所，应设局部通风设施，并应有防止其被撞击破坏的措施。</w:t>
            </w:r>
          </w:p>
        </w:tc>
        <w:tc>
          <w:tcPr>
            <w:tcW w:w="941" w:type="pct"/>
            <w:tcBorders>
              <w:tl2br w:val="nil"/>
              <w:tr2bl w:val="nil"/>
            </w:tcBorders>
            <w:vAlign w:val="center"/>
          </w:tcPr>
          <w:p w14:paraId="3DD326E1">
            <w:pPr>
              <w:keepNext w:val="0"/>
              <w:keepLines/>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firstLine="0" w:firstLineChars="0"/>
              <w:jc w:val="center"/>
              <w:textAlignment w:val="auto"/>
              <w:rPr>
                <w:rFonts w:hint="default" w:hAnsi="宋体"/>
                <w:snapToGrid w:val="0"/>
                <w:color w:val="auto"/>
                <w:kern w:val="0"/>
                <w:sz w:val="21"/>
                <w:szCs w:val="21"/>
              </w:rPr>
            </w:pPr>
            <w:r>
              <w:rPr>
                <w:rFonts w:hint="eastAsia" w:hAnsi="宋体"/>
                <w:snapToGrid w:val="0"/>
                <w:color w:val="auto"/>
                <w:kern w:val="0"/>
                <w:sz w:val="21"/>
                <w:szCs w:val="21"/>
              </w:rPr>
              <w:t>《金属非金属矿山安全规程》(GB16423-2020)</w:t>
            </w:r>
          </w:p>
          <w:p w14:paraId="0758F9E1">
            <w:pPr>
              <w:keepNext w:val="0"/>
              <w:keepLines/>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leftChars="0" w:right="0" w:rightChars="0" w:firstLine="0" w:firstLineChars="0"/>
              <w:jc w:val="center"/>
              <w:textAlignment w:val="auto"/>
              <w:rPr>
                <w:rFonts w:hint="eastAsia" w:ascii="宋体" w:hAnsi="宋体" w:eastAsia="宋体" w:cstheme="minorBidi"/>
                <w:snapToGrid w:val="0"/>
                <w:color w:val="auto"/>
                <w:kern w:val="0"/>
                <w:sz w:val="21"/>
                <w:szCs w:val="21"/>
                <w:lang w:val="en-US" w:eastAsia="zh-CN" w:bidi="ar-SA"/>
              </w:rPr>
            </w:pPr>
            <w:r>
              <w:rPr>
                <w:rFonts w:hint="eastAsia" w:hAnsi="宋体"/>
                <w:snapToGrid w:val="0"/>
                <w:color w:val="auto"/>
                <w:kern w:val="0"/>
                <w:sz w:val="21"/>
                <w:szCs w:val="21"/>
              </w:rPr>
              <w:t>第6.6.3.5条</w:t>
            </w:r>
          </w:p>
        </w:tc>
        <w:tc>
          <w:tcPr>
            <w:tcW w:w="1414" w:type="pct"/>
            <w:tcBorders>
              <w:tl2br w:val="nil"/>
              <w:tr2bl w:val="nil"/>
            </w:tcBorders>
            <w:vAlign w:val="center"/>
          </w:tcPr>
          <w:p w14:paraId="05273270">
            <w:pPr>
              <w:keepNext w:val="0"/>
              <w:keepLines/>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leftChars="0" w:right="0" w:rightChars="0" w:firstLine="0" w:firstLineChars="0"/>
              <w:textAlignment w:val="auto"/>
              <w:rPr>
                <w:rFonts w:hint="eastAsia" w:ascii="宋体" w:hAnsi="宋体" w:eastAsia="宋体" w:cstheme="minorBidi"/>
                <w:snapToGrid w:val="0"/>
                <w:color w:val="auto"/>
                <w:kern w:val="0"/>
                <w:sz w:val="21"/>
                <w:szCs w:val="21"/>
                <w:lang w:val="en-US" w:eastAsia="zh-CN" w:bidi="ar-SA"/>
              </w:rPr>
            </w:pPr>
            <w:r>
              <w:rPr>
                <w:rFonts w:hint="eastAsia" w:hAnsi="宋体" w:cs="宋体"/>
                <w:color w:val="auto"/>
                <w:sz w:val="21"/>
                <w:szCs w:val="21"/>
              </w:rPr>
              <w:t>矿山拟在掘进工作面和通风不良的工作场所增设</w:t>
            </w:r>
            <w:r>
              <w:rPr>
                <w:rFonts w:hint="eastAsia" w:cs="宋体"/>
                <w:color w:val="auto"/>
                <w:sz w:val="21"/>
                <w:szCs w:val="21"/>
                <w:lang w:val="en-US" w:eastAsia="zh-CN"/>
              </w:rPr>
              <w:t>JK</w:t>
            </w:r>
            <w:r>
              <w:rPr>
                <w:rFonts w:hint="eastAsia" w:hAnsi="宋体" w:cs="宋体"/>
                <w:color w:val="auto"/>
                <w:sz w:val="21"/>
                <w:szCs w:val="21"/>
              </w:rPr>
              <w:t>55-2N4.5型、JK58-1N4.5型局扇。</w:t>
            </w:r>
          </w:p>
        </w:tc>
        <w:tc>
          <w:tcPr>
            <w:tcW w:w="344" w:type="pct"/>
            <w:tcBorders>
              <w:tl2br w:val="nil"/>
              <w:tr2bl w:val="nil"/>
            </w:tcBorders>
            <w:vAlign w:val="center"/>
          </w:tcPr>
          <w:p w14:paraId="2913B035">
            <w:pPr>
              <w:keepNext w:val="0"/>
              <w:keepLines/>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leftChars="0" w:right="0" w:rightChars="0" w:firstLine="0" w:firstLineChars="0"/>
              <w:jc w:val="center"/>
              <w:textAlignment w:val="auto"/>
              <w:rPr>
                <w:rFonts w:hint="eastAsia" w:ascii="宋体" w:hAnsi="宋体" w:eastAsia="宋体" w:cstheme="minorBidi"/>
                <w:snapToGrid w:val="0"/>
                <w:color w:val="auto"/>
                <w:kern w:val="0"/>
                <w:sz w:val="21"/>
                <w:szCs w:val="21"/>
                <w:lang w:val="en-US" w:eastAsia="zh-CN" w:bidi="ar-SA"/>
              </w:rPr>
            </w:pPr>
            <w:r>
              <w:rPr>
                <w:rFonts w:hint="eastAsia" w:hAnsi="宋体"/>
                <w:snapToGrid w:val="0"/>
                <w:color w:val="auto"/>
                <w:kern w:val="0"/>
                <w:sz w:val="21"/>
                <w:szCs w:val="21"/>
              </w:rPr>
              <w:t>符合</w:t>
            </w:r>
          </w:p>
        </w:tc>
      </w:tr>
      <w:tr w14:paraId="080F8E2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c>
          <w:tcPr>
            <w:tcW w:w="346" w:type="pct"/>
            <w:tcBorders>
              <w:tl2br w:val="nil"/>
              <w:tr2bl w:val="nil"/>
            </w:tcBorders>
            <w:vAlign w:val="center"/>
          </w:tcPr>
          <w:p w14:paraId="3EADB74F">
            <w:pPr>
              <w:keepNext w:val="0"/>
              <w:keepLines/>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firstLine="0" w:firstLineChars="0"/>
              <w:jc w:val="center"/>
              <w:textAlignment w:val="auto"/>
              <w:rPr>
                <w:rFonts w:hint="eastAsia" w:hAnsi="宋体" w:eastAsia="宋体"/>
                <w:snapToGrid w:val="0"/>
                <w:color w:val="auto"/>
                <w:kern w:val="0"/>
                <w:sz w:val="21"/>
                <w:szCs w:val="21"/>
                <w:lang w:eastAsia="zh-CN"/>
              </w:rPr>
            </w:pPr>
            <w:r>
              <w:rPr>
                <w:rFonts w:hint="eastAsia"/>
                <w:snapToGrid w:val="0"/>
                <w:color w:val="auto"/>
                <w:kern w:val="0"/>
                <w:sz w:val="21"/>
                <w:szCs w:val="21"/>
                <w:lang w:val="en-US" w:eastAsia="zh-CN"/>
              </w:rPr>
              <w:t>9</w:t>
            </w:r>
          </w:p>
        </w:tc>
        <w:tc>
          <w:tcPr>
            <w:tcW w:w="1952" w:type="pct"/>
            <w:tcBorders>
              <w:tl2br w:val="nil"/>
              <w:tr2bl w:val="nil"/>
            </w:tcBorders>
            <w:vAlign w:val="center"/>
          </w:tcPr>
          <w:p w14:paraId="7AE9AE78">
            <w:pPr>
              <w:keepNext w:val="0"/>
              <w:keepLines/>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firstLine="0" w:firstLineChars="0"/>
              <w:textAlignment w:val="auto"/>
              <w:rPr>
                <w:rFonts w:hint="default" w:hAnsi="宋体"/>
                <w:snapToGrid w:val="0"/>
                <w:color w:val="auto"/>
                <w:kern w:val="0"/>
                <w:sz w:val="21"/>
                <w:szCs w:val="21"/>
              </w:rPr>
            </w:pPr>
            <w:r>
              <w:rPr>
                <w:rFonts w:hint="eastAsia" w:hAnsi="宋体"/>
                <w:snapToGrid w:val="0"/>
                <w:color w:val="auto"/>
                <w:kern w:val="0"/>
                <w:sz w:val="21"/>
                <w:szCs w:val="21"/>
              </w:rPr>
              <w:t>局部通风应采用阻燃风筒。</w:t>
            </w:r>
          </w:p>
        </w:tc>
        <w:tc>
          <w:tcPr>
            <w:tcW w:w="941" w:type="pct"/>
            <w:tcBorders>
              <w:tl2br w:val="nil"/>
              <w:tr2bl w:val="nil"/>
            </w:tcBorders>
            <w:vAlign w:val="center"/>
          </w:tcPr>
          <w:p w14:paraId="5FC6ED60">
            <w:pPr>
              <w:keepNext w:val="0"/>
              <w:keepLines/>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firstLine="0" w:firstLineChars="0"/>
              <w:jc w:val="center"/>
              <w:textAlignment w:val="auto"/>
              <w:rPr>
                <w:rFonts w:hint="default" w:hAnsi="宋体"/>
                <w:snapToGrid w:val="0"/>
                <w:color w:val="auto"/>
                <w:kern w:val="0"/>
                <w:sz w:val="21"/>
                <w:szCs w:val="21"/>
              </w:rPr>
            </w:pPr>
            <w:r>
              <w:rPr>
                <w:rFonts w:hint="eastAsia" w:hAnsi="宋体"/>
                <w:snapToGrid w:val="0"/>
                <w:color w:val="auto"/>
                <w:kern w:val="0"/>
                <w:sz w:val="21"/>
                <w:szCs w:val="21"/>
              </w:rPr>
              <w:t>《金属非金属矿山安全规程》(GB16423-2020)</w:t>
            </w:r>
          </w:p>
          <w:p w14:paraId="3E9B6B84">
            <w:pPr>
              <w:keepNext w:val="0"/>
              <w:keepLines/>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firstLine="0" w:firstLineChars="0"/>
              <w:jc w:val="center"/>
              <w:textAlignment w:val="auto"/>
              <w:rPr>
                <w:rFonts w:hint="default" w:hAnsi="宋体"/>
                <w:snapToGrid w:val="0"/>
                <w:color w:val="auto"/>
                <w:kern w:val="0"/>
                <w:sz w:val="21"/>
                <w:szCs w:val="21"/>
              </w:rPr>
            </w:pPr>
            <w:r>
              <w:rPr>
                <w:rFonts w:hint="eastAsia" w:hAnsi="宋体"/>
                <w:snapToGrid w:val="0"/>
                <w:color w:val="auto"/>
                <w:kern w:val="0"/>
                <w:sz w:val="21"/>
                <w:szCs w:val="21"/>
              </w:rPr>
              <w:t>第6.6.</w:t>
            </w:r>
            <w:r>
              <w:rPr>
                <w:rFonts w:hint="eastAsia"/>
                <w:snapToGrid w:val="0"/>
                <w:color w:val="auto"/>
                <w:kern w:val="0"/>
                <w:sz w:val="21"/>
                <w:szCs w:val="21"/>
                <w:lang w:val="en-US" w:eastAsia="zh-CN"/>
              </w:rPr>
              <w:t>3</w:t>
            </w:r>
            <w:r>
              <w:rPr>
                <w:rFonts w:hint="eastAsia" w:hAnsi="宋体"/>
                <w:snapToGrid w:val="0"/>
                <w:color w:val="auto"/>
                <w:kern w:val="0"/>
                <w:sz w:val="21"/>
                <w:szCs w:val="21"/>
              </w:rPr>
              <w:t>.</w:t>
            </w:r>
            <w:r>
              <w:rPr>
                <w:rFonts w:hint="eastAsia"/>
                <w:snapToGrid w:val="0"/>
                <w:color w:val="auto"/>
                <w:kern w:val="0"/>
                <w:sz w:val="21"/>
                <w:szCs w:val="21"/>
                <w:lang w:val="en-US" w:eastAsia="zh-CN"/>
              </w:rPr>
              <w:t>5</w:t>
            </w:r>
            <w:r>
              <w:rPr>
                <w:rFonts w:hint="eastAsia" w:hAnsi="宋体"/>
                <w:snapToGrid w:val="0"/>
                <w:color w:val="auto"/>
                <w:kern w:val="0"/>
                <w:sz w:val="21"/>
                <w:szCs w:val="21"/>
              </w:rPr>
              <w:t>条</w:t>
            </w:r>
          </w:p>
        </w:tc>
        <w:tc>
          <w:tcPr>
            <w:tcW w:w="1414" w:type="pct"/>
            <w:tcBorders>
              <w:tl2br w:val="nil"/>
              <w:tr2bl w:val="nil"/>
            </w:tcBorders>
            <w:vAlign w:val="center"/>
          </w:tcPr>
          <w:p w14:paraId="6630A8A0">
            <w:pPr>
              <w:keepNext w:val="0"/>
              <w:keepLines/>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firstLine="0" w:firstLineChars="0"/>
              <w:textAlignment w:val="auto"/>
              <w:rPr>
                <w:rFonts w:hint="default"/>
                <w:color w:val="auto"/>
                <w:sz w:val="21"/>
                <w:szCs w:val="21"/>
              </w:rPr>
            </w:pPr>
            <w:r>
              <w:rPr>
                <w:rFonts w:hint="eastAsia"/>
                <w:color w:val="auto"/>
                <w:sz w:val="21"/>
                <w:szCs w:val="21"/>
                <w:lang w:eastAsia="zh-CN"/>
              </w:rPr>
              <w:t>可研报告</w:t>
            </w:r>
            <w:r>
              <w:rPr>
                <w:rFonts w:hint="eastAsia"/>
                <w:color w:val="auto"/>
                <w:sz w:val="21"/>
                <w:szCs w:val="21"/>
                <w:lang w:val="en-US" w:eastAsia="zh-CN"/>
              </w:rPr>
              <w:t>未明确使用阻燃风筒</w:t>
            </w:r>
            <w:r>
              <w:rPr>
                <w:rFonts w:hint="eastAsia"/>
                <w:color w:val="auto"/>
                <w:sz w:val="21"/>
                <w:szCs w:val="21"/>
              </w:rPr>
              <w:t>。</w:t>
            </w:r>
          </w:p>
        </w:tc>
        <w:tc>
          <w:tcPr>
            <w:tcW w:w="344" w:type="pct"/>
            <w:tcBorders>
              <w:tl2br w:val="nil"/>
              <w:tr2bl w:val="nil"/>
            </w:tcBorders>
            <w:vAlign w:val="center"/>
          </w:tcPr>
          <w:p w14:paraId="1B1E74F9">
            <w:pPr>
              <w:keepNext w:val="0"/>
              <w:keepLines/>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firstLine="0" w:firstLineChars="0"/>
              <w:jc w:val="center"/>
              <w:textAlignment w:val="auto"/>
              <w:rPr>
                <w:rFonts w:hint="default" w:hAnsi="宋体"/>
                <w:snapToGrid w:val="0"/>
                <w:color w:val="auto"/>
                <w:kern w:val="0"/>
                <w:sz w:val="21"/>
                <w:szCs w:val="21"/>
              </w:rPr>
            </w:pPr>
            <w:r>
              <w:rPr>
                <w:rFonts w:hint="eastAsia"/>
                <w:snapToGrid w:val="0"/>
                <w:color w:val="auto"/>
                <w:kern w:val="0"/>
                <w:sz w:val="21"/>
                <w:szCs w:val="21"/>
                <w:lang w:val="en-US" w:eastAsia="zh-CN"/>
              </w:rPr>
              <w:t>不</w:t>
            </w:r>
            <w:r>
              <w:rPr>
                <w:rFonts w:hint="eastAsia" w:hAnsi="宋体"/>
                <w:snapToGrid w:val="0"/>
                <w:color w:val="auto"/>
                <w:kern w:val="0"/>
                <w:sz w:val="21"/>
                <w:szCs w:val="21"/>
              </w:rPr>
              <w:t>符合</w:t>
            </w:r>
          </w:p>
        </w:tc>
      </w:tr>
      <w:tr w14:paraId="58E7171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c>
          <w:tcPr>
            <w:tcW w:w="346" w:type="pct"/>
            <w:tcBorders>
              <w:tl2br w:val="nil"/>
              <w:tr2bl w:val="nil"/>
            </w:tcBorders>
            <w:vAlign w:val="center"/>
          </w:tcPr>
          <w:p w14:paraId="789D7B9D">
            <w:pPr>
              <w:keepNext w:val="0"/>
              <w:keepLines/>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firstLine="0" w:firstLineChars="0"/>
              <w:jc w:val="center"/>
              <w:textAlignment w:val="auto"/>
              <w:rPr>
                <w:rFonts w:hint="default" w:hAnsi="宋体" w:eastAsia="宋体"/>
                <w:snapToGrid w:val="0"/>
                <w:color w:val="auto"/>
                <w:kern w:val="0"/>
                <w:sz w:val="21"/>
                <w:szCs w:val="21"/>
                <w:lang w:val="en-US" w:eastAsia="zh-CN"/>
              </w:rPr>
            </w:pPr>
            <w:r>
              <w:rPr>
                <w:rFonts w:hint="eastAsia"/>
                <w:snapToGrid w:val="0"/>
                <w:color w:val="auto"/>
                <w:kern w:val="0"/>
                <w:sz w:val="21"/>
                <w:szCs w:val="21"/>
                <w:lang w:val="en-US" w:eastAsia="zh-CN"/>
              </w:rPr>
              <w:t>10</w:t>
            </w:r>
          </w:p>
        </w:tc>
        <w:tc>
          <w:tcPr>
            <w:tcW w:w="1952" w:type="pct"/>
            <w:tcBorders>
              <w:tl2br w:val="nil"/>
              <w:tr2bl w:val="nil"/>
            </w:tcBorders>
            <w:vAlign w:val="center"/>
          </w:tcPr>
          <w:p w14:paraId="19598A7F">
            <w:pPr>
              <w:keepNext w:val="0"/>
              <w:keepLines/>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firstLine="0" w:firstLineChars="0"/>
              <w:textAlignment w:val="auto"/>
              <w:rPr>
                <w:rFonts w:hint="default" w:hAnsi="宋体"/>
                <w:snapToGrid w:val="0"/>
                <w:color w:val="auto"/>
                <w:kern w:val="0"/>
                <w:sz w:val="21"/>
                <w:szCs w:val="21"/>
              </w:rPr>
            </w:pPr>
            <w:r>
              <w:rPr>
                <w:rFonts w:hint="eastAsia" w:hAnsi="宋体"/>
                <w:snapToGrid w:val="0"/>
                <w:color w:val="auto"/>
                <w:kern w:val="0"/>
                <w:sz w:val="21"/>
                <w:szCs w:val="21"/>
              </w:rPr>
              <w:t>采场回采结束后，应及时密闭采空区，并隔断影响正常通风的相关巷道。</w:t>
            </w:r>
          </w:p>
        </w:tc>
        <w:tc>
          <w:tcPr>
            <w:tcW w:w="941" w:type="pct"/>
            <w:tcBorders>
              <w:tl2br w:val="nil"/>
              <w:tr2bl w:val="nil"/>
            </w:tcBorders>
            <w:vAlign w:val="center"/>
          </w:tcPr>
          <w:p w14:paraId="5C9B0024">
            <w:pPr>
              <w:keepNext w:val="0"/>
              <w:keepLines/>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firstLine="0" w:firstLineChars="0"/>
              <w:jc w:val="center"/>
              <w:textAlignment w:val="auto"/>
              <w:rPr>
                <w:rFonts w:hint="default" w:hAnsi="宋体"/>
                <w:snapToGrid w:val="0"/>
                <w:color w:val="auto"/>
                <w:kern w:val="0"/>
                <w:sz w:val="21"/>
                <w:szCs w:val="21"/>
              </w:rPr>
            </w:pPr>
            <w:r>
              <w:rPr>
                <w:rFonts w:hint="eastAsia" w:hAnsi="宋体"/>
                <w:snapToGrid w:val="0"/>
                <w:color w:val="auto"/>
                <w:kern w:val="0"/>
                <w:sz w:val="21"/>
                <w:szCs w:val="21"/>
              </w:rPr>
              <w:t>《金属非金属矿山安全规程》(GB16423-2020)</w:t>
            </w:r>
          </w:p>
          <w:p w14:paraId="450EFE7E">
            <w:pPr>
              <w:keepNext w:val="0"/>
              <w:keepLines/>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firstLine="0" w:firstLineChars="0"/>
              <w:jc w:val="center"/>
              <w:textAlignment w:val="auto"/>
              <w:rPr>
                <w:rFonts w:hint="default" w:hAnsi="宋体"/>
                <w:snapToGrid w:val="0"/>
                <w:color w:val="auto"/>
                <w:kern w:val="0"/>
                <w:sz w:val="21"/>
                <w:szCs w:val="21"/>
              </w:rPr>
            </w:pPr>
            <w:r>
              <w:rPr>
                <w:rFonts w:hint="eastAsia" w:hAnsi="宋体"/>
                <w:snapToGrid w:val="0"/>
                <w:color w:val="auto"/>
                <w:kern w:val="0"/>
                <w:sz w:val="21"/>
                <w:szCs w:val="21"/>
              </w:rPr>
              <w:t>第6.6.2.8条</w:t>
            </w:r>
          </w:p>
        </w:tc>
        <w:tc>
          <w:tcPr>
            <w:tcW w:w="1414" w:type="pct"/>
            <w:tcBorders>
              <w:tl2br w:val="nil"/>
              <w:tr2bl w:val="nil"/>
            </w:tcBorders>
            <w:vAlign w:val="center"/>
          </w:tcPr>
          <w:p w14:paraId="5E6CF5E0">
            <w:pPr>
              <w:keepNext w:val="0"/>
              <w:keepLines/>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firstLine="0" w:firstLineChars="0"/>
              <w:textAlignment w:val="auto"/>
              <w:rPr>
                <w:rFonts w:hint="default" w:hAnsi="宋体"/>
                <w:snapToGrid w:val="0"/>
                <w:color w:val="auto"/>
                <w:kern w:val="0"/>
                <w:sz w:val="21"/>
                <w:szCs w:val="21"/>
              </w:rPr>
            </w:pPr>
            <w:r>
              <w:rPr>
                <w:rFonts w:hint="eastAsia"/>
                <w:snapToGrid w:val="0"/>
                <w:color w:val="auto"/>
                <w:kern w:val="0"/>
                <w:sz w:val="21"/>
                <w:szCs w:val="21"/>
                <w:lang w:val="en-US" w:eastAsia="zh-CN"/>
              </w:rPr>
              <w:t>回采结束后，对采空区采用密闭墙进行封闭处理</w:t>
            </w:r>
            <w:r>
              <w:rPr>
                <w:rFonts w:hint="eastAsia" w:hAnsi="宋体"/>
                <w:snapToGrid w:val="0"/>
                <w:color w:val="auto"/>
                <w:kern w:val="0"/>
                <w:sz w:val="21"/>
                <w:szCs w:val="21"/>
              </w:rPr>
              <w:t>。</w:t>
            </w:r>
          </w:p>
        </w:tc>
        <w:tc>
          <w:tcPr>
            <w:tcW w:w="344" w:type="pct"/>
            <w:tcBorders>
              <w:tl2br w:val="nil"/>
              <w:tr2bl w:val="nil"/>
            </w:tcBorders>
            <w:vAlign w:val="center"/>
          </w:tcPr>
          <w:p w14:paraId="4528FA13">
            <w:pPr>
              <w:keepNext w:val="0"/>
              <w:keepLines/>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firstLine="0" w:firstLineChars="0"/>
              <w:jc w:val="center"/>
              <w:textAlignment w:val="auto"/>
              <w:rPr>
                <w:rFonts w:hint="default" w:hAnsi="宋体"/>
                <w:snapToGrid w:val="0"/>
                <w:color w:val="auto"/>
                <w:kern w:val="0"/>
                <w:sz w:val="21"/>
                <w:szCs w:val="21"/>
              </w:rPr>
            </w:pPr>
            <w:r>
              <w:rPr>
                <w:rFonts w:hint="eastAsia" w:hAnsi="宋体"/>
                <w:snapToGrid w:val="0"/>
                <w:color w:val="auto"/>
                <w:kern w:val="0"/>
                <w:sz w:val="21"/>
                <w:szCs w:val="21"/>
              </w:rPr>
              <w:t>符合</w:t>
            </w:r>
          </w:p>
        </w:tc>
      </w:tr>
      <w:tr w14:paraId="57CBF37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c>
          <w:tcPr>
            <w:tcW w:w="346" w:type="pct"/>
            <w:tcBorders>
              <w:tl2br w:val="nil"/>
              <w:tr2bl w:val="nil"/>
            </w:tcBorders>
            <w:vAlign w:val="center"/>
          </w:tcPr>
          <w:p w14:paraId="1BD30819">
            <w:pPr>
              <w:keepNext w:val="0"/>
              <w:keepLines/>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firstLine="0" w:firstLineChars="0"/>
              <w:jc w:val="center"/>
              <w:textAlignment w:val="auto"/>
              <w:rPr>
                <w:rFonts w:hint="default" w:hAnsi="宋体" w:eastAsia="宋体"/>
                <w:snapToGrid w:val="0"/>
                <w:color w:val="auto"/>
                <w:kern w:val="0"/>
                <w:sz w:val="21"/>
                <w:szCs w:val="21"/>
                <w:lang w:val="en-US" w:eastAsia="zh-CN"/>
              </w:rPr>
            </w:pPr>
            <w:r>
              <w:rPr>
                <w:rFonts w:hint="eastAsia"/>
                <w:snapToGrid w:val="0"/>
                <w:color w:val="auto"/>
                <w:kern w:val="0"/>
                <w:sz w:val="21"/>
                <w:szCs w:val="21"/>
                <w:lang w:val="en-US" w:eastAsia="zh-CN"/>
              </w:rPr>
              <w:t>11</w:t>
            </w:r>
          </w:p>
        </w:tc>
        <w:tc>
          <w:tcPr>
            <w:tcW w:w="1952" w:type="pct"/>
            <w:tcBorders>
              <w:tl2br w:val="nil"/>
              <w:tr2bl w:val="nil"/>
            </w:tcBorders>
            <w:vAlign w:val="center"/>
          </w:tcPr>
          <w:p w14:paraId="41E8A609">
            <w:pPr>
              <w:keepNext w:val="0"/>
              <w:keepLines/>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firstLine="0" w:firstLineChars="0"/>
              <w:textAlignment w:val="auto"/>
              <w:rPr>
                <w:rFonts w:hint="default" w:hAnsi="宋体"/>
                <w:snapToGrid w:val="0"/>
                <w:color w:val="auto"/>
                <w:kern w:val="0"/>
                <w:sz w:val="21"/>
                <w:szCs w:val="21"/>
              </w:rPr>
            </w:pPr>
            <w:r>
              <w:rPr>
                <w:rFonts w:hint="eastAsia" w:hAnsi="宋体"/>
                <w:snapToGrid w:val="0"/>
                <w:color w:val="auto"/>
                <w:kern w:val="0"/>
                <w:sz w:val="21"/>
                <w:szCs w:val="21"/>
              </w:rPr>
              <w:t>停止作业且无贯穿风流的采场、独立巷道，应设栅栏和警示标志，防止人员进入。重新进入前，应进行通风并检测空气成分，确认安全后方准进入。</w:t>
            </w:r>
          </w:p>
        </w:tc>
        <w:tc>
          <w:tcPr>
            <w:tcW w:w="941" w:type="pct"/>
            <w:tcBorders>
              <w:tl2br w:val="nil"/>
              <w:tr2bl w:val="nil"/>
            </w:tcBorders>
            <w:vAlign w:val="center"/>
          </w:tcPr>
          <w:p w14:paraId="7174B740">
            <w:pPr>
              <w:keepNext w:val="0"/>
              <w:keepLines/>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firstLine="0" w:firstLineChars="0"/>
              <w:jc w:val="center"/>
              <w:textAlignment w:val="auto"/>
              <w:rPr>
                <w:rFonts w:hint="default" w:hAnsi="宋体"/>
                <w:snapToGrid w:val="0"/>
                <w:color w:val="auto"/>
                <w:kern w:val="0"/>
                <w:sz w:val="21"/>
                <w:szCs w:val="21"/>
              </w:rPr>
            </w:pPr>
            <w:r>
              <w:rPr>
                <w:rFonts w:hint="eastAsia" w:hAnsi="宋体"/>
                <w:snapToGrid w:val="0"/>
                <w:color w:val="auto"/>
                <w:kern w:val="0"/>
                <w:sz w:val="21"/>
                <w:szCs w:val="21"/>
              </w:rPr>
              <w:t>《金属非金属矿山安全规程》(GB16423-2020)</w:t>
            </w:r>
          </w:p>
          <w:p w14:paraId="1D3DE97A">
            <w:pPr>
              <w:keepNext w:val="0"/>
              <w:keepLines/>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firstLine="0" w:firstLineChars="0"/>
              <w:jc w:val="center"/>
              <w:textAlignment w:val="auto"/>
              <w:rPr>
                <w:rFonts w:hint="default" w:hAnsi="宋体"/>
                <w:snapToGrid w:val="0"/>
                <w:color w:val="auto"/>
                <w:kern w:val="0"/>
                <w:sz w:val="21"/>
                <w:szCs w:val="21"/>
              </w:rPr>
            </w:pPr>
            <w:r>
              <w:rPr>
                <w:rFonts w:hint="eastAsia" w:hAnsi="宋体"/>
                <w:snapToGrid w:val="0"/>
                <w:color w:val="auto"/>
                <w:kern w:val="0"/>
                <w:sz w:val="21"/>
                <w:szCs w:val="21"/>
              </w:rPr>
              <w:t>第6.6.3.8条</w:t>
            </w:r>
          </w:p>
        </w:tc>
        <w:tc>
          <w:tcPr>
            <w:tcW w:w="1414" w:type="pct"/>
            <w:tcBorders>
              <w:tl2br w:val="nil"/>
              <w:tr2bl w:val="nil"/>
            </w:tcBorders>
            <w:vAlign w:val="center"/>
          </w:tcPr>
          <w:p w14:paraId="1A010AE6">
            <w:pPr>
              <w:keepNext w:val="0"/>
              <w:keepLines/>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firstLine="0" w:firstLineChars="0"/>
              <w:textAlignment w:val="auto"/>
              <w:rPr>
                <w:rFonts w:hint="default" w:hAnsi="宋体" w:cs="宋体"/>
                <w:color w:val="auto"/>
                <w:sz w:val="21"/>
                <w:szCs w:val="21"/>
              </w:rPr>
            </w:pPr>
            <w:r>
              <w:rPr>
                <w:rFonts w:hint="eastAsia" w:hAnsi="宋体" w:cs="宋体"/>
                <w:color w:val="auto"/>
                <w:sz w:val="21"/>
                <w:szCs w:val="21"/>
              </w:rPr>
              <w:t>设置警示标志，以避免人员误入。</w:t>
            </w:r>
          </w:p>
        </w:tc>
        <w:tc>
          <w:tcPr>
            <w:tcW w:w="344" w:type="pct"/>
            <w:tcBorders>
              <w:tl2br w:val="nil"/>
              <w:tr2bl w:val="nil"/>
            </w:tcBorders>
            <w:vAlign w:val="center"/>
          </w:tcPr>
          <w:p w14:paraId="23AD352A">
            <w:pPr>
              <w:keepNext w:val="0"/>
              <w:keepLines/>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firstLine="0" w:firstLineChars="0"/>
              <w:jc w:val="center"/>
              <w:textAlignment w:val="auto"/>
              <w:rPr>
                <w:rFonts w:hint="default" w:hAnsi="宋体"/>
                <w:snapToGrid w:val="0"/>
                <w:color w:val="auto"/>
                <w:kern w:val="0"/>
                <w:sz w:val="21"/>
                <w:szCs w:val="21"/>
              </w:rPr>
            </w:pPr>
            <w:r>
              <w:rPr>
                <w:rFonts w:hint="eastAsia" w:hAnsi="宋体"/>
                <w:snapToGrid w:val="0"/>
                <w:color w:val="auto"/>
                <w:kern w:val="0"/>
                <w:sz w:val="21"/>
                <w:szCs w:val="21"/>
              </w:rPr>
              <w:t>符合</w:t>
            </w:r>
          </w:p>
        </w:tc>
      </w:tr>
      <w:tr w14:paraId="0A865C7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c>
          <w:tcPr>
            <w:tcW w:w="346" w:type="pct"/>
            <w:tcBorders>
              <w:tl2br w:val="nil"/>
              <w:tr2bl w:val="nil"/>
            </w:tcBorders>
            <w:vAlign w:val="center"/>
          </w:tcPr>
          <w:p w14:paraId="165EA279">
            <w:pPr>
              <w:keepNext w:val="0"/>
              <w:keepLines/>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firstLine="0" w:firstLineChars="0"/>
              <w:jc w:val="center"/>
              <w:textAlignment w:val="auto"/>
              <w:rPr>
                <w:rFonts w:hint="default" w:hAnsi="宋体" w:eastAsia="宋体"/>
                <w:snapToGrid w:val="0"/>
                <w:color w:val="auto"/>
                <w:kern w:val="0"/>
                <w:sz w:val="21"/>
                <w:szCs w:val="21"/>
                <w:lang w:val="en-US" w:eastAsia="zh-CN"/>
              </w:rPr>
            </w:pPr>
            <w:r>
              <w:rPr>
                <w:rFonts w:hint="eastAsia"/>
                <w:snapToGrid w:val="0"/>
                <w:color w:val="auto"/>
                <w:kern w:val="0"/>
                <w:sz w:val="21"/>
                <w:szCs w:val="21"/>
                <w:lang w:val="en-US" w:eastAsia="zh-CN"/>
              </w:rPr>
              <w:t>12</w:t>
            </w:r>
          </w:p>
        </w:tc>
        <w:tc>
          <w:tcPr>
            <w:tcW w:w="1952" w:type="pct"/>
            <w:tcBorders>
              <w:tl2br w:val="nil"/>
              <w:tr2bl w:val="nil"/>
            </w:tcBorders>
            <w:vAlign w:val="center"/>
          </w:tcPr>
          <w:p w14:paraId="1D1C665C">
            <w:pPr>
              <w:keepNext w:val="0"/>
              <w:keepLines/>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firstLine="0" w:firstLineChars="0"/>
              <w:textAlignment w:val="auto"/>
              <w:rPr>
                <w:rFonts w:hint="eastAsia" w:hAnsi="宋体"/>
                <w:snapToGrid w:val="0"/>
                <w:color w:val="auto"/>
                <w:kern w:val="0"/>
                <w:sz w:val="21"/>
                <w:szCs w:val="21"/>
              </w:rPr>
            </w:pPr>
            <w:r>
              <w:rPr>
                <w:rFonts w:hint="eastAsia" w:hAnsi="宋体"/>
                <w:snapToGrid w:val="0"/>
                <w:color w:val="auto"/>
                <w:kern w:val="0"/>
                <w:sz w:val="21"/>
                <w:szCs w:val="21"/>
                <w:lang w:val="en-US" w:eastAsia="zh-CN"/>
              </w:rPr>
              <w:t>通风构筑物(风门、风桥、风窗和挡风墙等)的建筑应牢固、密闭性好，应由专人负责检查维护、保持严密完好状态。</w:t>
            </w:r>
          </w:p>
        </w:tc>
        <w:tc>
          <w:tcPr>
            <w:tcW w:w="941" w:type="pct"/>
            <w:tcBorders>
              <w:tl2br w:val="nil"/>
              <w:tr2bl w:val="nil"/>
            </w:tcBorders>
            <w:vAlign w:val="center"/>
          </w:tcPr>
          <w:p w14:paraId="51864F10">
            <w:pPr>
              <w:keepNext w:val="0"/>
              <w:keepLines/>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firstLine="0" w:firstLineChars="0"/>
              <w:jc w:val="center"/>
              <w:textAlignment w:val="auto"/>
              <w:rPr>
                <w:rFonts w:hint="eastAsia" w:hAnsi="宋体"/>
                <w:snapToGrid w:val="0"/>
                <w:color w:val="auto"/>
                <w:kern w:val="0"/>
                <w:sz w:val="21"/>
                <w:szCs w:val="21"/>
              </w:rPr>
            </w:pPr>
            <w:r>
              <w:rPr>
                <w:rFonts w:hint="eastAsia"/>
                <w:snapToGrid w:val="0"/>
                <w:color w:val="auto"/>
                <w:kern w:val="0"/>
                <w:sz w:val="21"/>
                <w:szCs w:val="21"/>
                <w:lang w:val="en-US" w:eastAsia="zh-CN"/>
              </w:rPr>
              <w:t>《</w:t>
            </w:r>
            <w:r>
              <w:rPr>
                <w:rFonts w:hint="eastAsia" w:hAnsi="宋体"/>
                <w:snapToGrid w:val="0"/>
                <w:color w:val="auto"/>
                <w:kern w:val="0"/>
                <w:sz w:val="21"/>
                <w:szCs w:val="21"/>
                <w:lang w:val="en-US" w:eastAsia="zh-CN"/>
              </w:rPr>
              <w:t>金属非金属地下矿山通风技术规范通风系统</w:t>
            </w:r>
            <w:r>
              <w:rPr>
                <w:rFonts w:hint="eastAsia"/>
                <w:snapToGrid w:val="0"/>
                <w:color w:val="auto"/>
                <w:kern w:val="0"/>
                <w:sz w:val="21"/>
                <w:szCs w:val="21"/>
                <w:lang w:val="en-US" w:eastAsia="zh-CN"/>
              </w:rPr>
              <w:t>》</w:t>
            </w:r>
            <w:r>
              <w:rPr>
                <w:rFonts w:hint="eastAsia" w:hAnsi="宋体"/>
                <w:snapToGrid w:val="0"/>
                <w:color w:val="auto"/>
                <w:kern w:val="0"/>
                <w:sz w:val="21"/>
                <w:szCs w:val="21"/>
              </w:rPr>
              <w:t>(</w:t>
            </w:r>
            <w:r>
              <w:rPr>
                <w:rFonts w:hint="eastAsia"/>
                <w:snapToGrid w:val="0"/>
                <w:color w:val="auto"/>
                <w:kern w:val="0"/>
                <w:sz w:val="21"/>
                <w:szCs w:val="21"/>
                <w:lang w:val="en-US" w:eastAsia="zh-CN"/>
              </w:rPr>
              <w:t>AQ2013.1</w:t>
            </w:r>
            <w:r>
              <w:rPr>
                <w:rFonts w:hint="eastAsia" w:hAnsi="宋体"/>
                <w:snapToGrid w:val="0"/>
                <w:color w:val="auto"/>
                <w:kern w:val="0"/>
                <w:sz w:val="21"/>
                <w:szCs w:val="21"/>
              </w:rPr>
              <w:t>-20</w:t>
            </w:r>
            <w:r>
              <w:rPr>
                <w:rFonts w:hint="eastAsia"/>
                <w:snapToGrid w:val="0"/>
                <w:color w:val="auto"/>
                <w:kern w:val="0"/>
                <w:sz w:val="21"/>
                <w:szCs w:val="21"/>
                <w:lang w:val="en-US" w:eastAsia="zh-CN"/>
              </w:rPr>
              <w:t>08</w:t>
            </w:r>
            <w:r>
              <w:rPr>
                <w:rFonts w:hint="eastAsia" w:hAnsi="宋体"/>
                <w:snapToGrid w:val="0"/>
                <w:color w:val="auto"/>
                <w:kern w:val="0"/>
                <w:sz w:val="21"/>
                <w:szCs w:val="21"/>
              </w:rPr>
              <w:t>)第6.</w:t>
            </w:r>
            <w:r>
              <w:rPr>
                <w:rFonts w:hint="eastAsia"/>
                <w:snapToGrid w:val="0"/>
                <w:color w:val="auto"/>
                <w:kern w:val="0"/>
                <w:sz w:val="21"/>
                <w:szCs w:val="21"/>
                <w:lang w:val="en-US" w:eastAsia="zh-CN"/>
              </w:rPr>
              <w:t>4.1</w:t>
            </w:r>
            <w:r>
              <w:rPr>
                <w:rFonts w:hint="eastAsia" w:hAnsi="宋体"/>
                <w:snapToGrid w:val="0"/>
                <w:color w:val="auto"/>
                <w:kern w:val="0"/>
                <w:sz w:val="21"/>
                <w:szCs w:val="21"/>
              </w:rPr>
              <w:t>条</w:t>
            </w:r>
          </w:p>
          <w:p w14:paraId="564E7A68">
            <w:pPr>
              <w:keepNext w:val="0"/>
              <w:keepLines/>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firstLine="0" w:firstLineChars="0"/>
              <w:jc w:val="center"/>
              <w:textAlignment w:val="auto"/>
              <w:rPr>
                <w:rFonts w:hint="eastAsia" w:hAnsi="宋体"/>
                <w:snapToGrid w:val="0"/>
                <w:color w:val="auto"/>
                <w:kern w:val="0"/>
                <w:sz w:val="21"/>
                <w:szCs w:val="21"/>
              </w:rPr>
            </w:pPr>
          </w:p>
        </w:tc>
        <w:tc>
          <w:tcPr>
            <w:tcW w:w="1414" w:type="pct"/>
            <w:tcBorders>
              <w:tl2br w:val="nil"/>
              <w:tr2bl w:val="nil"/>
            </w:tcBorders>
            <w:vAlign w:val="center"/>
          </w:tcPr>
          <w:p w14:paraId="0D7B6087">
            <w:pPr>
              <w:keepNext w:val="0"/>
              <w:keepLines/>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firstLine="0" w:firstLineChars="0"/>
              <w:textAlignment w:val="auto"/>
              <w:rPr>
                <w:rFonts w:hint="eastAsia" w:hAnsi="宋体" w:eastAsia="宋体" w:cs="宋体"/>
                <w:color w:val="auto"/>
                <w:sz w:val="21"/>
                <w:szCs w:val="21"/>
                <w:lang w:eastAsia="zh-CN"/>
              </w:rPr>
            </w:pPr>
            <w:r>
              <w:rPr>
                <w:rFonts w:hint="eastAsia" w:hAnsi="宋体" w:cs="宋体"/>
                <w:color w:val="auto"/>
                <w:sz w:val="21"/>
                <w:szCs w:val="21"/>
                <w:lang w:val="en-US" w:eastAsia="zh-CN"/>
              </w:rPr>
              <w:t>矿井</w:t>
            </w:r>
            <w:r>
              <w:rPr>
                <w:rFonts w:hint="eastAsia" w:cs="宋体"/>
                <w:color w:val="auto"/>
                <w:sz w:val="21"/>
                <w:szCs w:val="21"/>
                <w:lang w:val="en-US" w:eastAsia="zh-CN"/>
              </w:rPr>
              <w:t>拟</w:t>
            </w:r>
            <w:r>
              <w:rPr>
                <w:rFonts w:hint="eastAsia" w:hAnsi="宋体" w:cs="宋体"/>
                <w:color w:val="auto"/>
                <w:sz w:val="21"/>
                <w:szCs w:val="21"/>
              </w:rPr>
              <w:t>设置风门、</w:t>
            </w:r>
            <w:r>
              <w:rPr>
                <w:rFonts w:hint="eastAsia" w:cs="宋体"/>
                <w:color w:val="auto"/>
                <w:sz w:val="21"/>
                <w:szCs w:val="21"/>
                <w:lang w:eastAsia="zh-CN"/>
              </w:rPr>
              <w:t>风墙</w:t>
            </w:r>
            <w:r>
              <w:rPr>
                <w:rFonts w:hint="eastAsia" w:hAnsi="宋体" w:cs="宋体"/>
                <w:color w:val="auto"/>
                <w:sz w:val="21"/>
                <w:szCs w:val="21"/>
              </w:rPr>
              <w:t>等通风构筑物</w:t>
            </w:r>
            <w:r>
              <w:rPr>
                <w:rFonts w:hint="eastAsia" w:hAnsi="宋体" w:cs="宋体"/>
                <w:color w:val="auto"/>
                <w:sz w:val="21"/>
                <w:szCs w:val="21"/>
                <w:lang w:eastAsia="zh-CN"/>
              </w:rPr>
              <w:t>，</w:t>
            </w:r>
            <w:r>
              <w:rPr>
                <w:rFonts w:hint="eastAsia" w:hAnsi="宋体" w:cs="宋体"/>
                <w:color w:val="auto"/>
                <w:sz w:val="21"/>
                <w:szCs w:val="21"/>
                <w:lang w:val="en-US" w:eastAsia="zh-CN"/>
              </w:rPr>
              <w:t>专人负责</w:t>
            </w:r>
            <w:r>
              <w:rPr>
                <w:rFonts w:hint="eastAsia" w:hAnsi="宋体" w:cs="宋体"/>
                <w:color w:val="auto"/>
                <w:sz w:val="21"/>
                <w:szCs w:val="21"/>
              </w:rPr>
              <w:t>通风管理</w:t>
            </w:r>
            <w:r>
              <w:rPr>
                <w:rFonts w:hint="eastAsia" w:hAnsi="宋体" w:cs="宋体"/>
                <w:color w:val="auto"/>
                <w:sz w:val="21"/>
                <w:szCs w:val="21"/>
                <w:lang w:eastAsia="zh-CN"/>
              </w:rPr>
              <w:t>。</w:t>
            </w:r>
          </w:p>
        </w:tc>
        <w:tc>
          <w:tcPr>
            <w:tcW w:w="344" w:type="pct"/>
            <w:tcBorders>
              <w:tl2br w:val="nil"/>
              <w:tr2bl w:val="nil"/>
            </w:tcBorders>
            <w:vAlign w:val="center"/>
          </w:tcPr>
          <w:p w14:paraId="568A423E">
            <w:pPr>
              <w:keepNext w:val="0"/>
              <w:keepLines/>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leftChars="0" w:right="0" w:rightChars="0" w:firstLine="0" w:firstLineChars="0"/>
              <w:jc w:val="center"/>
              <w:textAlignment w:val="auto"/>
              <w:rPr>
                <w:rFonts w:hint="eastAsia" w:ascii="宋体" w:hAnsi="宋体" w:eastAsia="宋体" w:cstheme="minorBidi"/>
                <w:snapToGrid w:val="0"/>
                <w:color w:val="auto"/>
                <w:kern w:val="0"/>
                <w:sz w:val="21"/>
                <w:szCs w:val="21"/>
                <w:lang w:val="en-US" w:eastAsia="zh-CN" w:bidi="ar-SA"/>
              </w:rPr>
            </w:pPr>
            <w:r>
              <w:rPr>
                <w:rFonts w:hint="eastAsia" w:hAnsi="宋体"/>
                <w:snapToGrid w:val="0"/>
                <w:color w:val="auto"/>
                <w:kern w:val="0"/>
                <w:sz w:val="21"/>
                <w:szCs w:val="21"/>
              </w:rPr>
              <w:t>符合</w:t>
            </w:r>
          </w:p>
        </w:tc>
      </w:tr>
      <w:tr w14:paraId="718D8A3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c>
          <w:tcPr>
            <w:tcW w:w="346" w:type="pct"/>
            <w:tcBorders>
              <w:tl2br w:val="nil"/>
              <w:tr2bl w:val="nil"/>
            </w:tcBorders>
            <w:vAlign w:val="center"/>
          </w:tcPr>
          <w:p w14:paraId="37CBC26B">
            <w:pPr>
              <w:keepNext w:val="0"/>
              <w:keepLines/>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firstLine="0" w:firstLineChars="0"/>
              <w:jc w:val="center"/>
              <w:textAlignment w:val="auto"/>
              <w:rPr>
                <w:rFonts w:hint="default"/>
                <w:snapToGrid w:val="0"/>
                <w:color w:val="auto"/>
                <w:kern w:val="0"/>
                <w:sz w:val="21"/>
                <w:szCs w:val="21"/>
                <w:lang w:val="en-US" w:eastAsia="zh-CN"/>
              </w:rPr>
            </w:pPr>
            <w:bookmarkStart w:id="122" w:name="_Toc2678"/>
            <w:r>
              <w:rPr>
                <w:rFonts w:hint="eastAsia"/>
                <w:snapToGrid w:val="0"/>
                <w:color w:val="auto"/>
                <w:kern w:val="0"/>
                <w:sz w:val="21"/>
                <w:szCs w:val="21"/>
                <w:lang w:val="en-US" w:eastAsia="zh-CN"/>
              </w:rPr>
              <w:t>13</w:t>
            </w:r>
          </w:p>
        </w:tc>
        <w:tc>
          <w:tcPr>
            <w:tcW w:w="1952" w:type="pct"/>
            <w:tcBorders>
              <w:tl2br w:val="nil"/>
              <w:tr2bl w:val="nil"/>
            </w:tcBorders>
            <w:shd w:val="clear" w:color="auto" w:fill="auto"/>
            <w:vAlign w:val="center"/>
          </w:tcPr>
          <w:p w14:paraId="30440C4D">
            <w:pPr>
              <w:pStyle w:val="40"/>
              <w:keepNext w:val="0"/>
              <w:keepLines w:val="0"/>
              <w:suppressLineNumbers w:val="0"/>
              <w:spacing w:before="0" w:beforeAutospacing="0" w:after="0" w:afterAutospacing="0" w:line="320" w:lineRule="exact"/>
              <w:ind w:left="0" w:right="0" w:firstLine="0" w:firstLineChars="0"/>
              <w:jc w:val="both"/>
              <w:rPr>
                <w:rFonts w:hint="eastAsia" w:ascii="Times New Roman" w:hAnsi="宋体" w:eastAsia="Times New Roman" w:cstheme="minorBidi"/>
                <w:color w:val="auto"/>
                <w:kern w:val="44"/>
                <w:sz w:val="21"/>
                <w:szCs w:val="21"/>
                <w:lang w:val="en-US" w:eastAsia="zh-CN" w:bidi="ar-SA"/>
              </w:rPr>
            </w:pPr>
            <w:r>
              <w:rPr>
                <w:rFonts w:hint="eastAsia"/>
                <w:color w:val="auto"/>
                <w:szCs w:val="21"/>
              </w:rPr>
              <w:t>设备的转动部件外围应设防护罩或栏杆。</w:t>
            </w:r>
          </w:p>
        </w:tc>
        <w:tc>
          <w:tcPr>
            <w:tcW w:w="941" w:type="pct"/>
            <w:tcBorders>
              <w:tl2br w:val="nil"/>
              <w:tr2bl w:val="nil"/>
            </w:tcBorders>
            <w:shd w:val="clear" w:color="auto" w:fill="auto"/>
            <w:vAlign w:val="center"/>
          </w:tcPr>
          <w:p w14:paraId="4CF432BF">
            <w:pPr>
              <w:keepNext w:val="0"/>
              <w:keepLines w:val="0"/>
              <w:widowControl/>
              <w:suppressLineNumbers w:val="0"/>
              <w:spacing w:before="0" w:beforeAutospacing="0" w:after="0" w:afterAutospacing="0" w:line="320" w:lineRule="exact"/>
              <w:ind w:left="0" w:right="0" w:firstLine="0" w:firstLineChars="0"/>
              <w:jc w:val="center"/>
              <w:rPr>
                <w:rFonts w:hint="default"/>
                <w:color w:val="auto"/>
                <w:sz w:val="21"/>
                <w:szCs w:val="21"/>
              </w:rPr>
            </w:pPr>
            <w:r>
              <w:rPr>
                <w:rFonts w:hint="eastAsia"/>
                <w:color w:val="auto"/>
                <w:kern w:val="0"/>
                <w:sz w:val="21"/>
                <w:szCs w:val="21"/>
              </w:rPr>
              <w:t>《金属非金属矿山安全规程》</w:t>
            </w:r>
            <w:r>
              <w:rPr>
                <w:rFonts w:hint="eastAsia"/>
                <w:color w:val="auto"/>
                <w:sz w:val="21"/>
                <w:szCs w:val="21"/>
              </w:rPr>
              <w:t>(</w:t>
            </w:r>
            <w:r>
              <w:rPr>
                <w:rFonts w:hint="default"/>
                <w:color w:val="auto"/>
                <w:sz w:val="21"/>
                <w:szCs w:val="21"/>
              </w:rPr>
              <w:t>GB16423-2020</w:t>
            </w:r>
            <w:r>
              <w:rPr>
                <w:rFonts w:hint="eastAsia"/>
                <w:color w:val="auto"/>
                <w:sz w:val="21"/>
                <w:szCs w:val="21"/>
              </w:rPr>
              <w:t>)</w:t>
            </w:r>
          </w:p>
          <w:p w14:paraId="58A85ED6">
            <w:pPr>
              <w:keepNext w:val="0"/>
              <w:keepLines w:val="0"/>
              <w:widowControl/>
              <w:suppressLineNumbers w:val="0"/>
              <w:spacing w:before="0" w:beforeAutospacing="0" w:after="0" w:afterAutospacing="0" w:line="320" w:lineRule="exact"/>
              <w:ind w:left="0" w:right="0" w:firstLine="0" w:firstLineChars="0"/>
              <w:jc w:val="center"/>
              <w:rPr>
                <w:rFonts w:hint="eastAsia" w:ascii="宋体" w:hAnsi="宋体" w:eastAsia="宋体" w:cstheme="minorBidi"/>
                <w:color w:val="auto"/>
                <w:kern w:val="0"/>
                <w:sz w:val="21"/>
                <w:szCs w:val="21"/>
                <w:lang w:val="en-US" w:eastAsia="zh-CN" w:bidi="ar-SA"/>
              </w:rPr>
            </w:pPr>
            <w:r>
              <w:rPr>
                <w:rFonts w:hint="eastAsia"/>
                <w:color w:val="auto"/>
                <w:sz w:val="21"/>
                <w:szCs w:val="21"/>
              </w:rPr>
              <w:t>第6.3.1.8条</w:t>
            </w:r>
          </w:p>
        </w:tc>
        <w:tc>
          <w:tcPr>
            <w:tcW w:w="1414" w:type="pct"/>
            <w:tcBorders>
              <w:tl2br w:val="nil"/>
              <w:tr2bl w:val="nil"/>
            </w:tcBorders>
            <w:shd w:val="clear" w:color="auto" w:fill="auto"/>
            <w:vAlign w:val="center"/>
          </w:tcPr>
          <w:p w14:paraId="0EAD4EFA">
            <w:pPr>
              <w:pStyle w:val="40"/>
              <w:keepNext w:val="0"/>
              <w:keepLines w:val="0"/>
              <w:suppressLineNumbers w:val="0"/>
              <w:spacing w:before="0" w:beforeAutospacing="0" w:after="0" w:afterAutospacing="0" w:line="320" w:lineRule="exact"/>
              <w:ind w:left="0" w:right="0" w:firstLine="0" w:firstLineChars="0"/>
              <w:jc w:val="both"/>
              <w:rPr>
                <w:rFonts w:hint="eastAsia" w:ascii="Times New Roman" w:hAnsi="宋体" w:eastAsia="宋体" w:cstheme="minorBidi"/>
                <w:color w:val="auto"/>
                <w:kern w:val="44"/>
                <w:sz w:val="21"/>
                <w:szCs w:val="21"/>
                <w:lang w:val="en-US" w:eastAsia="zh-CN" w:bidi="ar-SA"/>
              </w:rPr>
            </w:pPr>
            <w:r>
              <w:rPr>
                <w:rFonts w:hint="eastAsia" w:eastAsia="宋体"/>
                <w:color w:val="auto"/>
                <w:szCs w:val="21"/>
                <w:lang w:val="en-US" w:eastAsia="zh-CN"/>
              </w:rPr>
              <w:t>可研未提及风机的安全防护措施</w:t>
            </w:r>
            <w:r>
              <w:rPr>
                <w:rFonts w:hint="eastAsia" w:eastAsia="宋体"/>
                <w:color w:val="auto"/>
                <w:szCs w:val="21"/>
                <w:lang w:eastAsia="zh-CN"/>
              </w:rPr>
              <w:t>。</w:t>
            </w:r>
          </w:p>
        </w:tc>
        <w:tc>
          <w:tcPr>
            <w:tcW w:w="344" w:type="pct"/>
            <w:tcBorders>
              <w:tl2br w:val="nil"/>
              <w:tr2bl w:val="nil"/>
            </w:tcBorders>
            <w:vAlign w:val="center"/>
          </w:tcPr>
          <w:p w14:paraId="478071D9">
            <w:pPr>
              <w:keepNext w:val="0"/>
              <w:keepLines/>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leftChars="0" w:right="0" w:rightChars="0" w:firstLine="0" w:firstLineChars="0"/>
              <w:jc w:val="center"/>
              <w:textAlignment w:val="auto"/>
              <w:rPr>
                <w:rFonts w:hint="eastAsia" w:hAnsi="宋体" w:eastAsia="宋体"/>
                <w:snapToGrid w:val="0"/>
                <w:color w:val="auto"/>
                <w:kern w:val="0"/>
                <w:sz w:val="21"/>
                <w:szCs w:val="21"/>
                <w:lang w:val="en-US" w:eastAsia="zh-CN"/>
              </w:rPr>
            </w:pPr>
            <w:r>
              <w:rPr>
                <w:rFonts w:hint="eastAsia"/>
                <w:snapToGrid w:val="0"/>
                <w:color w:val="auto"/>
                <w:kern w:val="0"/>
                <w:sz w:val="21"/>
                <w:szCs w:val="21"/>
                <w:lang w:val="en-US" w:eastAsia="zh-CN"/>
              </w:rPr>
              <w:t>不符合</w:t>
            </w:r>
          </w:p>
        </w:tc>
      </w:tr>
    </w:tbl>
    <w:p w14:paraId="08FF83C9">
      <w:pPr>
        <w:keepNext w:val="0"/>
        <w:keepLines w:val="0"/>
        <w:pageBreakBefore w:val="0"/>
        <w:widowControl w:val="0"/>
        <w:kinsoku/>
        <w:wordWrap/>
        <w:overflowPunct/>
        <w:topLinePunct w:val="0"/>
        <w:autoSpaceDE/>
        <w:autoSpaceDN/>
        <w:bidi w:val="0"/>
        <w:adjustRightInd/>
        <w:snapToGrid/>
        <w:ind w:firstLine="560"/>
        <w:textAlignment w:val="auto"/>
        <w:outlineLvl w:val="9"/>
        <w:rPr>
          <w:rFonts w:hint="eastAsia"/>
          <w:color w:val="auto"/>
        </w:rPr>
      </w:pPr>
      <w:r>
        <w:rPr>
          <w:rFonts w:hint="eastAsia"/>
          <w:color w:val="auto"/>
        </w:rPr>
        <w:t>经检查</w:t>
      </w:r>
      <w:r>
        <w:rPr>
          <w:rFonts w:hint="eastAsia"/>
          <w:color w:val="auto"/>
          <w:lang w:eastAsia="zh-CN"/>
        </w:rPr>
        <w:t>，</w:t>
      </w:r>
      <w:r>
        <w:rPr>
          <w:rFonts w:hint="eastAsia"/>
          <w:color w:val="auto"/>
          <w:lang w:val="en-US" w:eastAsia="zh-CN"/>
        </w:rPr>
        <w:t>可研</w:t>
      </w:r>
      <w:r>
        <w:rPr>
          <w:rFonts w:hint="eastAsia"/>
          <w:color w:val="auto"/>
        </w:rPr>
        <w:t>报告通风方案总体符合《金属非金属矿山安全规程》(</w:t>
      </w:r>
      <w:r>
        <w:rPr>
          <w:rFonts w:hint="eastAsia"/>
          <w:color w:val="auto"/>
          <w:lang w:eastAsia="zh-CN"/>
        </w:rPr>
        <w:t>GBl6423-2020</w:t>
      </w:r>
      <w:r>
        <w:rPr>
          <w:rFonts w:hint="eastAsia"/>
          <w:color w:val="auto"/>
        </w:rPr>
        <w:t>)及相关规范要求，详见单元总结。</w:t>
      </w:r>
    </w:p>
    <w:p w14:paraId="03C74BDA">
      <w:pPr>
        <w:keepLines/>
        <w:spacing w:before="120" w:after="120"/>
        <w:ind w:firstLine="0" w:firstLineChars="0"/>
        <w:outlineLvl w:val="2"/>
        <w:rPr>
          <w:rFonts w:hint="eastAsia" w:ascii="黑体" w:hAnsi="宋体" w:eastAsia="黑体" w:cs="宋体"/>
          <w:color w:val="auto"/>
          <w:szCs w:val="28"/>
          <w:lang w:val="en-US" w:eastAsia="zh-CN"/>
        </w:rPr>
      </w:pPr>
      <w:r>
        <w:rPr>
          <w:rFonts w:hint="eastAsia" w:ascii="黑体" w:hAnsi="黑体" w:eastAsia="黑体"/>
          <w:color w:val="auto"/>
          <w:szCs w:val="20"/>
        </w:rPr>
        <w:t>3.</w:t>
      </w:r>
      <w:r>
        <w:rPr>
          <w:rFonts w:hint="eastAsia" w:ascii="黑体" w:hAnsi="黑体" w:eastAsia="黑体"/>
          <w:color w:val="auto"/>
          <w:szCs w:val="20"/>
          <w:lang w:val="en-US" w:eastAsia="zh-CN"/>
        </w:rPr>
        <w:t>5</w:t>
      </w:r>
      <w:r>
        <w:rPr>
          <w:rFonts w:hint="eastAsia" w:ascii="黑体" w:hAnsi="黑体" w:eastAsia="黑体"/>
          <w:color w:val="auto"/>
          <w:szCs w:val="20"/>
        </w:rPr>
        <w:t>.</w:t>
      </w:r>
      <w:r>
        <w:rPr>
          <w:rFonts w:hint="eastAsia" w:ascii="黑体" w:hAnsi="黑体" w:eastAsia="黑体"/>
          <w:color w:val="auto"/>
          <w:szCs w:val="20"/>
          <w:lang w:val="en-US" w:eastAsia="zh-CN"/>
        </w:rPr>
        <w:t>3</w:t>
      </w:r>
      <w:r>
        <w:rPr>
          <w:rFonts w:hint="eastAsia" w:ascii="黑体" w:hAnsi="黑体" w:eastAsia="黑体"/>
          <w:color w:val="auto"/>
          <w:szCs w:val="20"/>
        </w:rPr>
        <w:t xml:space="preserve"> </w:t>
      </w:r>
      <w:r>
        <w:rPr>
          <w:rFonts w:hint="eastAsia" w:ascii="黑体" w:hAnsi="黑体" w:eastAsia="黑体"/>
          <w:color w:val="auto"/>
          <w:szCs w:val="20"/>
          <w:lang w:eastAsia="zh-CN"/>
        </w:rPr>
        <w:t>单元评价总结</w:t>
      </w:r>
    </w:p>
    <w:p w14:paraId="66547423">
      <w:pPr>
        <w:ind w:firstLine="560"/>
        <w:rPr>
          <w:rFonts w:hint="eastAsia"/>
          <w:color w:val="auto"/>
        </w:rPr>
      </w:pPr>
      <w:r>
        <w:rPr>
          <w:rFonts w:hint="eastAsia"/>
          <w:color w:val="auto"/>
        </w:rPr>
        <w:t>1、</w:t>
      </w:r>
      <w:r>
        <w:rPr>
          <w:rFonts w:hint="eastAsia"/>
          <w:color w:val="auto"/>
          <w:lang w:val="en-US" w:eastAsia="zh-CN"/>
        </w:rPr>
        <w:t>可研</w:t>
      </w:r>
      <w:r>
        <w:rPr>
          <w:rFonts w:hint="eastAsia"/>
          <w:color w:val="auto"/>
        </w:rPr>
        <w:t>报告设计的机械抽出式通风，通风方案总体可行。</w:t>
      </w:r>
    </w:p>
    <w:p w14:paraId="5BD55A3D">
      <w:pPr>
        <w:ind w:firstLine="560"/>
        <w:rPr>
          <w:rFonts w:hint="eastAsia"/>
          <w:color w:val="auto"/>
        </w:rPr>
      </w:pPr>
      <w:r>
        <w:rPr>
          <w:rFonts w:hint="eastAsia"/>
          <w:color w:val="auto"/>
        </w:rPr>
        <w:t>2、通过预先危险性分析得知中毒窒息危险等级为Ⅲ级，可造成人员伤亡，应引起高度重视，应加以防范；机械伤害、粉尘危害等级为Ⅱ级，可危及作业人员健康，亦应采取有效防治措施予以控制。</w:t>
      </w:r>
    </w:p>
    <w:p w14:paraId="41083285">
      <w:pPr>
        <w:ind w:firstLine="560"/>
        <w:rPr>
          <w:rFonts w:hint="default" w:eastAsia="宋体"/>
          <w:color w:val="auto"/>
          <w:lang w:val="en-US" w:eastAsia="zh-CN"/>
        </w:rPr>
      </w:pPr>
      <w:r>
        <w:rPr>
          <w:rFonts w:hint="eastAsia"/>
          <w:color w:val="auto"/>
          <w:lang w:val="en-US" w:eastAsia="zh-CN"/>
        </w:rPr>
        <w:t>3、下一步安全设施设计中应明确采用阻燃风筒及风筒直径、风机口的安全防护措施。</w:t>
      </w:r>
    </w:p>
    <w:p w14:paraId="710B16B8">
      <w:pPr>
        <w:pStyle w:val="3"/>
        <w:spacing w:before="120" w:beforeLines="0" w:after="120" w:afterLines="0" w:line="560" w:lineRule="exact"/>
        <w:rPr>
          <w:color w:val="auto"/>
        </w:rPr>
      </w:pPr>
      <w:bookmarkStart w:id="123" w:name="_Toc25382"/>
      <w:r>
        <w:rPr>
          <w:rFonts w:hint="eastAsia"/>
          <w:color w:val="auto"/>
        </w:rPr>
        <w:t>3.</w:t>
      </w:r>
      <w:r>
        <w:rPr>
          <w:rFonts w:hint="eastAsia"/>
          <w:color w:val="auto"/>
          <w:lang w:val="en-US" w:eastAsia="zh-CN"/>
        </w:rPr>
        <w:t>6</w:t>
      </w:r>
      <w:r>
        <w:rPr>
          <w:rFonts w:hint="eastAsia"/>
          <w:color w:val="auto"/>
        </w:rPr>
        <w:t xml:space="preserve"> 供配电设施单元</w:t>
      </w:r>
      <w:bookmarkEnd w:id="122"/>
      <w:bookmarkEnd w:id="123"/>
    </w:p>
    <w:p w14:paraId="2875716A">
      <w:pPr>
        <w:pStyle w:val="4"/>
        <w:keepNext w:val="0"/>
        <w:tabs>
          <w:tab w:val="left" w:pos="8265"/>
        </w:tabs>
        <w:spacing w:before="120" w:beforeLines="0" w:after="120" w:afterLines="0"/>
        <w:rPr>
          <w:color w:val="auto"/>
        </w:rPr>
      </w:pPr>
      <w:r>
        <w:rPr>
          <w:rFonts w:hint="eastAsia"/>
          <w:color w:val="auto"/>
        </w:rPr>
        <w:t>3.</w:t>
      </w:r>
      <w:r>
        <w:rPr>
          <w:rFonts w:hint="eastAsia"/>
          <w:color w:val="auto"/>
          <w:lang w:val="en-US" w:eastAsia="zh-CN"/>
        </w:rPr>
        <w:t>6</w:t>
      </w:r>
      <w:r>
        <w:rPr>
          <w:rFonts w:hint="eastAsia"/>
          <w:color w:val="auto"/>
        </w:rPr>
        <w:t>.1 供配电设施单元危险、有害因素评价</w:t>
      </w:r>
    </w:p>
    <w:p w14:paraId="73A6DFE4">
      <w:pPr>
        <w:ind w:firstLine="560"/>
        <w:rPr>
          <w:rFonts w:hint="default" w:eastAsia="宋体"/>
          <w:color w:val="auto"/>
          <w:lang w:val="en-US" w:eastAsia="zh-CN"/>
        </w:rPr>
      </w:pPr>
      <w:r>
        <w:rPr>
          <w:color w:val="auto"/>
        </w:rPr>
        <w:t>该矿</w:t>
      </w:r>
      <w:r>
        <w:rPr>
          <w:rFonts w:hint="eastAsia"/>
          <w:color w:val="auto"/>
        </w:rPr>
        <w:t>山</w:t>
      </w:r>
      <w:r>
        <w:rPr>
          <w:color w:val="auto"/>
        </w:rPr>
        <w:t>为地下开采，井上</w:t>
      </w:r>
      <w:r>
        <w:rPr>
          <w:rFonts w:hint="eastAsia"/>
          <w:color w:val="auto"/>
        </w:rPr>
        <w:t>、</w:t>
      </w:r>
      <w:r>
        <w:rPr>
          <w:color w:val="auto"/>
        </w:rPr>
        <w:t>下均有用电设备，如果管理不善，易发生电气火灾和作业人员触电伤害事故。</w:t>
      </w:r>
      <w:r>
        <w:rPr>
          <w:rFonts w:hint="eastAsia"/>
          <w:color w:val="auto"/>
        </w:rPr>
        <w:t>矿山供配电设施单元预先危险性分析见下表3.</w:t>
      </w:r>
      <w:r>
        <w:rPr>
          <w:rFonts w:hint="eastAsia"/>
          <w:color w:val="auto"/>
          <w:lang w:val="en-US" w:eastAsia="zh-CN"/>
        </w:rPr>
        <w:t>6</w:t>
      </w:r>
      <w:r>
        <w:rPr>
          <w:rFonts w:hint="eastAsia"/>
          <w:color w:val="auto"/>
        </w:rPr>
        <w:t>-1。</w:t>
      </w:r>
    </w:p>
    <w:p w14:paraId="37056ED0">
      <w:pPr>
        <w:keepNext w:val="0"/>
        <w:keepLines/>
        <w:pageBreakBefore w:val="0"/>
        <w:widowControl w:val="0"/>
        <w:kinsoku/>
        <w:wordWrap/>
        <w:overflowPunct/>
        <w:topLinePunct w:val="0"/>
        <w:autoSpaceDE/>
        <w:autoSpaceDN/>
        <w:bidi w:val="0"/>
        <w:adjustRightInd/>
        <w:snapToGrid/>
        <w:ind w:firstLine="0" w:firstLineChars="0"/>
        <w:jc w:val="center"/>
        <w:textAlignment w:val="auto"/>
        <w:rPr>
          <w:b/>
          <w:color w:val="auto"/>
          <w:szCs w:val="28"/>
        </w:rPr>
      </w:pPr>
      <w:r>
        <w:rPr>
          <w:rFonts w:hint="eastAsia"/>
          <w:b/>
          <w:color w:val="auto"/>
          <w:szCs w:val="28"/>
        </w:rPr>
        <w:t>表3.</w:t>
      </w:r>
      <w:r>
        <w:rPr>
          <w:rFonts w:hint="eastAsia"/>
          <w:b/>
          <w:color w:val="auto"/>
          <w:szCs w:val="28"/>
          <w:lang w:val="en-US" w:eastAsia="zh-CN"/>
        </w:rPr>
        <w:t>6</w:t>
      </w:r>
      <w:r>
        <w:rPr>
          <w:rFonts w:hint="eastAsia"/>
          <w:b/>
          <w:color w:val="auto"/>
          <w:szCs w:val="28"/>
        </w:rPr>
        <w:t>-1 供配电设施预先危险性分析表</w:t>
      </w:r>
    </w:p>
    <w:tbl>
      <w:tblPr>
        <w:tblStyle w:val="24"/>
        <w:tblW w:w="4998"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586"/>
        <w:gridCol w:w="5613"/>
        <w:gridCol w:w="661"/>
        <w:gridCol w:w="1278"/>
        <w:gridCol w:w="631"/>
        <w:gridCol w:w="741"/>
      </w:tblGrid>
      <w:tr w14:paraId="012718A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blHeader/>
          <w:jc w:val="center"/>
        </w:trPr>
        <w:tc>
          <w:tcPr>
            <w:tcW w:w="314" w:type="pct"/>
            <w:tcBorders>
              <w:tl2br w:val="nil"/>
              <w:tr2bl w:val="nil"/>
            </w:tcBorders>
            <w:vAlign w:val="center"/>
          </w:tcPr>
          <w:p w14:paraId="016CCB0A">
            <w:pPr>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default" w:hAnsi="宋体" w:cs="宋体"/>
                <w:b/>
                <w:bCs/>
                <w:color w:val="auto"/>
                <w:sz w:val="21"/>
                <w:szCs w:val="21"/>
              </w:rPr>
            </w:pPr>
            <w:r>
              <w:rPr>
                <w:rFonts w:hint="eastAsia" w:hAnsi="宋体" w:cs="宋体"/>
                <w:b/>
                <w:bCs/>
                <w:color w:val="auto"/>
                <w:sz w:val="21"/>
                <w:szCs w:val="21"/>
              </w:rPr>
              <w:t>危险因素</w:t>
            </w:r>
          </w:p>
        </w:tc>
        <w:tc>
          <w:tcPr>
            <w:tcW w:w="2955" w:type="pct"/>
            <w:tcBorders>
              <w:tl2br w:val="nil"/>
              <w:tr2bl w:val="nil"/>
            </w:tcBorders>
            <w:vAlign w:val="center"/>
          </w:tcPr>
          <w:p w14:paraId="6F89F5FD">
            <w:pPr>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default" w:hAnsi="宋体" w:cs="宋体"/>
                <w:b/>
                <w:bCs/>
                <w:color w:val="auto"/>
                <w:sz w:val="21"/>
                <w:szCs w:val="21"/>
              </w:rPr>
            </w:pPr>
            <w:r>
              <w:rPr>
                <w:rFonts w:hint="eastAsia" w:hAnsi="宋体" w:cs="宋体"/>
                <w:b/>
                <w:bCs/>
                <w:color w:val="auto"/>
                <w:sz w:val="21"/>
                <w:szCs w:val="21"/>
              </w:rPr>
              <w:t>触发事件及原因分析</w:t>
            </w:r>
          </w:p>
        </w:tc>
        <w:tc>
          <w:tcPr>
            <w:tcW w:w="353" w:type="pct"/>
            <w:tcBorders>
              <w:tl2br w:val="nil"/>
              <w:tr2bl w:val="nil"/>
            </w:tcBorders>
            <w:vAlign w:val="center"/>
          </w:tcPr>
          <w:p w14:paraId="2DF7E47C">
            <w:pPr>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default" w:hAnsi="宋体" w:cs="宋体"/>
                <w:b/>
                <w:bCs/>
                <w:color w:val="auto"/>
                <w:sz w:val="21"/>
                <w:szCs w:val="21"/>
              </w:rPr>
            </w:pPr>
            <w:r>
              <w:rPr>
                <w:rFonts w:hint="eastAsia" w:hAnsi="宋体" w:cs="宋体"/>
                <w:b/>
                <w:bCs/>
                <w:color w:val="auto"/>
                <w:sz w:val="21"/>
                <w:szCs w:val="21"/>
              </w:rPr>
              <w:t>表现方式</w:t>
            </w:r>
          </w:p>
        </w:tc>
        <w:tc>
          <w:tcPr>
            <w:tcW w:w="677" w:type="pct"/>
            <w:tcBorders>
              <w:tl2br w:val="nil"/>
              <w:tr2bl w:val="nil"/>
            </w:tcBorders>
            <w:vAlign w:val="center"/>
          </w:tcPr>
          <w:p w14:paraId="11787710">
            <w:pPr>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auto"/>
              <w:rPr>
                <w:rFonts w:hint="eastAsia" w:ascii="宋体" w:hAnsi="宋体" w:eastAsia="宋体" w:cs="宋体"/>
                <w:b/>
                <w:bCs/>
                <w:color w:val="auto"/>
                <w:kern w:val="2"/>
                <w:sz w:val="21"/>
                <w:szCs w:val="21"/>
                <w:lang w:val="en-US" w:eastAsia="zh-CN" w:bidi="ar-SA"/>
              </w:rPr>
            </w:pPr>
            <w:r>
              <w:rPr>
                <w:rFonts w:hint="eastAsia" w:hAnsi="宋体" w:cs="宋体"/>
                <w:b/>
                <w:bCs/>
                <w:color w:val="auto"/>
                <w:sz w:val="21"/>
                <w:szCs w:val="21"/>
              </w:rPr>
              <w:t>事故后果</w:t>
            </w:r>
            <w:r>
              <w:rPr>
                <w:rFonts w:hint="eastAsia" w:hAnsi="宋体" w:cs="宋体"/>
                <w:b/>
                <w:bCs/>
                <w:color w:val="auto"/>
                <w:sz w:val="21"/>
                <w:szCs w:val="21"/>
                <w:lang w:eastAsia="zh-CN"/>
              </w:rPr>
              <w:t>及危害程度</w:t>
            </w:r>
          </w:p>
        </w:tc>
        <w:tc>
          <w:tcPr>
            <w:tcW w:w="337" w:type="pct"/>
            <w:tcBorders>
              <w:tl2br w:val="nil"/>
              <w:tr2bl w:val="nil"/>
            </w:tcBorders>
            <w:vAlign w:val="center"/>
          </w:tcPr>
          <w:p w14:paraId="3DFBB8B2">
            <w:pPr>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default" w:hAnsi="宋体" w:cs="宋体"/>
                <w:b/>
                <w:bCs/>
                <w:color w:val="auto"/>
                <w:sz w:val="21"/>
                <w:szCs w:val="21"/>
              </w:rPr>
            </w:pPr>
            <w:r>
              <w:rPr>
                <w:rFonts w:hint="eastAsia" w:hAnsi="宋体" w:cs="宋体"/>
                <w:b/>
                <w:bCs/>
                <w:color w:val="auto"/>
                <w:sz w:val="21"/>
                <w:szCs w:val="21"/>
              </w:rPr>
              <w:t>危险等级</w:t>
            </w:r>
          </w:p>
        </w:tc>
        <w:tc>
          <w:tcPr>
            <w:tcW w:w="360" w:type="pct"/>
            <w:tcBorders>
              <w:tl2br w:val="nil"/>
              <w:tr2bl w:val="nil"/>
            </w:tcBorders>
            <w:vAlign w:val="center"/>
          </w:tcPr>
          <w:p w14:paraId="5C80A2FC">
            <w:pPr>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eastAsia" w:hAnsi="宋体" w:eastAsia="宋体" w:cs="宋体"/>
                <w:b/>
                <w:bCs/>
                <w:color w:val="auto"/>
                <w:sz w:val="21"/>
                <w:szCs w:val="21"/>
                <w:lang w:eastAsia="zh-CN"/>
              </w:rPr>
            </w:pPr>
            <w:r>
              <w:rPr>
                <w:rFonts w:hint="eastAsia" w:cs="宋体"/>
                <w:b/>
                <w:bCs/>
                <w:color w:val="auto"/>
                <w:sz w:val="21"/>
                <w:szCs w:val="21"/>
                <w:lang w:eastAsia="zh-CN"/>
              </w:rPr>
              <w:t>预防措施</w:t>
            </w:r>
          </w:p>
        </w:tc>
      </w:tr>
      <w:tr w14:paraId="3D3D649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65" w:hRule="atLeast"/>
          <w:jc w:val="center"/>
        </w:trPr>
        <w:tc>
          <w:tcPr>
            <w:tcW w:w="314" w:type="pct"/>
            <w:tcBorders>
              <w:tl2br w:val="nil"/>
              <w:tr2bl w:val="nil"/>
            </w:tcBorders>
            <w:vAlign w:val="center"/>
          </w:tcPr>
          <w:p w14:paraId="0F68E2D7">
            <w:pPr>
              <w:keepNext w:val="0"/>
              <w:keepLines w:val="0"/>
              <w:pageBreakBefore w:val="0"/>
              <w:widowControl w:val="0"/>
              <w:suppressLineNumbers w:val="0"/>
              <w:tabs>
                <w:tab w:val="left" w:pos="7080"/>
              </w:tabs>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default" w:hAnsi="宋体" w:cs="宋体"/>
                <w:color w:val="auto"/>
                <w:sz w:val="21"/>
                <w:szCs w:val="21"/>
              </w:rPr>
            </w:pPr>
            <w:r>
              <w:rPr>
                <w:rFonts w:hint="eastAsia" w:hAnsi="宋体" w:cs="宋体"/>
                <w:color w:val="auto"/>
                <w:sz w:val="21"/>
                <w:szCs w:val="21"/>
              </w:rPr>
              <w:t>电气火灾</w:t>
            </w:r>
          </w:p>
        </w:tc>
        <w:tc>
          <w:tcPr>
            <w:tcW w:w="2955" w:type="pct"/>
            <w:tcBorders>
              <w:tl2br w:val="nil"/>
              <w:tr2bl w:val="nil"/>
            </w:tcBorders>
            <w:vAlign w:val="center"/>
          </w:tcPr>
          <w:p w14:paraId="4DB7956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textAlignment w:val="auto"/>
              <w:rPr>
                <w:rFonts w:hint="default" w:hAnsi="宋体" w:cs="宋体"/>
                <w:color w:val="auto"/>
                <w:sz w:val="21"/>
                <w:szCs w:val="21"/>
              </w:rPr>
            </w:pPr>
            <w:r>
              <w:rPr>
                <w:rFonts w:hint="eastAsia" w:hAnsi="宋体" w:cs="宋体"/>
                <w:color w:val="auto"/>
                <w:sz w:val="21"/>
                <w:szCs w:val="21"/>
              </w:rPr>
              <w:t>①未选用阻燃电缆；②带电的导线、设备、变压器、油开关等附近，堆放易燃易爆物品；③矿山电气设备、线路，未设置可靠的防雷、接地装置；④电气设备的绝缘采用油质材料；⑤井上下用电设备和供电缆线，检查和维护不及时，绝缘破损、老化等问题未得到及时处理或更换；⑥⑦井下线路未装设相间短路和过负荷保护；⑧选用的井下电气设备防潮、防滴溅的性能差，外壳机械强度低，导电部分敞露等；⑨井下采用带油的电气设备，增加了起火燃烧的危险。</w:t>
            </w:r>
          </w:p>
        </w:tc>
        <w:tc>
          <w:tcPr>
            <w:tcW w:w="353" w:type="pct"/>
            <w:tcBorders>
              <w:tl2br w:val="nil"/>
              <w:tr2bl w:val="nil"/>
            </w:tcBorders>
            <w:vAlign w:val="center"/>
          </w:tcPr>
          <w:p w14:paraId="25E3E8D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default" w:hAnsi="宋体" w:cs="宋体"/>
                <w:color w:val="auto"/>
                <w:sz w:val="21"/>
                <w:szCs w:val="21"/>
              </w:rPr>
            </w:pPr>
            <w:r>
              <w:rPr>
                <w:rFonts w:hint="eastAsia" w:hAnsi="宋体" w:cs="宋体"/>
                <w:color w:val="auto"/>
                <w:sz w:val="21"/>
                <w:szCs w:val="21"/>
              </w:rPr>
              <w:t>火灾</w:t>
            </w:r>
          </w:p>
        </w:tc>
        <w:tc>
          <w:tcPr>
            <w:tcW w:w="677" w:type="pct"/>
            <w:tcBorders>
              <w:tl2br w:val="nil"/>
              <w:tr2bl w:val="nil"/>
            </w:tcBorders>
            <w:vAlign w:val="center"/>
          </w:tcPr>
          <w:p w14:paraId="31D55ED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auto"/>
              <w:rPr>
                <w:rFonts w:hint="eastAsia" w:ascii="宋体" w:hAnsi="宋体" w:eastAsia="宋体" w:cs="宋体"/>
                <w:color w:val="auto"/>
                <w:kern w:val="2"/>
                <w:sz w:val="21"/>
                <w:szCs w:val="21"/>
                <w:lang w:val="en-US" w:eastAsia="zh-CN" w:bidi="ar-SA"/>
              </w:rPr>
            </w:pPr>
            <w:r>
              <w:rPr>
                <w:rFonts w:hint="eastAsia" w:hAnsi="宋体" w:cs="宋体"/>
                <w:color w:val="auto"/>
                <w:sz w:val="21"/>
                <w:szCs w:val="21"/>
              </w:rPr>
              <w:t>设备损坏供电系统瘫痪人员中毒窒息</w:t>
            </w:r>
          </w:p>
        </w:tc>
        <w:tc>
          <w:tcPr>
            <w:tcW w:w="337" w:type="pct"/>
            <w:tcBorders>
              <w:tl2br w:val="nil"/>
              <w:tr2bl w:val="nil"/>
            </w:tcBorders>
            <w:vAlign w:val="center"/>
          </w:tcPr>
          <w:p w14:paraId="611A96E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default" w:hAnsi="宋体" w:cs="宋体"/>
                <w:color w:val="auto"/>
                <w:sz w:val="21"/>
                <w:szCs w:val="21"/>
              </w:rPr>
            </w:pPr>
            <w:r>
              <w:rPr>
                <w:rFonts w:hint="eastAsia" w:hAnsi="宋体" w:cs="宋体"/>
                <w:color w:val="auto"/>
                <w:sz w:val="21"/>
                <w:szCs w:val="21"/>
              </w:rPr>
              <w:fldChar w:fldCharType="begin"/>
            </w:r>
            <w:r>
              <w:rPr>
                <w:rFonts w:hint="eastAsia" w:hAnsi="宋体" w:cs="宋体"/>
                <w:color w:val="auto"/>
                <w:sz w:val="21"/>
                <w:szCs w:val="21"/>
              </w:rPr>
              <w:instrText xml:space="preserve"> = 3 \* ROMAN \* MERGEFORMAT </w:instrText>
            </w:r>
            <w:r>
              <w:rPr>
                <w:rFonts w:hint="eastAsia" w:hAnsi="宋体" w:cs="宋体"/>
                <w:color w:val="auto"/>
                <w:sz w:val="21"/>
                <w:szCs w:val="21"/>
              </w:rPr>
              <w:fldChar w:fldCharType="separate"/>
            </w:r>
            <w:r>
              <w:rPr>
                <w:rFonts w:hint="eastAsia" w:hAnsi="宋体" w:cs="宋体"/>
                <w:color w:val="auto"/>
                <w:sz w:val="21"/>
                <w:szCs w:val="21"/>
              </w:rPr>
              <w:t>Ⅲ</w:t>
            </w:r>
            <w:r>
              <w:rPr>
                <w:rFonts w:hint="eastAsia" w:hAnsi="宋体" w:cs="宋体"/>
                <w:color w:val="auto"/>
                <w:sz w:val="21"/>
                <w:szCs w:val="21"/>
              </w:rPr>
              <w:fldChar w:fldCharType="end"/>
            </w:r>
            <w:r>
              <w:rPr>
                <w:rFonts w:hint="eastAsia" w:hAnsi="宋体" w:cs="宋体"/>
                <w:color w:val="auto"/>
                <w:sz w:val="21"/>
                <w:szCs w:val="21"/>
              </w:rPr>
              <w:t>级</w:t>
            </w:r>
          </w:p>
        </w:tc>
        <w:tc>
          <w:tcPr>
            <w:tcW w:w="360" w:type="pct"/>
            <w:vMerge w:val="restart"/>
            <w:tcBorders>
              <w:tl2br w:val="nil"/>
              <w:tr2bl w:val="nil"/>
            </w:tcBorders>
            <w:vAlign w:val="center"/>
          </w:tcPr>
          <w:p w14:paraId="5A6801B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default" w:hAnsi="宋体" w:cs="宋体"/>
                <w:color w:val="auto"/>
                <w:sz w:val="21"/>
                <w:szCs w:val="21"/>
              </w:rPr>
            </w:pPr>
            <w:r>
              <w:rPr>
                <w:rFonts w:hint="eastAsia" w:ascii="宋体" w:hAnsi="宋体" w:eastAsia="宋体" w:cs="宋体"/>
                <w:color w:val="auto"/>
                <w:sz w:val="21"/>
                <w:szCs w:val="21"/>
              </w:rPr>
              <w:t>见本报告4.2.</w:t>
            </w:r>
            <w:r>
              <w:rPr>
                <w:rFonts w:hint="eastAsia" w:ascii="宋体" w:hAnsi="宋体" w:eastAsia="宋体" w:cs="宋体"/>
                <w:color w:val="auto"/>
                <w:sz w:val="21"/>
                <w:szCs w:val="21"/>
                <w:lang w:val="en-US" w:eastAsia="zh-CN"/>
              </w:rPr>
              <w:t>6</w:t>
            </w:r>
            <w:r>
              <w:rPr>
                <w:rFonts w:hint="eastAsia" w:ascii="宋体" w:hAnsi="宋体" w:eastAsia="宋体" w:cs="宋体"/>
                <w:color w:val="auto"/>
                <w:sz w:val="21"/>
                <w:szCs w:val="21"/>
                <w:lang w:eastAsia="zh-CN"/>
              </w:rPr>
              <w:t>供配电</w:t>
            </w:r>
            <w:r>
              <w:rPr>
                <w:rFonts w:hint="eastAsia" w:ascii="宋体" w:hAnsi="宋体" w:eastAsia="宋体" w:cs="宋体"/>
                <w:color w:val="auto"/>
                <w:sz w:val="21"/>
                <w:szCs w:val="21"/>
              </w:rPr>
              <w:t>单元安全对策措施</w:t>
            </w:r>
          </w:p>
        </w:tc>
      </w:tr>
      <w:tr w14:paraId="7365961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314" w:type="pct"/>
            <w:tcBorders>
              <w:tl2br w:val="nil"/>
              <w:tr2bl w:val="nil"/>
            </w:tcBorders>
            <w:vAlign w:val="center"/>
          </w:tcPr>
          <w:p w14:paraId="4CC7D0B9">
            <w:pPr>
              <w:keepNext w:val="0"/>
              <w:keepLines w:val="0"/>
              <w:pageBreakBefore w:val="0"/>
              <w:widowControl w:val="0"/>
              <w:suppressLineNumbers w:val="0"/>
              <w:tabs>
                <w:tab w:val="left" w:pos="7080"/>
              </w:tabs>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default" w:hAnsi="宋体" w:cs="宋体"/>
                <w:color w:val="auto"/>
                <w:sz w:val="21"/>
                <w:szCs w:val="21"/>
              </w:rPr>
            </w:pPr>
            <w:r>
              <w:rPr>
                <w:rFonts w:hint="eastAsia" w:hAnsi="宋体" w:cs="宋体"/>
                <w:color w:val="auto"/>
                <w:sz w:val="21"/>
                <w:szCs w:val="21"/>
              </w:rPr>
              <w:t>触电</w:t>
            </w:r>
          </w:p>
        </w:tc>
        <w:tc>
          <w:tcPr>
            <w:tcW w:w="2955" w:type="pct"/>
            <w:tcBorders>
              <w:tl2br w:val="nil"/>
              <w:tr2bl w:val="nil"/>
            </w:tcBorders>
            <w:vAlign w:val="center"/>
          </w:tcPr>
          <w:p w14:paraId="2168A38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textAlignment w:val="auto"/>
              <w:rPr>
                <w:rFonts w:hint="default" w:hAnsi="宋体" w:cs="宋体"/>
                <w:color w:val="auto"/>
                <w:sz w:val="21"/>
                <w:szCs w:val="21"/>
              </w:rPr>
            </w:pPr>
            <w:r>
              <w:rPr>
                <w:rFonts w:hint="eastAsia" w:hAnsi="宋体" w:cs="宋体"/>
                <w:color w:val="auto"/>
                <w:sz w:val="21"/>
                <w:szCs w:val="21"/>
              </w:rPr>
              <w:t>①管理、维护和使用不当，无证操作或电工违规、带电作业，都会造成触电；②电缆绝缘套老化、破损，有明接头；敷设较乱会被砸、碰，而发生短路接地；检漏装置失灵，配电柜无防尘措施以及配电柜漏电、开关跳闸不灵敏，检修时未挂警示标牌和开关未加锁等都可能造成人员触电伤害和火灾；③井上、下的电气设备、电线、电缆因无避雷装置或避雷设施失灵容易引起雷击，造成停电、伤人。保险装置出现问题检修不及时，形成漏电，人身触及易造成触电伤人；电气设备无接地装置或接地装置不符合安全规程要求；井下电器违章接零；④采掘作业面的照明电压过高，也会触电伤人，井下采掘工作面、采准切割巷道、采场没有按照要求使用36V安全电压；⑤安全检查不到位，没有及时发现隐患或发现隐患没有及时整改；⑥非电工人员操作维修电路或电气设备；电工人员维修时没有断电、违章操作；安全教育不够，岗位操作人员缺少用电管理知识；⑦井下用电没有按照安全规程执行，如电缆、电线布置、电气设备选型，起动柜、开关、刀闸等设置不符合安全要求；变压器、配电柜无绝缘保护、防护栏和各种警示标志缺损等都能引起人员触电和火灾；⑧停电检修时，切断的开关把手没上锁和没挂警示牌，而造成人员触电；⑨重大电气设备无连锁保护装置。特殊带电体无屏护装置或有屏护装置但不符合安全要求；带电体或屏护装置没有安全警示标志等措施。</w:t>
            </w:r>
          </w:p>
        </w:tc>
        <w:tc>
          <w:tcPr>
            <w:tcW w:w="353" w:type="pct"/>
            <w:tcBorders>
              <w:tl2br w:val="nil"/>
              <w:tr2bl w:val="nil"/>
            </w:tcBorders>
            <w:vAlign w:val="center"/>
          </w:tcPr>
          <w:p w14:paraId="341BDE4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default" w:hAnsi="宋体" w:cs="宋体"/>
                <w:color w:val="auto"/>
                <w:sz w:val="21"/>
                <w:szCs w:val="21"/>
              </w:rPr>
            </w:pPr>
            <w:r>
              <w:rPr>
                <w:rFonts w:hint="eastAsia" w:hAnsi="宋体" w:cs="宋体"/>
                <w:color w:val="auto"/>
                <w:sz w:val="21"/>
                <w:szCs w:val="21"/>
              </w:rPr>
              <w:t>触电</w:t>
            </w:r>
          </w:p>
        </w:tc>
        <w:tc>
          <w:tcPr>
            <w:tcW w:w="677" w:type="pct"/>
            <w:tcBorders>
              <w:tl2br w:val="nil"/>
              <w:tr2bl w:val="nil"/>
            </w:tcBorders>
            <w:vAlign w:val="center"/>
          </w:tcPr>
          <w:p w14:paraId="4BC3572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auto"/>
              <w:rPr>
                <w:rFonts w:hint="eastAsia" w:ascii="宋体" w:hAnsi="宋体" w:eastAsia="宋体" w:cs="宋体"/>
                <w:color w:val="auto"/>
                <w:kern w:val="2"/>
                <w:sz w:val="21"/>
                <w:szCs w:val="21"/>
                <w:lang w:val="en-US" w:eastAsia="zh-CN" w:bidi="ar-SA"/>
              </w:rPr>
            </w:pPr>
            <w:r>
              <w:rPr>
                <w:rFonts w:hint="eastAsia" w:hAnsi="宋体" w:cs="宋体"/>
                <w:color w:val="auto"/>
                <w:sz w:val="21"/>
                <w:szCs w:val="21"/>
              </w:rPr>
              <w:t>人员伤亡设备损坏火灾和爆炸。</w:t>
            </w:r>
          </w:p>
        </w:tc>
        <w:tc>
          <w:tcPr>
            <w:tcW w:w="337" w:type="pct"/>
            <w:tcBorders>
              <w:tl2br w:val="nil"/>
              <w:tr2bl w:val="nil"/>
            </w:tcBorders>
            <w:vAlign w:val="center"/>
          </w:tcPr>
          <w:p w14:paraId="24C702F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default" w:hAnsi="宋体" w:cs="宋体"/>
                <w:color w:val="auto"/>
                <w:sz w:val="21"/>
                <w:szCs w:val="21"/>
              </w:rPr>
            </w:pPr>
            <w:r>
              <w:rPr>
                <w:rFonts w:hint="eastAsia" w:hAnsi="宋体" w:cs="宋体"/>
                <w:color w:val="auto"/>
                <w:sz w:val="21"/>
                <w:szCs w:val="21"/>
              </w:rPr>
              <w:fldChar w:fldCharType="begin"/>
            </w:r>
            <w:r>
              <w:rPr>
                <w:rFonts w:hint="eastAsia" w:hAnsi="宋体" w:cs="宋体"/>
                <w:color w:val="auto"/>
                <w:sz w:val="21"/>
                <w:szCs w:val="21"/>
              </w:rPr>
              <w:instrText xml:space="preserve"> = 3 \* ROMAN \* MERGEFORMAT </w:instrText>
            </w:r>
            <w:r>
              <w:rPr>
                <w:rFonts w:hint="eastAsia" w:hAnsi="宋体" w:cs="宋体"/>
                <w:color w:val="auto"/>
                <w:sz w:val="21"/>
                <w:szCs w:val="21"/>
              </w:rPr>
              <w:fldChar w:fldCharType="separate"/>
            </w:r>
            <w:r>
              <w:rPr>
                <w:rFonts w:hint="eastAsia" w:hAnsi="宋体" w:cs="宋体"/>
                <w:color w:val="auto"/>
                <w:sz w:val="21"/>
                <w:szCs w:val="21"/>
              </w:rPr>
              <w:t>Ⅲ</w:t>
            </w:r>
            <w:r>
              <w:rPr>
                <w:rFonts w:hint="eastAsia" w:hAnsi="宋体" w:cs="宋体"/>
                <w:color w:val="auto"/>
                <w:sz w:val="21"/>
                <w:szCs w:val="21"/>
              </w:rPr>
              <w:fldChar w:fldCharType="end"/>
            </w:r>
            <w:r>
              <w:rPr>
                <w:rFonts w:hint="eastAsia" w:hAnsi="宋体" w:cs="宋体"/>
                <w:color w:val="auto"/>
                <w:sz w:val="21"/>
                <w:szCs w:val="21"/>
              </w:rPr>
              <w:t>级</w:t>
            </w:r>
          </w:p>
        </w:tc>
        <w:tc>
          <w:tcPr>
            <w:tcW w:w="360" w:type="pct"/>
            <w:vMerge w:val="continue"/>
            <w:tcBorders>
              <w:tl2br w:val="nil"/>
              <w:tr2bl w:val="nil"/>
            </w:tcBorders>
            <w:vAlign w:val="center"/>
          </w:tcPr>
          <w:p w14:paraId="70CD88A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default" w:hAnsi="宋体" w:cs="宋体"/>
                <w:color w:val="auto"/>
                <w:sz w:val="21"/>
                <w:szCs w:val="21"/>
              </w:rPr>
            </w:pPr>
          </w:p>
        </w:tc>
      </w:tr>
    </w:tbl>
    <w:p w14:paraId="12210F32">
      <w:pPr>
        <w:ind w:firstLine="560"/>
        <w:rPr>
          <w:rFonts w:hAnsi="宋体" w:cs="宋体"/>
          <w:color w:val="auto"/>
          <w:szCs w:val="28"/>
        </w:rPr>
      </w:pPr>
      <w:r>
        <w:rPr>
          <w:rFonts w:hint="eastAsia" w:hAnsi="宋体" w:cs="宋体"/>
          <w:color w:val="auto"/>
          <w:szCs w:val="28"/>
        </w:rPr>
        <w:t>供配电设施单元预先危险性分析</w:t>
      </w:r>
      <w:r>
        <w:rPr>
          <w:rFonts w:hAnsi="宋体" w:cs="宋体"/>
          <w:color w:val="auto"/>
          <w:szCs w:val="28"/>
        </w:rPr>
        <w:t>可知：</w:t>
      </w:r>
      <w:r>
        <w:rPr>
          <w:rFonts w:hint="eastAsia"/>
          <w:color w:val="auto"/>
        </w:rPr>
        <w:t>电气火灾事故</w:t>
      </w:r>
      <w:r>
        <w:rPr>
          <w:rFonts w:hint="eastAsia"/>
          <w:color w:val="auto"/>
          <w:lang w:eastAsia="zh-CN"/>
        </w:rPr>
        <w:t>、</w:t>
      </w:r>
      <w:r>
        <w:rPr>
          <w:rFonts w:hint="eastAsia"/>
          <w:color w:val="auto"/>
        </w:rPr>
        <w:t>触电事故危险等级为Ⅲ级，会造成人员伤亡和系统损坏，要立即采取防范对策。</w:t>
      </w:r>
    </w:p>
    <w:p w14:paraId="1E9F710B">
      <w:pPr>
        <w:pStyle w:val="4"/>
        <w:keepNext w:val="0"/>
        <w:tabs>
          <w:tab w:val="left" w:pos="8265"/>
        </w:tabs>
        <w:spacing w:before="120" w:beforeLines="0" w:after="120" w:afterLines="0"/>
        <w:rPr>
          <w:color w:val="auto"/>
        </w:rPr>
      </w:pPr>
      <w:r>
        <w:rPr>
          <w:rFonts w:hint="eastAsia"/>
          <w:color w:val="auto"/>
        </w:rPr>
        <w:t>3.</w:t>
      </w:r>
      <w:r>
        <w:rPr>
          <w:rFonts w:hint="eastAsia"/>
          <w:color w:val="auto"/>
          <w:lang w:val="en-US" w:eastAsia="zh-CN"/>
        </w:rPr>
        <w:t>6</w:t>
      </w:r>
      <w:r>
        <w:rPr>
          <w:rFonts w:hint="eastAsia"/>
          <w:color w:val="auto"/>
        </w:rPr>
        <w:t>.2 供配电设施单元符合性评价</w:t>
      </w:r>
    </w:p>
    <w:p w14:paraId="7CF3C6AF">
      <w:pPr>
        <w:ind w:firstLine="0" w:firstLineChars="0"/>
        <w:jc w:val="center"/>
        <w:rPr>
          <w:rFonts w:hAnsi="宋体" w:cs="宋体"/>
          <w:b/>
          <w:color w:val="auto"/>
          <w:szCs w:val="28"/>
        </w:rPr>
      </w:pPr>
      <w:r>
        <w:rPr>
          <w:rFonts w:hint="eastAsia" w:hAnsi="宋体" w:cs="宋体"/>
          <w:b/>
          <w:color w:val="auto"/>
          <w:szCs w:val="28"/>
        </w:rPr>
        <w:t>表3.</w:t>
      </w:r>
      <w:r>
        <w:rPr>
          <w:rFonts w:hint="eastAsia" w:cs="宋体"/>
          <w:b/>
          <w:color w:val="auto"/>
          <w:szCs w:val="28"/>
          <w:lang w:val="en-US" w:eastAsia="zh-CN"/>
        </w:rPr>
        <w:t>6</w:t>
      </w:r>
      <w:r>
        <w:rPr>
          <w:rFonts w:hint="eastAsia" w:hAnsi="宋体" w:cs="宋体"/>
          <w:b/>
          <w:color w:val="auto"/>
          <w:szCs w:val="28"/>
        </w:rPr>
        <w:t>-2 供配电设施单元安全检查表</w:t>
      </w:r>
    </w:p>
    <w:tbl>
      <w:tblPr>
        <w:tblStyle w:val="25"/>
        <w:tblW w:w="5000" w:type="pct"/>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675"/>
        <w:gridCol w:w="3495"/>
        <w:gridCol w:w="2211"/>
        <w:gridCol w:w="2430"/>
        <w:gridCol w:w="703"/>
      </w:tblGrid>
      <w:tr w14:paraId="4827868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blHeader/>
        </w:trPr>
        <w:tc>
          <w:tcPr>
            <w:tcW w:w="355" w:type="pct"/>
            <w:tcBorders>
              <w:tl2br w:val="nil"/>
              <w:tr2bl w:val="nil"/>
            </w:tcBorders>
            <w:vAlign w:val="center"/>
          </w:tcPr>
          <w:p w14:paraId="53EF383B">
            <w:pPr>
              <w:keepNext w:val="0"/>
              <w:keepLines w:val="0"/>
              <w:suppressLineNumbers w:val="0"/>
              <w:spacing w:before="0" w:beforeAutospacing="0" w:after="0" w:afterAutospacing="0" w:line="320" w:lineRule="exact"/>
              <w:ind w:left="0" w:right="0" w:firstLine="0" w:firstLineChars="0"/>
              <w:jc w:val="center"/>
              <w:rPr>
                <w:rFonts w:hint="default" w:hAnsi="宋体" w:cs="宋体"/>
                <w:b/>
                <w:color w:val="auto"/>
                <w:kern w:val="0"/>
                <w:sz w:val="21"/>
                <w:szCs w:val="21"/>
              </w:rPr>
            </w:pPr>
            <w:r>
              <w:rPr>
                <w:rFonts w:hint="eastAsia" w:hAnsi="宋体" w:cs="宋体"/>
                <w:b/>
                <w:color w:val="auto"/>
                <w:kern w:val="0"/>
                <w:sz w:val="21"/>
                <w:szCs w:val="21"/>
              </w:rPr>
              <w:t>序号</w:t>
            </w:r>
          </w:p>
        </w:tc>
        <w:tc>
          <w:tcPr>
            <w:tcW w:w="1836" w:type="pct"/>
            <w:tcBorders>
              <w:tl2br w:val="nil"/>
              <w:tr2bl w:val="nil"/>
            </w:tcBorders>
            <w:vAlign w:val="center"/>
          </w:tcPr>
          <w:p w14:paraId="08BDB190">
            <w:pPr>
              <w:keepNext w:val="0"/>
              <w:keepLines w:val="0"/>
              <w:suppressLineNumbers w:val="0"/>
              <w:spacing w:before="0" w:beforeAutospacing="0" w:after="0" w:afterAutospacing="0" w:line="320" w:lineRule="exact"/>
              <w:ind w:left="0" w:right="0" w:firstLine="0" w:firstLineChars="0"/>
              <w:jc w:val="center"/>
              <w:rPr>
                <w:rFonts w:hint="default" w:hAnsi="宋体" w:cs="宋体"/>
                <w:b/>
                <w:color w:val="auto"/>
                <w:kern w:val="0"/>
                <w:sz w:val="21"/>
                <w:szCs w:val="21"/>
              </w:rPr>
            </w:pPr>
            <w:r>
              <w:rPr>
                <w:rFonts w:hint="eastAsia" w:hAnsi="宋体" w:cs="宋体"/>
                <w:b/>
                <w:color w:val="auto"/>
                <w:kern w:val="0"/>
                <w:sz w:val="21"/>
                <w:szCs w:val="21"/>
              </w:rPr>
              <w:t>检查内容</w:t>
            </w:r>
          </w:p>
        </w:tc>
        <w:tc>
          <w:tcPr>
            <w:tcW w:w="1161" w:type="pct"/>
            <w:tcBorders>
              <w:tl2br w:val="nil"/>
              <w:tr2bl w:val="nil"/>
            </w:tcBorders>
            <w:vAlign w:val="center"/>
          </w:tcPr>
          <w:p w14:paraId="0CDDA590">
            <w:pPr>
              <w:keepNext w:val="0"/>
              <w:keepLines w:val="0"/>
              <w:suppressLineNumbers w:val="0"/>
              <w:spacing w:before="0" w:beforeAutospacing="0" w:after="0" w:afterAutospacing="0" w:line="320" w:lineRule="exact"/>
              <w:ind w:left="0" w:right="0" w:firstLine="0" w:firstLineChars="0"/>
              <w:jc w:val="center"/>
              <w:rPr>
                <w:rFonts w:hint="default" w:hAnsi="宋体" w:cs="宋体"/>
                <w:b/>
                <w:color w:val="auto"/>
                <w:kern w:val="0"/>
                <w:sz w:val="21"/>
                <w:szCs w:val="21"/>
              </w:rPr>
            </w:pPr>
            <w:r>
              <w:rPr>
                <w:rFonts w:hint="eastAsia" w:hAnsi="宋体" w:cs="宋体"/>
                <w:b/>
                <w:color w:val="auto"/>
                <w:kern w:val="0"/>
                <w:sz w:val="21"/>
                <w:szCs w:val="21"/>
              </w:rPr>
              <w:t>依据</w:t>
            </w:r>
          </w:p>
        </w:tc>
        <w:tc>
          <w:tcPr>
            <w:tcW w:w="1276" w:type="pct"/>
            <w:tcBorders>
              <w:tl2br w:val="nil"/>
              <w:tr2bl w:val="nil"/>
            </w:tcBorders>
            <w:vAlign w:val="center"/>
          </w:tcPr>
          <w:p w14:paraId="59A18838">
            <w:pPr>
              <w:keepNext w:val="0"/>
              <w:keepLines w:val="0"/>
              <w:suppressLineNumbers w:val="0"/>
              <w:spacing w:before="0" w:beforeAutospacing="0" w:after="0" w:afterAutospacing="0" w:line="320" w:lineRule="exact"/>
              <w:ind w:left="0" w:right="0" w:firstLine="0" w:firstLineChars="0"/>
              <w:jc w:val="center"/>
              <w:rPr>
                <w:rFonts w:hint="default" w:hAnsi="宋体" w:cs="宋体"/>
                <w:b/>
                <w:color w:val="auto"/>
                <w:kern w:val="0"/>
                <w:sz w:val="21"/>
                <w:szCs w:val="21"/>
              </w:rPr>
            </w:pPr>
            <w:r>
              <w:rPr>
                <w:rFonts w:hint="eastAsia" w:hAnsi="宋体" w:cs="宋体"/>
                <w:b/>
                <w:color w:val="auto"/>
                <w:kern w:val="0"/>
                <w:sz w:val="21"/>
                <w:szCs w:val="21"/>
              </w:rPr>
              <w:t>检查情况</w:t>
            </w:r>
          </w:p>
        </w:tc>
        <w:tc>
          <w:tcPr>
            <w:tcW w:w="369" w:type="pct"/>
            <w:tcBorders>
              <w:tl2br w:val="nil"/>
              <w:tr2bl w:val="nil"/>
            </w:tcBorders>
            <w:vAlign w:val="center"/>
          </w:tcPr>
          <w:p w14:paraId="13E42112">
            <w:pPr>
              <w:keepNext w:val="0"/>
              <w:keepLines w:val="0"/>
              <w:suppressLineNumbers w:val="0"/>
              <w:spacing w:before="0" w:beforeAutospacing="0" w:after="0" w:afterAutospacing="0" w:line="320" w:lineRule="exact"/>
              <w:ind w:left="0" w:right="0" w:firstLine="0" w:firstLineChars="0"/>
              <w:jc w:val="center"/>
              <w:rPr>
                <w:rFonts w:hint="default" w:hAnsi="宋体" w:cs="宋体"/>
                <w:b/>
                <w:color w:val="auto"/>
                <w:kern w:val="0"/>
                <w:sz w:val="21"/>
                <w:szCs w:val="21"/>
              </w:rPr>
            </w:pPr>
            <w:r>
              <w:rPr>
                <w:rFonts w:hint="eastAsia" w:hAnsi="宋体" w:cs="宋体"/>
                <w:b/>
                <w:color w:val="auto"/>
                <w:kern w:val="0"/>
                <w:sz w:val="21"/>
                <w:szCs w:val="21"/>
              </w:rPr>
              <w:t>检查结果</w:t>
            </w:r>
          </w:p>
        </w:tc>
      </w:tr>
      <w:tr w14:paraId="64B8016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c>
          <w:tcPr>
            <w:tcW w:w="355" w:type="pct"/>
            <w:tcBorders>
              <w:tl2br w:val="nil"/>
              <w:tr2bl w:val="nil"/>
            </w:tcBorders>
            <w:vAlign w:val="center"/>
          </w:tcPr>
          <w:p w14:paraId="0A22700E">
            <w:pPr>
              <w:keepNext w:val="0"/>
              <w:keepLines/>
              <w:suppressLineNumbers w:val="0"/>
              <w:spacing w:before="0" w:beforeAutospacing="0" w:after="0" w:afterAutospacing="0" w:line="320" w:lineRule="exact"/>
              <w:ind w:left="0" w:right="0" w:firstLine="0" w:firstLineChars="0"/>
              <w:jc w:val="center"/>
              <w:rPr>
                <w:rFonts w:hint="default" w:hAnsi="宋体" w:cs="宋体"/>
                <w:color w:val="auto"/>
                <w:kern w:val="0"/>
                <w:sz w:val="21"/>
                <w:szCs w:val="21"/>
              </w:rPr>
            </w:pPr>
            <w:r>
              <w:rPr>
                <w:rFonts w:hint="eastAsia" w:hAnsi="宋体" w:cs="宋体"/>
                <w:color w:val="auto"/>
                <w:kern w:val="0"/>
                <w:sz w:val="21"/>
                <w:szCs w:val="21"/>
              </w:rPr>
              <w:t>1</w:t>
            </w:r>
          </w:p>
        </w:tc>
        <w:tc>
          <w:tcPr>
            <w:tcW w:w="1836" w:type="pct"/>
            <w:tcBorders>
              <w:tl2br w:val="nil"/>
              <w:tr2bl w:val="nil"/>
            </w:tcBorders>
            <w:vAlign w:val="center"/>
          </w:tcPr>
          <w:p w14:paraId="7CE46A7D">
            <w:pPr>
              <w:keepNext w:val="0"/>
              <w:keepLines/>
              <w:suppressLineNumbers w:val="0"/>
              <w:spacing w:before="0" w:beforeAutospacing="0" w:after="0" w:afterAutospacing="0" w:line="320" w:lineRule="exact"/>
              <w:ind w:left="0" w:right="0" w:firstLine="0" w:firstLineChars="0"/>
              <w:rPr>
                <w:rFonts w:hint="eastAsia" w:hAnsi="宋体" w:cs="宋体"/>
                <w:color w:val="auto"/>
                <w:kern w:val="0"/>
                <w:sz w:val="21"/>
                <w:szCs w:val="21"/>
                <w:lang w:val="en-US" w:eastAsia="zh-CN"/>
              </w:rPr>
            </w:pPr>
            <w:r>
              <w:rPr>
                <w:rFonts w:hint="eastAsia" w:hAnsi="宋体" w:cs="宋体"/>
                <w:color w:val="auto"/>
                <w:kern w:val="0"/>
                <w:sz w:val="21"/>
                <w:szCs w:val="21"/>
              </w:rPr>
              <w:t>矿山电力负荷应划分为一级负荷、二级负荷和三级负荷</w:t>
            </w:r>
            <w:r>
              <w:rPr>
                <w:rFonts w:hint="eastAsia" w:hAnsi="宋体" w:cs="宋体"/>
                <w:color w:val="auto"/>
                <w:kern w:val="0"/>
                <w:sz w:val="21"/>
                <w:szCs w:val="21"/>
                <w:lang w:eastAsia="zh-CN"/>
              </w:rPr>
              <w:t>。</w:t>
            </w:r>
            <w:r>
              <w:rPr>
                <w:rFonts w:hint="eastAsia" w:hAnsi="宋体" w:cs="宋体"/>
                <w:color w:val="auto"/>
                <w:kern w:val="0"/>
                <w:sz w:val="21"/>
                <w:szCs w:val="21"/>
                <w:lang w:val="en-US" w:eastAsia="zh-CN"/>
              </w:rPr>
              <w:t>负荷划分应符合规定。</w:t>
            </w:r>
          </w:p>
          <w:p w14:paraId="7EFE0351">
            <w:pPr>
              <w:keepNext w:val="0"/>
              <w:keepLines/>
              <w:suppressLineNumbers w:val="0"/>
              <w:spacing w:before="0" w:beforeAutospacing="0" w:after="0" w:afterAutospacing="0" w:line="320" w:lineRule="exact"/>
              <w:ind w:left="0" w:right="0" w:firstLine="0" w:firstLineChars="0"/>
              <w:rPr>
                <w:rFonts w:hint="default" w:hAnsi="宋体" w:cs="宋体"/>
                <w:color w:val="auto"/>
                <w:kern w:val="0"/>
                <w:sz w:val="21"/>
                <w:szCs w:val="21"/>
              </w:rPr>
            </w:pPr>
            <w:r>
              <w:rPr>
                <w:rFonts w:hint="eastAsia" w:hAnsi="宋体" w:cs="宋体"/>
                <w:color w:val="auto"/>
                <w:kern w:val="0"/>
                <w:sz w:val="21"/>
                <w:szCs w:val="21"/>
              </w:rPr>
              <w:t>无一级负荷的小型矿山，可由一回电源线路供电。</w:t>
            </w:r>
          </w:p>
        </w:tc>
        <w:tc>
          <w:tcPr>
            <w:tcW w:w="1161" w:type="pct"/>
            <w:tcBorders>
              <w:tl2br w:val="nil"/>
              <w:tr2bl w:val="nil"/>
            </w:tcBorders>
            <w:vAlign w:val="center"/>
          </w:tcPr>
          <w:p w14:paraId="76426860">
            <w:pPr>
              <w:keepNext w:val="0"/>
              <w:keepLines/>
              <w:suppressLineNumbers w:val="0"/>
              <w:spacing w:before="0" w:beforeAutospacing="0" w:after="0" w:afterAutospacing="0" w:line="320" w:lineRule="exact"/>
              <w:ind w:left="0" w:right="0" w:firstLine="0" w:firstLineChars="0"/>
              <w:jc w:val="center"/>
              <w:rPr>
                <w:rFonts w:hint="default" w:hAnsi="宋体"/>
                <w:color w:val="auto"/>
                <w:sz w:val="21"/>
                <w:szCs w:val="21"/>
              </w:rPr>
            </w:pPr>
            <w:r>
              <w:rPr>
                <w:rFonts w:hint="eastAsia" w:hAnsi="宋体"/>
                <w:color w:val="auto"/>
                <w:sz w:val="21"/>
                <w:szCs w:val="21"/>
              </w:rPr>
              <w:t>《</w:t>
            </w:r>
            <w:r>
              <w:rPr>
                <w:rFonts w:hint="eastAsia"/>
                <w:color w:val="auto"/>
                <w:sz w:val="21"/>
                <w:szCs w:val="21"/>
                <w:lang w:val="en-US" w:eastAsia="zh-CN"/>
              </w:rPr>
              <w:t>矿山电力设计标准</w:t>
            </w:r>
            <w:r>
              <w:rPr>
                <w:rFonts w:hint="eastAsia" w:hAnsi="宋体"/>
                <w:color w:val="auto"/>
                <w:sz w:val="21"/>
                <w:szCs w:val="21"/>
              </w:rPr>
              <w:t>》(GB</w:t>
            </w:r>
            <w:r>
              <w:rPr>
                <w:rFonts w:hint="eastAsia"/>
                <w:color w:val="auto"/>
                <w:sz w:val="21"/>
                <w:szCs w:val="21"/>
                <w:lang w:val="en-US" w:eastAsia="zh-CN"/>
              </w:rPr>
              <w:t>50070</w:t>
            </w:r>
            <w:r>
              <w:rPr>
                <w:rFonts w:hint="eastAsia" w:hAnsi="宋体"/>
                <w:color w:val="auto"/>
                <w:sz w:val="21"/>
                <w:szCs w:val="21"/>
              </w:rPr>
              <w:t>-2020)</w:t>
            </w:r>
          </w:p>
          <w:p w14:paraId="20209610">
            <w:pPr>
              <w:keepNext w:val="0"/>
              <w:keepLines/>
              <w:suppressLineNumbers w:val="0"/>
              <w:spacing w:before="0" w:beforeAutospacing="0" w:after="0" w:afterAutospacing="0" w:line="320" w:lineRule="exact"/>
              <w:ind w:left="0" w:right="0" w:firstLine="0" w:firstLineChars="0"/>
              <w:jc w:val="center"/>
              <w:rPr>
                <w:rFonts w:hint="eastAsia" w:hAnsi="宋体"/>
                <w:color w:val="auto"/>
                <w:sz w:val="21"/>
                <w:szCs w:val="21"/>
              </w:rPr>
            </w:pPr>
            <w:r>
              <w:rPr>
                <w:rFonts w:hint="eastAsia" w:hAnsi="宋体"/>
                <w:color w:val="auto"/>
                <w:sz w:val="21"/>
                <w:szCs w:val="21"/>
              </w:rPr>
              <w:t>第</w:t>
            </w:r>
            <w:r>
              <w:rPr>
                <w:rFonts w:hint="eastAsia"/>
                <w:color w:val="auto"/>
                <w:sz w:val="21"/>
                <w:szCs w:val="21"/>
                <w:lang w:val="en-US" w:eastAsia="zh-CN"/>
              </w:rPr>
              <w:t>3.0.1</w:t>
            </w:r>
            <w:r>
              <w:rPr>
                <w:rFonts w:hint="eastAsia" w:hAnsi="宋体"/>
                <w:color w:val="auto"/>
                <w:sz w:val="21"/>
                <w:szCs w:val="21"/>
              </w:rPr>
              <w:t>条</w:t>
            </w:r>
          </w:p>
          <w:p w14:paraId="11278775">
            <w:pPr>
              <w:keepNext w:val="0"/>
              <w:keepLines/>
              <w:suppressLineNumbers w:val="0"/>
              <w:spacing w:before="0" w:beforeAutospacing="0" w:after="0" w:afterAutospacing="0" w:line="320" w:lineRule="exact"/>
              <w:ind w:left="0" w:right="0" w:firstLine="0" w:firstLineChars="0"/>
              <w:jc w:val="center"/>
              <w:rPr>
                <w:rFonts w:hint="default" w:hAnsi="宋体" w:eastAsia="宋体"/>
                <w:color w:val="auto"/>
                <w:sz w:val="21"/>
                <w:szCs w:val="21"/>
                <w:lang w:val="en-US" w:eastAsia="zh-CN"/>
              </w:rPr>
            </w:pPr>
            <w:r>
              <w:rPr>
                <w:rFonts w:hint="eastAsia"/>
                <w:color w:val="auto"/>
                <w:sz w:val="21"/>
                <w:szCs w:val="21"/>
                <w:lang w:val="en-US" w:eastAsia="zh-CN"/>
              </w:rPr>
              <w:t>第3.0.2条</w:t>
            </w:r>
          </w:p>
        </w:tc>
        <w:tc>
          <w:tcPr>
            <w:tcW w:w="1276" w:type="pct"/>
            <w:tcBorders>
              <w:tl2br w:val="nil"/>
              <w:tr2bl w:val="nil"/>
            </w:tcBorders>
            <w:vAlign w:val="center"/>
          </w:tcPr>
          <w:p w14:paraId="6282919B">
            <w:pPr>
              <w:keepNext w:val="0"/>
              <w:keepLines/>
              <w:suppressLineNumbers w:val="0"/>
              <w:spacing w:before="0" w:beforeAutospacing="0" w:after="0" w:afterAutospacing="0" w:line="320" w:lineRule="exact"/>
              <w:ind w:left="0" w:right="0" w:firstLine="0" w:firstLineChars="0"/>
              <w:rPr>
                <w:rFonts w:hint="default" w:hAnsi="宋体" w:eastAsia="宋体" w:cs="宋体"/>
                <w:color w:val="auto"/>
                <w:sz w:val="21"/>
                <w:szCs w:val="21"/>
                <w:lang w:val="en-US" w:eastAsia="zh-CN"/>
              </w:rPr>
            </w:pPr>
            <w:r>
              <w:rPr>
                <w:rFonts w:hint="eastAsia" w:hAnsi="宋体" w:cs="宋体"/>
                <w:color w:val="auto"/>
                <w:kern w:val="0"/>
                <w:sz w:val="21"/>
                <w:szCs w:val="21"/>
              </w:rPr>
              <w:t>该矿山供电电源引自</w:t>
            </w:r>
            <w:r>
              <w:rPr>
                <w:rFonts w:hint="eastAsia" w:cs="宋体"/>
                <w:color w:val="auto"/>
                <w:kern w:val="0"/>
                <w:sz w:val="21"/>
                <w:szCs w:val="21"/>
                <w:lang w:val="en-US" w:eastAsia="zh-CN"/>
              </w:rPr>
              <w:t>1路10KV架空电源</w:t>
            </w:r>
            <w:r>
              <w:rPr>
                <w:rFonts w:hint="eastAsia" w:hAnsi="宋体" w:cs="宋体"/>
                <w:color w:val="auto"/>
                <w:kern w:val="0"/>
                <w:sz w:val="21"/>
                <w:szCs w:val="21"/>
              </w:rPr>
              <w:t>，风机</w:t>
            </w:r>
            <w:r>
              <w:rPr>
                <w:rFonts w:hint="eastAsia" w:cs="宋体"/>
                <w:color w:val="auto"/>
                <w:kern w:val="0"/>
                <w:sz w:val="21"/>
                <w:szCs w:val="21"/>
                <w:lang w:eastAsia="zh-CN"/>
              </w:rPr>
              <w:t>、</w:t>
            </w:r>
            <w:r>
              <w:rPr>
                <w:rFonts w:hint="eastAsia" w:cs="宋体"/>
                <w:color w:val="auto"/>
                <w:kern w:val="0"/>
                <w:sz w:val="21"/>
                <w:szCs w:val="21"/>
                <w:lang w:val="en-US" w:eastAsia="zh-CN"/>
              </w:rPr>
              <w:t>压风自救空压机为二级负荷。坑口安装1台250kW低压柴油发电机作为空压机的备用电源；主风机附近安装1台120kW柴油发电机作为风机的备用电源。</w:t>
            </w:r>
          </w:p>
        </w:tc>
        <w:tc>
          <w:tcPr>
            <w:tcW w:w="369" w:type="pct"/>
            <w:tcBorders>
              <w:tl2br w:val="nil"/>
              <w:tr2bl w:val="nil"/>
            </w:tcBorders>
            <w:vAlign w:val="center"/>
          </w:tcPr>
          <w:p w14:paraId="4BA38C99">
            <w:pPr>
              <w:keepNext w:val="0"/>
              <w:keepLines/>
              <w:suppressLineNumbers w:val="0"/>
              <w:spacing w:before="0" w:beforeAutospacing="0" w:after="0" w:afterAutospacing="0" w:line="320" w:lineRule="exact"/>
              <w:ind w:left="0" w:right="0" w:firstLine="0" w:firstLineChars="0"/>
              <w:jc w:val="center"/>
              <w:rPr>
                <w:rFonts w:hint="default" w:hAnsi="宋体" w:cs="宋体"/>
                <w:color w:val="auto"/>
                <w:kern w:val="0"/>
                <w:sz w:val="21"/>
                <w:szCs w:val="21"/>
              </w:rPr>
            </w:pPr>
            <w:r>
              <w:rPr>
                <w:rFonts w:hint="eastAsia" w:hAnsi="宋体" w:cs="宋体"/>
                <w:color w:val="auto"/>
                <w:kern w:val="0"/>
                <w:sz w:val="21"/>
                <w:szCs w:val="21"/>
              </w:rPr>
              <w:t>符合</w:t>
            </w:r>
          </w:p>
        </w:tc>
      </w:tr>
      <w:tr w14:paraId="55ECD94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c>
          <w:tcPr>
            <w:tcW w:w="355" w:type="pct"/>
            <w:tcBorders>
              <w:tl2br w:val="nil"/>
              <w:tr2bl w:val="nil"/>
            </w:tcBorders>
            <w:vAlign w:val="center"/>
          </w:tcPr>
          <w:p w14:paraId="5AE1B1BA">
            <w:pPr>
              <w:keepNext w:val="0"/>
              <w:keepLines/>
              <w:suppressLineNumbers w:val="0"/>
              <w:spacing w:before="0" w:beforeAutospacing="0" w:after="0" w:afterAutospacing="0" w:line="320" w:lineRule="exact"/>
              <w:ind w:left="0" w:right="0" w:firstLine="0" w:firstLineChars="0"/>
              <w:jc w:val="center"/>
              <w:rPr>
                <w:rFonts w:hint="default" w:hAnsi="宋体" w:cs="宋体"/>
                <w:color w:val="auto"/>
                <w:kern w:val="0"/>
                <w:sz w:val="21"/>
                <w:szCs w:val="21"/>
              </w:rPr>
            </w:pPr>
            <w:r>
              <w:rPr>
                <w:rFonts w:hint="eastAsia" w:hAnsi="宋体" w:cs="宋体"/>
                <w:color w:val="auto"/>
                <w:kern w:val="0"/>
                <w:sz w:val="21"/>
                <w:szCs w:val="21"/>
              </w:rPr>
              <w:t>2</w:t>
            </w:r>
          </w:p>
        </w:tc>
        <w:tc>
          <w:tcPr>
            <w:tcW w:w="1836" w:type="pct"/>
            <w:tcBorders>
              <w:tl2br w:val="nil"/>
              <w:tr2bl w:val="nil"/>
            </w:tcBorders>
            <w:vAlign w:val="center"/>
          </w:tcPr>
          <w:p w14:paraId="386647D4">
            <w:pPr>
              <w:keepNext w:val="0"/>
              <w:keepLines/>
              <w:suppressLineNumbers w:val="0"/>
              <w:spacing w:before="0" w:beforeAutospacing="0" w:after="0" w:afterAutospacing="0" w:line="320" w:lineRule="exact"/>
              <w:ind w:left="0" w:right="0" w:firstLine="0" w:firstLineChars="0"/>
              <w:rPr>
                <w:rFonts w:hint="default" w:hAnsi="宋体" w:cs="宋体"/>
                <w:color w:val="auto"/>
                <w:kern w:val="0"/>
                <w:sz w:val="21"/>
                <w:szCs w:val="21"/>
              </w:rPr>
            </w:pPr>
            <w:r>
              <w:rPr>
                <w:rFonts w:hint="eastAsia" w:hAnsi="宋体" w:cs="宋体"/>
                <w:color w:val="auto"/>
                <w:kern w:val="0"/>
                <w:sz w:val="21"/>
                <w:szCs w:val="21"/>
              </w:rPr>
              <w:t>运输巷道、井底车场照明，不超过220V；采掘工作面、出矿巷道、天井和天井至回采工作面之间照明，不超过36V；行灯电压不超过36V。</w:t>
            </w:r>
          </w:p>
        </w:tc>
        <w:tc>
          <w:tcPr>
            <w:tcW w:w="1161" w:type="pct"/>
            <w:tcBorders>
              <w:tl2br w:val="nil"/>
              <w:tr2bl w:val="nil"/>
            </w:tcBorders>
            <w:vAlign w:val="center"/>
          </w:tcPr>
          <w:p w14:paraId="28A1714A">
            <w:pPr>
              <w:keepNext w:val="0"/>
              <w:keepLines/>
              <w:suppressLineNumbers w:val="0"/>
              <w:spacing w:before="0" w:beforeAutospacing="0" w:after="0" w:afterAutospacing="0" w:line="320" w:lineRule="exact"/>
              <w:ind w:left="0" w:right="0" w:firstLine="0" w:firstLineChars="0"/>
              <w:jc w:val="center"/>
              <w:rPr>
                <w:rFonts w:hint="default" w:hAnsi="宋体"/>
                <w:color w:val="auto"/>
                <w:sz w:val="21"/>
                <w:szCs w:val="21"/>
              </w:rPr>
            </w:pPr>
            <w:r>
              <w:rPr>
                <w:rFonts w:hint="eastAsia" w:hAnsi="宋体"/>
                <w:color w:val="auto"/>
                <w:sz w:val="21"/>
                <w:szCs w:val="21"/>
              </w:rPr>
              <w:t>《金属非金属矿山安全规程》(GB16423-2020)</w:t>
            </w:r>
          </w:p>
          <w:p w14:paraId="765B8070">
            <w:pPr>
              <w:keepNext w:val="0"/>
              <w:keepLines/>
              <w:suppressLineNumbers w:val="0"/>
              <w:spacing w:before="0" w:beforeAutospacing="0" w:after="0" w:afterAutospacing="0" w:line="320" w:lineRule="exact"/>
              <w:ind w:left="0" w:right="0" w:firstLine="0" w:firstLineChars="0"/>
              <w:jc w:val="center"/>
              <w:rPr>
                <w:rFonts w:hint="default" w:hAnsi="宋体"/>
                <w:color w:val="auto"/>
                <w:sz w:val="21"/>
                <w:szCs w:val="21"/>
              </w:rPr>
            </w:pPr>
            <w:r>
              <w:rPr>
                <w:rFonts w:hint="eastAsia" w:hAnsi="宋体"/>
                <w:color w:val="auto"/>
                <w:sz w:val="21"/>
                <w:szCs w:val="21"/>
              </w:rPr>
              <w:t>第6.7.1.4条</w:t>
            </w:r>
          </w:p>
        </w:tc>
        <w:tc>
          <w:tcPr>
            <w:tcW w:w="1276" w:type="pct"/>
            <w:tcBorders>
              <w:tl2br w:val="nil"/>
              <w:tr2bl w:val="nil"/>
            </w:tcBorders>
            <w:vAlign w:val="center"/>
          </w:tcPr>
          <w:p w14:paraId="10A7C085">
            <w:pPr>
              <w:keepNext w:val="0"/>
              <w:keepLines/>
              <w:suppressLineNumbers w:val="0"/>
              <w:spacing w:before="0" w:beforeAutospacing="0" w:after="0" w:afterAutospacing="0" w:line="320" w:lineRule="exact"/>
              <w:ind w:left="0" w:right="0" w:firstLine="0" w:firstLineChars="0"/>
              <w:rPr>
                <w:rFonts w:hint="eastAsia" w:hAnsi="宋体" w:eastAsia="宋体"/>
                <w:color w:val="auto"/>
                <w:sz w:val="21"/>
                <w:szCs w:val="21"/>
                <w:lang w:eastAsia="zh-CN"/>
              </w:rPr>
            </w:pPr>
            <w:r>
              <w:rPr>
                <w:rFonts w:hint="eastAsia" w:hAnsi="宋体" w:cs="宋体"/>
                <w:color w:val="auto"/>
                <w:kern w:val="0"/>
                <w:sz w:val="21"/>
                <w:szCs w:val="21"/>
              </w:rPr>
              <w:t>井下主要运输巷道及硐室照明电压采用220V</w:t>
            </w:r>
            <w:r>
              <w:rPr>
                <w:rFonts w:hint="eastAsia" w:cs="宋体"/>
                <w:color w:val="auto"/>
                <w:kern w:val="0"/>
                <w:sz w:val="21"/>
                <w:szCs w:val="21"/>
                <w:lang w:eastAsia="zh-CN"/>
              </w:rPr>
              <w:t>(</w:t>
            </w:r>
            <w:r>
              <w:rPr>
                <w:rFonts w:hint="eastAsia" w:hAnsi="宋体" w:cs="宋体"/>
                <w:color w:val="auto"/>
                <w:kern w:val="0"/>
                <w:sz w:val="21"/>
                <w:szCs w:val="21"/>
              </w:rPr>
              <w:t>或127V</w:t>
            </w:r>
            <w:r>
              <w:rPr>
                <w:rFonts w:hint="eastAsia" w:cs="宋体"/>
                <w:color w:val="auto"/>
                <w:kern w:val="0"/>
                <w:sz w:val="21"/>
                <w:szCs w:val="21"/>
                <w:lang w:eastAsia="zh-CN"/>
              </w:rPr>
              <w:t>)</w:t>
            </w:r>
            <w:r>
              <w:rPr>
                <w:rFonts w:hint="eastAsia" w:hAnsi="宋体" w:cs="宋体"/>
                <w:color w:val="auto"/>
                <w:kern w:val="0"/>
                <w:sz w:val="21"/>
                <w:szCs w:val="21"/>
              </w:rPr>
              <w:t>；井下采场工作面照明电压采用36V</w:t>
            </w:r>
            <w:r>
              <w:rPr>
                <w:rFonts w:hint="eastAsia" w:hAnsi="宋体" w:cs="宋体"/>
                <w:color w:val="auto"/>
                <w:kern w:val="0"/>
                <w:sz w:val="21"/>
                <w:szCs w:val="21"/>
                <w:lang w:eastAsia="zh-CN"/>
              </w:rPr>
              <w:t>。</w:t>
            </w:r>
          </w:p>
        </w:tc>
        <w:tc>
          <w:tcPr>
            <w:tcW w:w="369" w:type="pct"/>
            <w:tcBorders>
              <w:tl2br w:val="nil"/>
              <w:tr2bl w:val="nil"/>
            </w:tcBorders>
            <w:vAlign w:val="center"/>
          </w:tcPr>
          <w:p w14:paraId="75DF24C8">
            <w:pPr>
              <w:keepNext w:val="0"/>
              <w:keepLines/>
              <w:suppressLineNumbers w:val="0"/>
              <w:spacing w:before="0" w:beforeAutospacing="0" w:after="0" w:afterAutospacing="0" w:line="320" w:lineRule="exact"/>
              <w:ind w:left="0" w:right="0" w:firstLine="0" w:firstLineChars="0"/>
              <w:jc w:val="center"/>
              <w:rPr>
                <w:rFonts w:hint="default" w:hAnsi="宋体" w:cs="宋体"/>
                <w:color w:val="auto"/>
                <w:kern w:val="0"/>
                <w:sz w:val="21"/>
                <w:szCs w:val="21"/>
              </w:rPr>
            </w:pPr>
            <w:r>
              <w:rPr>
                <w:rFonts w:hint="eastAsia" w:hAnsi="宋体" w:cs="宋体"/>
                <w:color w:val="auto"/>
                <w:kern w:val="0"/>
                <w:sz w:val="21"/>
                <w:szCs w:val="21"/>
              </w:rPr>
              <w:t>符合</w:t>
            </w:r>
          </w:p>
        </w:tc>
      </w:tr>
      <w:tr w14:paraId="3CCE4AF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c>
          <w:tcPr>
            <w:tcW w:w="355" w:type="pct"/>
            <w:tcBorders>
              <w:tl2br w:val="nil"/>
              <w:tr2bl w:val="nil"/>
            </w:tcBorders>
            <w:vAlign w:val="center"/>
          </w:tcPr>
          <w:p w14:paraId="0C9526AE">
            <w:pPr>
              <w:keepNext w:val="0"/>
              <w:keepLines/>
              <w:suppressLineNumbers w:val="0"/>
              <w:adjustRightInd w:val="0"/>
              <w:snapToGrid w:val="0"/>
              <w:spacing w:before="0" w:beforeAutospacing="0" w:after="0" w:afterAutospacing="0" w:line="320" w:lineRule="exact"/>
              <w:ind w:left="0" w:right="0" w:firstLine="0" w:firstLineChars="0"/>
              <w:jc w:val="center"/>
              <w:rPr>
                <w:rFonts w:hint="default" w:hAnsi="宋体"/>
                <w:snapToGrid w:val="0"/>
                <w:color w:val="auto"/>
                <w:kern w:val="0"/>
                <w:sz w:val="21"/>
                <w:szCs w:val="21"/>
              </w:rPr>
            </w:pPr>
            <w:r>
              <w:rPr>
                <w:rFonts w:hint="eastAsia" w:hAnsi="宋体"/>
                <w:snapToGrid w:val="0"/>
                <w:color w:val="auto"/>
                <w:kern w:val="0"/>
                <w:sz w:val="21"/>
                <w:szCs w:val="21"/>
              </w:rPr>
              <w:t>3</w:t>
            </w:r>
          </w:p>
        </w:tc>
        <w:tc>
          <w:tcPr>
            <w:tcW w:w="1836" w:type="pct"/>
            <w:tcBorders>
              <w:tl2br w:val="nil"/>
              <w:tr2bl w:val="nil"/>
            </w:tcBorders>
            <w:vAlign w:val="center"/>
          </w:tcPr>
          <w:p w14:paraId="15B5E849">
            <w:pPr>
              <w:pStyle w:val="34"/>
              <w:keepNext w:val="0"/>
              <w:keepLines w:val="0"/>
              <w:suppressLineNumbers w:val="0"/>
              <w:spacing w:before="0" w:beforeAutospacing="0" w:after="0" w:afterAutospacing="0"/>
              <w:ind w:left="0" w:right="0"/>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井下变、配电所的电源及供电回路设置应符合下列规定
</w:t>
            </w:r>
          </w:p>
          <w:p w14:paraId="4D5F4961">
            <w:pPr>
              <w:pStyle w:val="34"/>
              <w:keepNext w:val="0"/>
              <w:keepLines w:val="0"/>
              <w:suppressLineNumbers w:val="0"/>
              <w:spacing w:before="0" w:beforeAutospacing="0" w:after="0" w:afterAutospacing="0"/>
              <w:ind w:left="0" w:right="0"/>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——由地面引至井下各个变、配电所的电力电总回路数不少于两回路</w:t>
            </w:r>
            <w:r>
              <w:rPr>
                <w:rFonts w:hint="eastAsia" w:cs="宋体"/>
                <w:color w:val="auto"/>
                <w:kern w:val="0"/>
                <w:sz w:val="21"/>
                <w:szCs w:val="21"/>
                <w:lang w:val="en-US" w:eastAsia="zh-CN" w:bidi="ar-SA"/>
              </w:rPr>
              <w:t>。</w:t>
            </w:r>
            <w:r>
              <w:rPr>
                <w:rFonts w:hint="eastAsia" w:ascii="宋体" w:hAnsi="宋体" w:eastAsia="宋体" w:cs="宋体"/>
                <w:color w:val="auto"/>
                <w:kern w:val="0"/>
                <w:sz w:val="21"/>
                <w:szCs w:val="21"/>
                <w:lang w:val="en-US" w:eastAsia="zh-CN" w:bidi="ar-SA"/>
              </w:rPr>
              <w:t>当任一回路停止供电时，其余回路应能承担该变电所的全部负荷；</w:t>
            </w:r>
          </w:p>
          <w:p w14:paraId="31039A9D">
            <w:pPr>
              <w:pStyle w:val="34"/>
              <w:keepNext w:val="0"/>
              <w:keepLines w:val="0"/>
              <w:suppressLineNumbers w:val="0"/>
              <w:spacing w:before="0" w:beforeAutospacing="0" w:after="0" w:afterAutospacing="0"/>
              <w:ind w:left="0" w:right="0"/>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——有一级负荷的井下变、配电所，主排水泵房变、配电所，在有爆炸危险或对人体健康有严重损害危险环境中工作的主通风机和升降人员的竖井提升机，应由双重电源供电；</w:t>
            </w:r>
          </w:p>
          <w:p w14:paraId="4DE5A769">
            <w:pPr>
              <w:pStyle w:val="34"/>
              <w:keepNext w:val="0"/>
              <w:keepLines w:val="0"/>
              <w:suppressLineNumbers w:val="0"/>
              <w:spacing w:before="0" w:beforeAutospacing="0" w:after="0" w:afterAutospacing="0"/>
              <w:ind w:left="0" w:right="0"/>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——井下主变、配电所和具有低压一级负荷的变、配电所的配电变压器不得少于2台：1台停止运行时，其余变压器应能承担全部负荷；</w:t>
            </w:r>
          </w:p>
          <w:p w14:paraId="1C37B00D">
            <w:pPr>
              <w:pStyle w:val="34"/>
              <w:keepNext w:val="0"/>
              <w:keepLines w:val="0"/>
              <w:suppressLineNumbers w:val="0"/>
              <w:spacing w:before="0" w:beforeAutospacing="0" w:after="0" w:afterAutospacing="0"/>
              <w:ind w:left="0" w:right="0"/>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——上述设备的控制回路和辅助设备，应有与主设备同等可靠的电源</w:t>
            </w:r>
            <w:r>
              <w:rPr>
                <w:rFonts w:hint="eastAsia" w:cs="宋体"/>
                <w:color w:val="auto"/>
                <w:kern w:val="0"/>
                <w:sz w:val="21"/>
                <w:szCs w:val="21"/>
                <w:lang w:val="en-US" w:eastAsia="zh-CN" w:bidi="ar-SA"/>
              </w:rPr>
              <w:t>；</w:t>
            </w:r>
            <w:r>
              <w:rPr>
                <w:rFonts w:hint="eastAsia" w:ascii="宋体" w:hAnsi="宋体" w:eastAsia="宋体" w:cs="宋体"/>
                <w:color w:val="auto"/>
                <w:kern w:val="0"/>
                <w:sz w:val="21"/>
                <w:szCs w:val="21"/>
                <w:lang w:val="en-US" w:eastAsia="zh-CN" w:bidi="ar-SA"/>
              </w:rPr>
              <w:t>
</w:t>
            </w:r>
          </w:p>
          <w:p w14:paraId="48AF9F4D">
            <w:pPr>
              <w:pStyle w:val="34"/>
              <w:keepNext w:val="0"/>
              <w:keepLines w:val="0"/>
              <w:suppressLineNumbers w:val="0"/>
              <w:spacing w:before="0" w:beforeAutospacing="0" w:after="0" w:afterAutospacing="0"/>
              <w:ind w:left="0" w:right="0"/>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——为井下一级负荷供电的35kV及以下除采用钢制杆塔外的地面架空线路不得共杆架设；</w:t>
            </w:r>
          </w:p>
          <w:p w14:paraId="74BBC238">
            <w:pPr>
              <w:keepNext w:val="0"/>
              <w:keepLines/>
              <w:suppressLineNumbers w:val="0"/>
              <w:adjustRightInd w:val="0"/>
              <w:snapToGrid w:val="0"/>
              <w:spacing w:before="0" w:beforeAutospacing="0" w:after="0" w:afterAutospacing="0" w:line="320" w:lineRule="exact"/>
              <w:ind w:left="0" w:right="0" w:firstLine="0" w:firstLineChars="0"/>
              <w:rPr>
                <w:rFonts w:hint="default" w:hAnsi="宋体"/>
                <w:snapToGrid w:val="0"/>
                <w:color w:val="auto"/>
                <w:kern w:val="0"/>
                <w:sz w:val="21"/>
                <w:szCs w:val="21"/>
              </w:rPr>
            </w:pPr>
            <w:r>
              <w:rPr>
                <w:rFonts w:hint="eastAsia" w:ascii="宋体" w:hAnsi="宋体" w:eastAsia="宋体" w:cs="宋体"/>
                <w:color w:val="auto"/>
                <w:kern w:val="0"/>
                <w:sz w:val="21"/>
                <w:szCs w:val="21"/>
                <w:lang w:val="en-US" w:eastAsia="zh-CN" w:bidi="ar-SA"/>
              </w:rPr>
              <w:t>——经由地面</w:t>
            </w:r>
            <w:r>
              <w:rPr>
                <w:rFonts w:hint="eastAsia" w:cs="宋体"/>
                <w:color w:val="auto"/>
                <w:kern w:val="0"/>
                <w:sz w:val="21"/>
                <w:szCs w:val="21"/>
                <w:lang w:val="en-US" w:eastAsia="zh-CN" w:bidi="ar-SA"/>
              </w:rPr>
              <w:t>架空线引入</w:t>
            </w:r>
            <w:r>
              <w:rPr>
                <w:rFonts w:hint="eastAsia" w:ascii="宋体" w:hAnsi="宋体" w:eastAsia="宋体" w:cs="宋体"/>
                <w:color w:val="auto"/>
                <w:kern w:val="0"/>
                <w:sz w:val="21"/>
                <w:szCs w:val="21"/>
                <w:lang w:val="en-US" w:eastAsia="zh-CN" w:bidi="ar-SA"/>
              </w:rPr>
              <w:t>井下变、配电所的供电电缆，应在架空线与电缆连接处装设避雷装置。</w:t>
            </w:r>
          </w:p>
        </w:tc>
        <w:tc>
          <w:tcPr>
            <w:tcW w:w="1161" w:type="pct"/>
            <w:tcBorders>
              <w:tl2br w:val="nil"/>
              <w:tr2bl w:val="nil"/>
            </w:tcBorders>
            <w:vAlign w:val="center"/>
          </w:tcPr>
          <w:p w14:paraId="441E1986">
            <w:pPr>
              <w:keepNext w:val="0"/>
              <w:keepLines/>
              <w:suppressLineNumbers w:val="0"/>
              <w:spacing w:before="0" w:beforeAutospacing="0" w:after="0" w:afterAutospacing="0" w:line="320" w:lineRule="exact"/>
              <w:ind w:left="0" w:right="0" w:firstLine="0" w:firstLineChars="0"/>
              <w:jc w:val="center"/>
              <w:rPr>
                <w:rFonts w:hint="default" w:hAnsi="宋体"/>
                <w:color w:val="auto"/>
                <w:sz w:val="21"/>
                <w:szCs w:val="21"/>
              </w:rPr>
            </w:pPr>
            <w:r>
              <w:rPr>
                <w:rFonts w:hint="eastAsia" w:hAnsi="宋体"/>
                <w:color w:val="auto"/>
                <w:sz w:val="21"/>
                <w:szCs w:val="21"/>
              </w:rPr>
              <w:t>《金属非金属矿山安全规程》(GB16423-2020)</w:t>
            </w:r>
          </w:p>
          <w:p w14:paraId="5C61196A">
            <w:pPr>
              <w:keepNext w:val="0"/>
              <w:keepLines/>
              <w:suppressLineNumbers w:val="0"/>
              <w:adjustRightInd w:val="0"/>
              <w:snapToGrid w:val="0"/>
              <w:spacing w:before="0" w:beforeAutospacing="0" w:after="0" w:afterAutospacing="0" w:line="320" w:lineRule="exact"/>
              <w:ind w:left="0" w:right="0" w:firstLine="0" w:firstLineChars="0"/>
              <w:jc w:val="center"/>
              <w:rPr>
                <w:rFonts w:hint="default" w:hAnsi="宋体"/>
                <w:snapToGrid w:val="0"/>
                <w:color w:val="auto"/>
                <w:kern w:val="0"/>
                <w:sz w:val="21"/>
                <w:szCs w:val="21"/>
              </w:rPr>
            </w:pPr>
            <w:r>
              <w:rPr>
                <w:rFonts w:hint="eastAsia" w:hAnsi="宋体"/>
                <w:color w:val="auto"/>
                <w:sz w:val="21"/>
                <w:szCs w:val="21"/>
              </w:rPr>
              <w:t>第6.7.1.5条</w:t>
            </w:r>
          </w:p>
        </w:tc>
        <w:tc>
          <w:tcPr>
            <w:tcW w:w="1276" w:type="pct"/>
            <w:tcBorders>
              <w:tl2br w:val="nil"/>
              <w:tr2bl w:val="nil"/>
            </w:tcBorders>
            <w:vAlign w:val="center"/>
          </w:tcPr>
          <w:p w14:paraId="516BEF2D">
            <w:pPr>
              <w:keepNext w:val="0"/>
              <w:keepLines/>
              <w:suppressLineNumbers w:val="0"/>
              <w:adjustRightInd w:val="0"/>
              <w:snapToGrid w:val="0"/>
              <w:spacing w:before="0" w:beforeAutospacing="0" w:after="0" w:afterAutospacing="0" w:line="320" w:lineRule="exact"/>
              <w:ind w:left="0" w:right="0" w:firstLine="0" w:firstLineChars="0"/>
              <w:rPr>
                <w:rFonts w:hint="default" w:hAnsi="宋体" w:eastAsia="宋体"/>
                <w:snapToGrid w:val="0"/>
                <w:color w:val="auto"/>
                <w:kern w:val="0"/>
                <w:sz w:val="21"/>
                <w:szCs w:val="21"/>
                <w:lang w:val="en-US" w:eastAsia="zh-CN"/>
              </w:rPr>
            </w:pPr>
            <w:r>
              <w:rPr>
                <w:rFonts w:hint="eastAsia"/>
                <w:snapToGrid w:val="0"/>
                <w:color w:val="auto"/>
                <w:kern w:val="0"/>
                <w:sz w:val="21"/>
                <w:szCs w:val="21"/>
                <w:lang w:eastAsia="zh-CN"/>
              </w:rPr>
              <w:t>根据可研报告和查阅供电系统图。</w:t>
            </w:r>
            <w:r>
              <w:rPr>
                <w:rFonts w:hint="eastAsia"/>
                <w:snapToGrid w:val="0"/>
                <w:color w:val="auto"/>
                <w:kern w:val="0"/>
                <w:sz w:val="21"/>
                <w:szCs w:val="21"/>
                <w:lang w:val="en-US" w:eastAsia="zh-CN"/>
              </w:rPr>
              <w:t>地面变电所高压配出2回馈线引至井下采区变电硐室；井下采区变电硐室为井下采掘设备配电。在 10kV架空线转电缆处、10kV母线上装设氧化锌避雷器、0.4kV侧装设浪涌保护器。</w:t>
            </w:r>
          </w:p>
        </w:tc>
        <w:tc>
          <w:tcPr>
            <w:tcW w:w="369" w:type="pct"/>
            <w:tcBorders>
              <w:tl2br w:val="nil"/>
              <w:tr2bl w:val="nil"/>
            </w:tcBorders>
            <w:vAlign w:val="center"/>
          </w:tcPr>
          <w:p w14:paraId="390C6E02">
            <w:pPr>
              <w:keepNext w:val="0"/>
              <w:keepLines/>
              <w:suppressLineNumbers w:val="0"/>
              <w:adjustRightInd w:val="0"/>
              <w:snapToGrid w:val="0"/>
              <w:spacing w:before="0" w:beforeAutospacing="0" w:after="0" w:afterAutospacing="0" w:line="320" w:lineRule="exact"/>
              <w:ind w:left="0" w:right="0" w:firstLine="0" w:firstLineChars="0"/>
              <w:jc w:val="center"/>
              <w:rPr>
                <w:rFonts w:hint="default" w:hAnsi="宋体"/>
                <w:snapToGrid w:val="0"/>
                <w:color w:val="auto"/>
                <w:kern w:val="0"/>
                <w:sz w:val="21"/>
                <w:szCs w:val="21"/>
              </w:rPr>
            </w:pPr>
            <w:r>
              <w:rPr>
                <w:rFonts w:hint="eastAsia" w:hAnsi="宋体"/>
                <w:snapToGrid w:val="0"/>
                <w:color w:val="auto"/>
                <w:kern w:val="0"/>
                <w:sz w:val="21"/>
                <w:szCs w:val="21"/>
              </w:rPr>
              <w:t>符合</w:t>
            </w:r>
          </w:p>
        </w:tc>
      </w:tr>
      <w:tr w14:paraId="6A1F1E0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c>
          <w:tcPr>
            <w:tcW w:w="355" w:type="pct"/>
            <w:tcBorders>
              <w:tl2br w:val="nil"/>
              <w:tr2bl w:val="nil"/>
            </w:tcBorders>
            <w:vAlign w:val="center"/>
          </w:tcPr>
          <w:p w14:paraId="7E81E523">
            <w:pPr>
              <w:keepNext w:val="0"/>
              <w:keepLines/>
              <w:suppressLineNumbers w:val="0"/>
              <w:adjustRightInd w:val="0"/>
              <w:snapToGrid w:val="0"/>
              <w:spacing w:before="0" w:beforeAutospacing="0" w:after="0" w:afterAutospacing="0" w:line="320" w:lineRule="exact"/>
              <w:ind w:left="0" w:right="0" w:firstLine="0" w:firstLineChars="0"/>
              <w:jc w:val="center"/>
              <w:rPr>
                <w:rFonts w:hint="default" w:hAnsi="宋体"/>
                <w:snapToGrid w:val="0"/>
                <w:color w:val="auto"/>
                <w:kern w:val="0"/>
                <w:sz w:val="21"/>
                <w:szCs w:val="21"/>
              </w:rPr>
            </w:pPr>
            <w:r>
              <w:rPr>
                <w:rFonts w:hint="eastAsia" w:hAnsi="宋体"/>
                <w:snapToGrid w:val="0"/>
                <w:color w:val="auto"/>
                <w:kern w:val="0"/>
                <w:sz w:val="21"/>
                <w:szCs w:val="21"/>
              </w:rPr>
              <w:t>4</w:t>
            </w:r>
          </w:p>
        </w:tc>
        <w:tc>
          <w:tcPr>
            <w:tcW w:w="1836" w:type="pct"/>
            <w:tcBorders>
              <w:tl2br w:val="nil"/>
              <w:tr2bl w:val="nil"/>
            </w:tcBorders>
            <w:vAlign w:val="center"/>
          </w:tcPr>
          <w:p w14:paraId="5CC384E3">
            <w:pPr>
              <w:keepNext w:val="0"/>
              <w:keepLines/>
              <w:suppressLineNumbers w:val="0"/>
              <w:spacing w:before="0" w:beforeAutospacing="0" w:after="0" w:afterAutospacing="0" w:line="320" w:lineRule="exact"/>
              <w:ind w:left="0" w:right="0" w:firstLine="0" w:firstLineChars="0"/>
              <w:rPr>
                <w:rFonts w:hint="default" w:hAnsi="宋体" w:cs="宋体"/>
                <w:color w:val="auto"/>
                <w:kern w:val="0"/>
                <w:sz w:val="21"/>
                <w:szCs w:val="21"/>
              </w:rPr>
            </w:pPr>
            <w:r>
              <w:rPr>
                <w:rFonts w:hint="eastAsia" w:hAnsi="宋体" w:cs="宋体"/>
                <w:color w:val="auto"/>
                <w:kern w:val="0"/>
                <w:sz w:val="21"/>
                <w:szCs w:val="21"/>
              </w:rPr>
              <w:t>井下应采用低烟、低卤或无卤的阻燃电缆。</w:t>
            </w:r>
          </w:p>
        </w:tc>
        <w:tc>
          <w:tcPr>
            <w:tcW w:w="1161" w:type="pct"/>
            <w:tcBorders>
              <w:tl2br w:val="nil"/>
              <w:tr2bl w:val="nil"/>
            </w:tcBorders>
            <w:vAlign w:val="center"/>
          </w:tcPr>
          <w:p w14:paraId="54C1D09D">
            <w:pPr>
              <w:keepNext w:val="0"/>
              <w:keepLines/>
              <w:suppressLineNumbers w:val="0"/>
              <w:spacing w:before="0" w:beforeAutospacing="0" w:after="0" w:afterAutospacing="0" w:line="320" w:lineRule="exact"/>
              <w:ind w:left="0" w:right="0" w:firstLine="0" w:firstLineChars="0"/>
              <w:jc w:val="center"/>
              <w:rPr>
                <w:rFonts w:hint="default" w:hAnsi="宋体"/>
                <w:color w:val="auto"/>
                <w:sz w:val="21"/>
                <w:szCs w:val="21"/>
              </w:rPr>
            </w:pPr>
            <w:r>
              <w:rPr>
                <w:rFonts w:hint="eastAsia" w:hAnsi="宋体"/>
                <w:color w:val="auto"/>
                <w:sz w:val="21"/>
                <w:szCs w:val="21"/>
              </w:rPr>
              <w:t>《金属非金属矿山安全规程》(GB16423-2020)</w:t>
            </w:r>
          </w:p>
          <w:p w14:paraId="4104A7F8">
            <w:pPr>
              <w:keepNext w:val="0"/>
              <w:keepLines/>
              <w:suppressLineNumbers w:val="0"/>
              <w:spacing w:before="0" w:beforeAutospacing="0" w:after="0" w:afterAutospacing="0" w:line="320" w:lineRule="exact"/>
              <w:ind w:left="0" w:right="0" w:firstLine="0" w:firstLineChars="0"/>
              <w:jc w:val="center"/>
              <w:rPr>
                <w:rFonts w:hint="default" w:hAnsi="宋体"/>
                <w:color w:val="auto"/>
                <w:sz w:val="21"/>
                <w:szCs w:val="21"/>
              </w:rPr>
            </w:pPr>
            <w:r>
              <w:rPr>
                <w:rFonts w:hint="eastAsia" w:hAnsi="宋体"/>
                <w:color w:val="auto"/>
                <w:sz w:val="21"/>
                <w:szCs w:val="21"/>
              </w:rPr>
              <w:t>第6.7.2.1条</w:t>
            </w:r>
          </w:p>
        </w:tc>
        <w:tc>
          <w:tcPr>
            <w:tcW w:w="1276" w:type="pct"/>
            <w:tcBorders>
              <w:tl2br w:val="nil"/>
              <w:tr2bl w:val="nil"/>
            </w:tcBorders>
            <w:vAlign w:val="center"/>
          </w:tcPr>
          <w:p w14:paraId="5A42A108">
            <w:pPr>
              <w:keepNext w:val="0"/>
              <w:keepLines/>
              <w:suppressLineNumbers w:val="0"/>
              <w:spacing w:before="0" w:beforeAutospacing="0" w:after="0" w:afterAutospacing="0" w:line="320" w:lineRule="exact"/>
              <w:ind w:left="0" w:right="0" w:firstLine="0" w:firstLineChars="0"/>
              <w:rPr>
                <w:rFonts w:hint="default" w:ascii="Times New Roman" w:hAnsi="宋体" w:eastAsia="宋体"/>
                <w:color w:val="auto"/>
                <w:sz w:val="21"/>
                <w:szCs w:val="21"/>
                <w:lang w:val="en-US" w:eastAsia="zh-CN"/>
              </w:rPr>
            </w:pPr>
            <w:r>
              <w:rPr>
                <w:rFonts w:hint="eastAsia" w:hAnsi="宋体" w:cs="宋体"/>
                <w:color w:val="auto"/>
                <w:sz w:val="21"/>
                <w:szCs w:val="21"/>
              </w:rPr>
              <w:t>该矿山井下拟采用</w:t>
            </w:r>
            <w:r>
              <w:rPr>
                <w:rFonts w:hint="eastAsia" w:cs="宋体"/>
                <w:color w:val="auto"/>
                <w:sz w:val="21"/>
                <w:szCs w:val="21"/>
                <w:lang w:eastAsia="zh-CN"/>
              </w:rPr>
              <w:t>低烟、低卤或无卤的</w:t>
            </w:r>
            <w:r>
              <w:rPr>
                <w:rFonts w:hint="eastAsia" w:hAnsi="宋体" w:cs="宋体"/>
                <w:color w:val="auto"/>
                <w:sz w:val="21"/>
                <w:szCs w:val="21"/>
              </w:rPr>
              <w:t>阻燃电缆。</w:t>
            </w:r>
            <w:r>
              <w:rPr>
                <w:rFonts w:hint="eastAsia" w:cs="宋体"/>
                <w:color w:val="auto"/>
                <w:sz w:val="21"/>
                <w:szCs w:val="21"/>
                <w:lang w:val="en-US" w:eastAsia="zh-CN"/>
              </w:rPr>
              <w:t>未明确井下电缆的型号规格。</w:t>
            </w:r>
          </w:p>
        </w:tc>
        <w:tc>
          <w:tcPr>
            <w:tcW w:w="369" w:type="pct"/>
            <w:tcBorders>
              <w:tl2br w:val="nil"/>
              <w:tr2bl w:val="nil"/>
            </w:tcBorders>
            <w:vAlign w:val="center"/>
          </w:tcPr>
          <w:p w14:paraId="286E81BB">
            <w:pPr>
              <w:keepNext w:val="0"/>
              <w:keepLines/>
              <w:suppressLineNumbers w:val="0"/>
              <w:spacing w:before="0" w:beforeAutospacing="0" w:after="0" w:afterAutospacing="0" w:line="320" w:lineRule="exact"/>
              <w:ind w:left="0" w:right="0" w:firstLine="0" w:firstLineChars="0"/>
              <w:jc w:val="center"/>
              <w:rPr>
                <w:rFonts w:hint="default" w:ascii="Times New Roman" w:hAnsi="宋体"/>
                <w:color w:val="auto"/>
                <w:sz w:val="21"/>
                <w:szCs w:val="21"/>
              </w:rPr>
            </w:pPr>
            <w:r>
              <w:rPr>
                <w:rFonts w:hint="eastAsia" w:ascii="Times New Roman"/>
                <w:color w:val="auto"/>
                <w:sz w:val="21"/>
                <w:szCs w:val="21"/>
                <w:lang w:val="en-US" w:eastAsia="zh-CN"/>
              </w:rPr>
              <w:t>不</w:t>
            </w:r>
            <w:r>
              <w:rPr>
                <w:rFonts w:hint="eastAsia" w:ascii="Times New Roman" w:hAnsi="宋体"/>
                <w:color w:val="auto"/>
                <w:sz w:val="21"/>
                <w:szCs w:val="21"/>
              </w:rPr>
              <w:t>符合</w:t>
            </w:r>
          </w:p>
        </w:tc>
      </w:tr>
      <w:tr w14:paraId="4ACB2B5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c>
          <w:tcPr>
            <w:tcW w:w="355" w:type="pct"/>
            <w:tcBorders>
              <w:tl2br w:val="nil"/>
              <w:tr2bl w:val="nil"/>
            </w:tcBorders>
            <w:vAlign w:val="center"/>
          </w:tcPr>
          <w:p w14:paraId="1CF1D8F4">
            <w:pPr>
              <w:keepNext w:val="0"/>
              <w:keepLines/>
              <w:suppressLineNumbers w:val="0"/>
              <w:adjustRightInd w:val="0"/>
              <w:snapToGrid w:val="0"/>
              <w:spacing w:before="0" w:beforeAutospacing="0" w:after="0" w:afterAutospacing="0" w:line="320" w:lineRule="exact"/>
              <w:ind w:left="0" w:right="0" w:firstLine="0" w:firstLineChars="0"/>
              <w:jc w:val="center"/>
              <w:rPr>
                <w:rFonts w:hint="default" w:hAnsi="宋体"/>
                <w:snapToGrid w:val="0"/>
                <w:color w:val="auto"/>
                <w:kern w:val="0"/>
                <w:sz w:val="21"/>
                <w:szCs w:val="21"/>
              </w:rPr>
            </w:pPr>
            <w:r>
              <w:rPr>
                <w:rFonts w:hint="eastAsia" w:hAnsi="宋体"/>
                <w:snapToGrid w:val="0"/>
                <w:color w:val="auto"/>
                <w:kern w:val="0"/>
                <w:sz w:val="21"/>
                <w:szCs w:val="21"/>
              </w:rPr>
              <w:t>5</w:t>
            </w:r>
          </w:p>
        </w:tc>
        <w:tc>
          <w:tcPr>
            <w:tcW w:w="1836" w:type="pct"/>
            <w:tcBorders>
              <w:tl2br w:val="nil"/>
              <w:tr2bl w:val="nil"/>
            </w:tcBorders>
            <w:vAlign w:val="center"/>
          </w:tcPr>
          <w:p w14:paraId="7CB25B47">
            <w:pPr>
              <w:keepNext w:val="0"/>
              <w:keepLines w:val="0"/>
              <w:suppressLineNumbers w:val="0"/>
              <w:spacing w:before="0" w:beforeAutospacing="0" w:after="0" w:afterAutospacing="0" w:line="320" w:lineRule="exact"/>
              <w:ind w:left="0" w:right="0" w:firstLine="0" w:firstLineChars="0"/>
              <w:rPr>
                <w:rFonts w:hint="default" w:hAnsi="宋体" w:cs="宋体"/>
                <w:color w:val="auto"/>
                <w:kern w:val="0"/>
                <w:sz w:val="21"/>
                <w:szCs w:val="21"/>
              </w:rPr>
            </w:pPr>
            <w:r>
              <w:rPr>
                <w:rFonts w:hint="eastAsia" w:hAnsi="宋体" w:cs="宋体"/>
                <w:color w:val="auto"/>
                <w:kern w:val="0"/>
                <w:sz w:val="21"/>
                <w:szCs w:val="21"/>
              </w:rPr>
              <w:t>井下电缆敷设应符合下列规定：①水平或倾斜巷道内悬挂的电缆，在矿车、机车掉道时或其他运输车辆运行时不应受到撞击；电缆坠落时不会落在带式输送机上或车辆正常运行的通道上；②水平或倾斜巷道内的电缆悬挂点的间距不大于3m；竖井电缆悬挂点的间距不大于6m；③电缆固定装置应能承受电缆重量，且不应损坏电缆的外皮；电缆上不应悬挂任何物体；④不应将电缆悬挂在风、水管路上；电缆与风、水管路平行敷设时，应敷设在管路上方300mm以上；⑤电力电缆与通信电缆或光缆敷设在巷道同一侧时，电力电缆应在通信电缆下方，且净距不小于100mm；电力电缆与通信电缆或光缆在井筒内敷设时，净距不小于300mm；⑥裸露的电缆的铠装或金属外皮应作防腐蚀处理。</w:t>
            </w:r>
          </w:p>
        </w:tc>
        <w:tc>
          <w:tcPr>
            <w:tcW w:w="1161" w:type="pct"/>
            <w:tcBorders>
              <w:tl2br w:val="nil"/>
              <w:tr2bl w:val="nil"/>
            </w:tcBorders>
            <w:vAlign w:val="center"/>
          </w:tcPr>
          <w:p w14:paraId="1700428E">
            <w:pPr>
              <w:keepNext w:val="0"/>
              <w:keepLines w:val="0"/>
              <w:suppressLineNumbers w:val="0"/>
              <w:spacing w:before="0" w:beforeAutospacing="0" w:after="0" w:afterAutospacing="0" w:line="320" w:lineRule="exact"/>
              <w:ind w:left="0" w:right="0" w:firstLine="0" w:firstLineChars="0"/>
              <w:jc w:val="center"/>
              <w:rPr>
                <w:rFonts w:hint="default" w:hAnsi="宋体"/>
                <w:color w:val="auto"/>
                <w:sz w:val="21"/>
                <w:szCs w:val="21"/>
              </w:rPr>
            </w:pPr>
            <w:r>
              <w:rPr>
                <w:rFonts w:hint="eastAsia" w:hAnsi="宋体"/>
                <w:color w:val="auto"/>
                <w:sz w:val="21"/>
                <w:szCs w:val="21"/>
              </w:rPr>
              <w:t>《金属非金属矿山安全规程》(GB16423-2020)</w:t>
            </w:r>
          </w:p>
          <w:p w14:paraId="48AD579C">
            <w:pPr>
              <w:keepNext w:val="0"/>
              <w:keepLines w:val="0"/>
              <w:suppressLineNumbers w:val="0"/>
              <w:spacing w:before="0" w:beforeAutospacing="0" w:after="0" w:afterAutospacing="0" w:line="320" w:lineRule="exact"/>
              <w:ind w:left="0" w:right="0" w:firstLine="0" w:firstLineChars="0"/>
              <w:jc w:val="center"/>
              <w:rPr>
                <w:rFonts w:hint="default" w:hAnsi="宋体"/>
                <w:color w:val="auto"/>
                <w:sz w:val="21"/>
                <w:szCs w:val="21"/>
              </w:rPr>
            </w:pPr>
            <w:r>
              <w:rPr>
                <w:rFonts w:hint="eastAsia" w:hAnsi="宋体"/>
                <w:color w:val="auto"/>
                <w:sz w:val="21"/>
                <w:szCs w:val="21"/>
              </w:rPr>
              <w:t>第6.7.2.6条</w:t>
            </w:r>
          </w:p>
        </w:tc>
        <w:tc>
          <w:tcPr>
            <w:tcW w:w="1276" w:type="pct"/>
            <w:tcBorders>
              <w:tl2br w:val="nil"/>
              <w:tr2bl w:val="nil"/>
            </w:tcBorders>
            <w:vAlign w:val="center"/>
          </w:tcPr>
          <w:p w14:paraId="346132DC">
            <w:pPr>
              <w:keepNext w:val="0"/>
              <w:keepLines w:val="0"/>
              <w:suppressLineNumbers w:val="0"/>
              <w:spacing w:before="0" w:beforeAutospacing="0" w:after="0" w:afterAutospacing="0" w:line="320" w:lineRule="exact"/>
              <w:ind w:left="0" w:right="0" w:firstLine="0" w:firstLineChars="0"/>
              <w:rPr>
                <w:rFonts w:hint="eastAsia" w:ascii="Times New Roman" w:hAnsi="宋体" w:eastAsia="宋体"/>
                <w:color w:val="auto"/>
                <w:sz w:val="21"/>
                <w:szCs w:val="21"/>
                <w:lang w:val="en-US" w:eastAsia="zh-CN"/>
              </w:rPr>
            </w:pPr>
            <w:r>
              <w:rPr>
                <w:rFonts w:hint="eastAsia" w:hAnsi="宋体" w:cs="宋体"/>
                <w:color w:val="auto"/>
                <w:sz w:val="21"/>
                <w:szCs w:val="21"/>
              </w:rPr>
              <w:t>可研中</w:t>
            </w:r>
            <w:r>
              <w:rPr>
                <w:rFonts w:hint="eastAsia" w:cs="宋体"/>
                <w:color w:val="auto"/>
                <w:sz w:val="21"/>
                <w:szCs w:val="21"/>
                <w:lang w:val="en-US" w:eastAsia="zh-CN"/>
              </w:rPr>
              <w:t>未明确电缆具体敷设</w:t>
            </w:r>
            <w:r>
              <w:rPr>
                <w:rFonts w:hint="eastAsia" w:hAnsi="宋体" w:cs="宋体"/>
                <w:color w:val="auto"/>
                <w:sz w:val="21"/>
                <w:szCs w:val="21"/>
              </w:rPr>
              <w:t>要求</w:t>
            </w:r>
            <w:r>
              <w:rPr>
                <w:rFonts w:hint="eastAsia" w:cs="宋体"/>
                <w:color w:val="auto"/>
                <w:sz w:val="21"/>
                <w:szCs w:val="21"/>
                <w:lang w:eastAsia="zh-CN"/>
              </w:rPr>
              <w:t>。</w:t>
            </w:r>
          </w:p>
        </w:tc>
        <w:tc>
          <w:tcPr>
            <w:tcW w:w="369" w:type="pct"/>
            <w:tcBorders>
              <w:tl2br w:val="nil"/>
              <w:tr2bl w:val="nil"/>
            </w:tcBorders>
            <w:vAlign w:val="center"/>
          </w:tcPr>
          <w:p w14:paraId="112D3B20">
            <w:pPr>
              <w:keepNext w:val="0"/>
              <w:keepLines w:val="0"/>
              <w:suppressLineNumbers w:val="0"/>
              <w:spacing w:before="0" w:beforeAutospacing="0" w:after="0" w:afterAutospacing="0" w:line="320" w:lineRule="exact"/>
              <w:ind w:left="0" w:right="0" w:firstLine="0" w:firstLineChars="0"/>
              <w:jc w:val="center"/>
              <w:rPr>
                <w:rFonts w:hint="default" w:ascii="Times New Roman" w:hAnsi="宋体"/>
                <w:color w:val="auto"/>
                <w:sz w:val="21"/>
                <w:szCs w:val="21"/>
              </w:rPr>
            </w:pPr>
            <w:r>
              <w:rPr>
                <w:rFonts w:hint="eastAsia" w:ascii="Times New Roman"/>
                <w:color w:val="auto"/>
                <w:sz w:val="21"/>
                <w:szCs w:val="21"/>
                <w:lang w:val="en-US" w:eastAsia="zh-CN"/>
              </w:rPr>
              <w:t>不</w:t>
            </w:r>
            <w:r>
              <w:rPr>
                <w:rFonts w:hint="eastAsia" w:ascii="Times New Roman" w:hAnsi="宋体"/>
                <w:color w:val="auto"/>
                <w:sz w:val="21"/>
                <w:szCs w:val="21"/>
              </w:rPr>
              <w:t>符合</w:t>
            </w:r>
          </w:p>
        </w:tc>
      </w:tr>
      <w:tr w14:paraId="79BEB1E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c>
          <w:tcPr>
            <w:tcW w:w="355" w:type="pct"/>
            <w:tcBorders>
              <w:tl2br w:val="nil"/>
              <w:tr2bl w:val="nil"/>
            </w:tcBorders>
            <w:vAlign w:val="center"/>
          </w:tcPr>
          <w:p w14:paraId="0F45FBE5">
            <w:pPr>
              <w:keepNext w:val="0"/>
              <w:keepLines/>
              <w:suppressLineNumbers w:val="0"/>
              <w:adjustRightInd w:val="0"/>
              <w:snapToGrid w:val="0"/>
              <w:spacing w:before="0" w:beforeAutospacing="0" w:after="0" w:afterAutospacing="0" w:line="320" w:lineRule="exact"/>
              <w:ind w:left="0" w:right="0" w:firstLine="0" w:firstLineChars="0"/>
              <w:jc w:val="center"/>
              <w:rPr>
                <w:rFonts w:hint="default" w:hAnsi="宋体"/>
                <w:snapToGrid w:val="0"/>
                <w:color w:val="auto"/>
                <w:kern w:val="0"/>
                <w:sz w:val="21"/>
                <w:szCs w:val="21"/>
              </w:rPr>
            </w:pPr>
            <w:r>
              <w:rPr>
                <w:rFonts w:hint="eastAsia" w:hAnsi="宋体"/>
                <w:snapToGrid w:val="0"/>
                <w:color w:val="auto"/>
                <w:kern w:val="0"/>
                <w:sz w:val="21"/>
                <w:szCs w:val="21"/>
              </w:rPr>
              <w:t>6</w:t>
            </w:r>
          </w:p>
        </w:tc>
        <w:tc>
          <w:tcPr>
            <w:tcW w:w="1836" w:type="pct"/>
            <w:tcBorders>
              <w:tl2br w:val="nil"/>
              <w:tr2bl w:val="nil"/>
            </w:tcBorders>
            <w:vAlign w:val="center"/>
          </w:tcPr>
          <w:p w14:paraId="1689AB8C">
            <w:pPr>
              <w:keepNext w:val="0"/>
              <w:keepLines/>
              <w:suppressLineNumbers w:val="0"/>
              <w:adjustRightInd w:val="0"/>
              <w:snapToGrid w:val="0"/>
              <w:spacing w:before="0" w:beforeAutospacing="0" w:after="0" w:afterAutospacing="0" w:line="320" w:lineRule="exact"/>
              <w:ind w:left="0" w:right="0" w:firstLine="0" w:firstLineChars="0"/>
              <w:rPr>
                <w:rFonts w:hint="default" w:hAnsi="宋体"/>
                <w:snapToGrid w:val="0"/>
                <w:color w:val="auto"/>
                <w:kern w:val="0"/>
                <w:sz w:val="21"/>
                <w:szCs w:val="21"/>
              </w:rPr>
            </w:pPr>
            <w:r>
              <w:rPr>
                <w:rFonts w:hint="eastAsia" w:hAnsi="宋体"/>
                <w:snapToGrid w:val="0"/>
                <w:color w:val="auto"/>
                <w:kern w:val="0"/>
                <w:sz w:val="21"/>
                <w:szCs w:val="21"/>
              </w:rPr>
              <w:t>井下不应采用油浸式电气设备。</w:t>
            </w:r>
          </w:p>
        </w:tc>
        <w:tc>
          <w:tcPr>
            <w:tcW w:w="1161" w:type="pct"/>
            <w:tcBorders>
              <w:tl2br w:val="nil"/>
              <w:tr2bl w:val="nil"/>
            </w:tcBorders>
            <w:vAlign w:val="center"/>
          </w:tcPr>
          <w:p w14:paraId="0DC63CE5">
            <w:pPr>
              <w:keepNext w:val="0"/>
              <w:keepLines w:val="0"/>
              <w:suppressLineNumbers w:val="0"/>
              <w:spacing w:before="0" w:beforeAutospacing="0" w:after="0" w:afterAutospacing="0" w:line="320" w:lineRule="exact"/>
              <w:ind w:left="0" w:right="0" w:firstLine="0" w:firstLineChars="0"/>
              <w:jc w:val="center"/>
              <w:rPr>
                <w:rFonts w:hint="default" w:hAnsi="宋体"/>
                <w:color w:val="auto"/>
                <w:sz w:val="21"/>
                <w:szCs w:val="21"/>
              </w:rPr>
            </w:pPr>
            <w:r>
              <w:rPr>
                <w:rFonts w:hint="eastAsia" w:hAnsi="宋体"/>
                <w:color w:val="auto"/>
                <w:sz w:val="21"/>
                <w:szCs w:val="21"/>
              </w:rPr>
              <w:t>《金属非金属矿山安全规程》(GB16423-2020)</w:t>
            </w:r>
          </w:p>
          <w:p w14:paraId="0FCB698C">
            <w:pPr>
              <w:keepNext w:val="0"/>
              <w:keepLines/>
              <w:suppressLineNumbers w:val="0"/>
              <w:adjustRightInd w:val="0"/>
              <w:snapToGrid w:val="0"/>
              <w:spacing w:before="0" w:beforeAutospacing="0" w:after="0" w:afterAutospacing="0" w:line="320" w:lineRule="exact"/>
              <w:ind w:left="0" w:right="0" w:firstLine="0" w:firstLineChars="0"/>
              <w:jc w:val="center"/>
              <w:rPr>
                <w:rFonts w:hint="default" w:hAnsi="宋体"/>
                <w:color w:val="auto"/>
                <w:sz w:val="21"/>
                <w:szCs w:val="21"/>
              </w:rPr>
            </w:pPr>
            <w:r>
              <w:rPr>
                <w:rFonts w:hint="eastAsia" w:hAnsi="宋体"/>
                <w:color w:val="auto"/>
                <w:sz w:val="21"/>
                <w:szCs w:val="21"/>
              </w:rPr>
              <w:t>第6.7.3.1条</w:t>
            </w:r>
          </w:p>
        </w:tc>
        <w:tc>
          <w:tcPr>
            <w:tcW w:w="1276" w:type="pct"/>
            <w:tcBorders>
              <w:tl2br w:val="nil"/>
              <w:tr2bl w:val="nil"/>
            </w:tcBorders>
            <w:vAlign w:val="center"/>
          </w:tcPr>
          <w:p w14:paraId="6A4CFC45">
            <w:pPr>
              <w:keepNext w:val="0"/>
              <w:keepLines/>
              <w:suppressLineNumbers w:val="0"/>
              <w:adjustRightInd w:val="0"/>
              <w:snapToGrid w:val="0"/>
              <w:spacing w:before="0" w:beforeAutospacing="0" w:after="0" w:afterAutospacing="0" w:line="320" w:lineRule="exact"/>
              <w:ind w:left="0" w:right="0" w:firstLine="0" w:firstLineChars="0"/>
              <w:rPr>
                <w:rFonts w:hint="default" w:hAnsi="宋体"/>
                <w:snapToGrid w:val="0"/>
                <w:color w:val="auto"/>
                <w:kern w:val="0"/>
                <w:sz w:val="21"/>
                <w:szCs w:val="21"/>
              </w:rPr>
            </w:pPr>
            <w:r>
              <w:rPr>
                <w:rFonts w:hint="eastAsia"/>
                <w:color w:val="auto"/>
                <w:sz w:val="21"/>
                <w:szCs w:val="21"/>
                <w:lang w:eastAsia="zh-CN"/>
              </w:rPr>
              <w:t>根据可研报告，井下变电</w:t>
            </w:r>
            <w:r>
              <w:rPr>
                <w:rFonts w:hint="eastAsia"/>
                <w:color w:val="auto"/>
                <w:sz w:val="21"/>
                <w:szCs w:val="21"/>
                <w:lang w:val="en-US" w:eastAsia="zh-CN"/>
              </w:rPr>
              <w:t>硐室</w:t>
            </w:r>
            <w:r>
              <w:rPr>
                <w:rFonts w:hint="eastAsia"/>
                <w:color w:val="auto"/>
                <w:sz w:val="21"/>
                <w:szCs w:val="21"/>
                <w:lang w:eastAsia="zh-CN"/>
              </w:rPr>
              <w:t>配备的变压器选用 KSG-矿用型并具有“KA”矿安标志。</w:t>
            </w:r>
            <w:r>
              <w:rPr>
                <w:rFonts w:hint="eastAsia"/>
                <w:color w:val="auto"/>
                <w:sz w:val="21"/>
                <w:szCs w:val="21"/>
                <w:lang w:val="en-US" w:eastAsia="zh-CN"/>
              </w:rPr>
              <w:t>未使用</w:t>
            </w:r>
            <w:r>
              <w:rPr>
                <w:rFonts w:hint="eastAsia" w:hAnsi="宋体"/>
                <w:snapToGrid w:val="0"/>
                <w:color w:val="auto"/>
                <w:kern w:val="0"/>
                <w:sz w:val="21"/>
                <w:szCs w:val="21"/>
              </w:rPr>
              <w:t>油浸式电气设备。</w:t>
            </w:r>
          </w:p>
        </w:tc>
        <w:tc>
          <w:tcPr>
            <w:tcW w:w="369" w:type="pct"/>
            <w:tcBorders>
              <w:tl2br w:val="nil"/>
              <w:tr2bl w:val="nil"/>
            </w:tcBorders>
            <w:vAlign w:val="center"/>
          </w:tcPr>
          <w:p w14:paraId="72FEF494">
            <w:pPr>
              <w:keepNext w:val="0"/>
              <w:keepLines/>
              <w:suppressLineNumbers w:val="0"/>
              <w:adjustRightInd w:val="0"/>
              <w:snapToGrid w:val="0"/>
              <w:spacing w:before="0" w:beforeAutospacing="0" w:after="0" w:afterAutospacing="0" w:line="320" w:lineRule="exact"/>
              <w:ind w:left="0" w:right="0" w:firstLine="0" w:firstLineChars="0"/>
              <w:jc w:val="center"/>
              <w:rPr>
                <w:rFonts w:hint="default" w:hAnsi="宋体"/>
                <w:snapToGrid w:val="0"/>
                <w:color w:val="auto"/>
                <w:kern w:val="0"/>
                <w:sz w:val="21"/>
                <w:szCs w:val="21"/>
              </w:rPr>
            </w:pPr>
            <w:r>
              <w:rPr>
                <w:rFonts w:hint="eastAsia" w:hAnsi="宋体"/>
                <w:snapToGrid w:val="0"/>
                <w:color w:val="auto"/>
                <w:kern w:val="0"/>
                <w:sz w:val="21"/>
                <w:szCs w:val="21"/>
              </w:rPr>
              <w:t>符合</w:t>
            </w:r>
          </w:p>
        </w:tc>
      </w:tr>
      <w:tr w14:paraId="5F6563A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c>
          <w:tcPr>
            <w:tcW w:w="355" w:type="pct"/>
            <w:tcBorders>
              <w:tl2br w:val="nil"/>
              <w:tr2bl w:val="nil"/>
            </w:tcBorders>
            <w:vAlign w:val="center"/>
          </w:tcPr>
          <w:p w14:paraId="05E7642B">
            <w:pPr>
              <w:keepNext w:val="0"/>
              <w:keepLines/>
              <w:suppressLineNumbers w:val="0"/>
              <w:adjustRightInd w:val="0"/>
              <w:snapToGrid w:val="0"/>
              <w:spacing w:before="0" w:beforeAutospacing="0" w:after="0" w:afterAutospacing="0" w:line="320" w:lineRule="exact"/>
              <w:ind w:left="0" w:right="0" w:firstLine="0" w:firstLineChars="0"/>
              <w:jc w:val="center"/>
              <w:rPr>
                <w:rFonts w:hint="eastAsia" w:hAnsi="宋体" w:eastAsia="宋体"/>
                <w:snapToGrid w:val="0"/>
                <w:color w:val="auto"/>
                <w:kern w:val="0"/>
                <w:sz w:val="21"/>
                <w:szCs w:val="21"/>
                <w:lang w:val="en-US" w:eastAsia="zh-CN"/>
              </w:rPr>
            </w:pPr>
            <w:r>
              <w:rPr>
                <w:rFonts w:hint="eastAsia"/>
                <w:snapToGrid w:val="0"/>
                <w:color w:val="auto"/>
                <w:kern w:val="0"/>
                <w:sz w:val="21"/>
                <w:szCs w:val="21"/>
                <w:lang w:val="en-US" w:eastAsia="zh-CN"/>
              </w:rPr>
              <w:t>7</w:t>
            </w:r>
          </w:p>
        </w:tc>
        <w:tc>
          <w:tcPr>
            <w:tcW w:w="1836" w:type="pct"/>
            <w:tcBorders>
              <w:tl2br w:val="nil"/>
              <w:tr2bl w:val="nil"/>
            </w:tcBorders>
            <w:vAlign w:val="center"/>
          </w:tcPr>
          <w:p w14:paraId="386B89C3">
            <w:pPr>
              <w:pStyle w:val="34"/>
              <w:keepNext w:val="0"/>
              <w:keepLines w:val="0"/>
              <w:suppressLineNumbers w:val="0"/>
              <w:spacing w:before="0" w:beforeAutospacing="0" w:after="0" w:afterAutospacing="0"/>
              <w:ind w:left="0" w:right="0"/>
              <w:rPr>
                <w:rFonts w:hint="eastAsia"/>
                <w:color w:val="auto"/>
              </w:rPr>
            </w:pPr>
            <w:r>
              <w:rPr>
                <w:rFonts w:hint="eastAsia"/>
                <w:color w:val="auto"/>
              </w:rPr>
              <w:t>电气</w:t>
            </w:r>
            <w:r>
              <w:rPr>
                <w:rFonts w:hint="eastAsia" w:eastAsia="宋体"/>
                <w:color w:val="auto"/>
                <w:lang w:val="en-US" w:eastAsia="zh-CN"/>
              </w:rPr>
              <w:t>硐室</w:t>
            </w:r>
            <w:r>
              <w:rPr>
                <w:rFonts w:hint="eastAsia"/>
                <w:color w:val="auto"/>
              </w:rPr>
              <w:t>应符合下列要求</w:t>
            </w:r>
            <w:r>
              <w:rPr>
                <w:rFonts w:hint="eastAsia" w:eastAsia="宋体"/>
                <w:color w:val="auto"/>
                <w:lang w:eastAsia="zh-CN"/>
              </w:rPr>
              <w:t>：</w:t>
            </w:r>
            <w:r>
              <w:rPr>
                <w:rFonts w:hint="eastAsia"/>
                <w:color w:val="auto"/>
              </w:rPr>
              <w:t>
</w:t>
            </w:r>
          </w:p>
          <w:p w14:paraId="589F6AAC">
            <w:pPr>
              <w:pStyle w:val="34"/>
              <w:keepNext w:val="0"/>
              <w:keepLines w:val="0"/>
              <w:suppressLineNumbers w:val="0"/>
              <w:spacing w:before="0" w:beforeAutospacing="0" w:after="0" w:afterAutospacing="0"/>
              <w:ind w:left="0" w:right="0"/>
              <w:rPr>
                <w:rFonts w:hint="eastAsia"/>
                <w:color w:val="auto"/>
              </w:rPr>
            </w:pPr>
            <w:r>
              <w:rPr>
                <w:rFonts w:hint="eastAsia"/>
                <w:color w:val="auto"/>
                <w:lang w:val="en-US" w:eastAsia="zh-CN"/>
              </w:rPr>
              <w:t>——</w:t>
            </w:r>
            <w:r>
              <w:rPr>
                <w:rFonts w:hint="eastAsia"/>
                <w:color w:val="auto"/>
              </w:rPr>
              <w:t>不应采用可燃性材料支护</w:t>
            </w:r>
            <w:r>
              <w:rPr>
                <w:rFonts w:hint="eastAsia" w:eastAsia="宋体"/>
                <w:color w:val="auto"/>
                <w:lang w:eastAsia="zh-CN"/>
              </w:rPr>
              <w:t>；</w:t>
            </w:r>
            <w:r>
              <w:rPr>
                <w:rFonts w:hint="eastAsia" w:eastAsia="宋体"/>
                <w:color w:val="auto"/>
                <w:lang w:val="en-US" w:eastAsia="zh-CN"/>
              </w:rPr>
              <w:t>硐室</w:t>
            </w:r>
            <w:r>
              <w:rPr>
                <w:rFonts w:hint="eastAsia"/>
                <w:color w:val="auto"/>
              </w:rPr>
              <w:t>的顶板和墙壁应无</w:t>
            </w:r>
            <w:r>
              <w:rPr>
                <w:rFonts w:hint="eastAsia"/>
                <w:color w:val="auto"/>
                <w:lang w:eastAsia="zh-CN"/>
              </w:rPr>
              <w:t>渗</w:t>
            </w:r>
            <w:r>
              <w:rPr>
                <w:rFonts w:hint="eastAsia"/>
                <w:color w:val="auto"/>
              </w:rPr>
              <w:t>水</w:t>
            </w:r>
            <w:r>
              <w:rPr>
                <w:rFonts w:hint="eastAsia" w:eastAsia="宋体"/>
                <w:color w:val="auto"/>
                <w:lang w:eastAsia="zh-CN"/>
              </w:rPr>
              <w:t>。</w:t>
            </w:r>
            <w:r>
              <w:rPr>
                <w:rFonts w:hint="eastAsia"/>
                <w:color w:val="auto"/>
              </w:rPr>
              <w:t>
</w:t>
            </w:r>
          </w:p>
          <w:p w14:paraId="4D774AF0">
            <w:pPr>
              <w:pStyle w:val="34"/>
              <w:keepNext w:val="0"/>
              <w:keepLines w:val="0"/>
              <w:suppressLineNumbers w:val="0"/>
              <w:spacing w:before="0" w:beforeAutospacing="0" w:after="0" w:afterAutospacing="0"/>
              <w:ind w:left="0" w:right="0"/>
              <w:rPr>
                <w:rFonts w:hint="eastAsia" w:eastAsia="宋体"/>
                <w:color w:val="auto"/>
                <w:lang w:eastAsia="zh-CN"/>
              </w:rPr>
            </w:pPr>
            <w:r>
              <w:rPr>
                <w:rFonts w:hint="eastAsia"/>
                <w:color w:val="auto"/>
                <w:lang w:val="en-US" w:eastAsia="zh-CN"/>
              </w:rPr>
              <w:t>——</w:t>
            </w:r>
            <w:r>
              <w:rPr>
                <w:rFonts w:hint="eastAsia"/>
                <w:color w:val="auto"/>
              </w:rPr>
              <w:t>中央变电所的地面应比其入口处巷道底板高出0.5m以上</w:t>
            </w:r>
            <w:r>
              <w:rPr>
                <w:rFonts w:hint="eastAsia" w:eastAsia="宋体"/>
                <w:color w:val="auto"/>
                <w:lang w:eastAsia="zh-CN"/>
              </w:rPr>
              <w:t>；</w:t>
            </w:r>
            <w:r>
              <w:rPr>
                <w:rFonts w:hint="eastAsia"/>
                <w:color w:val="auto"/>
              </w:rPr>
              <w:t>与水泵房</w:t>
            </w:r>
            <w:r>
              <w:rPr>
                <w:rFonts w:hint="eastAsia"/>
                <w:color w:val="auto"/>
                <w:lang w:val="en-US" w:eastAsia="zh-CN"/>
              </w:rPr>
              <w:t>相</w:t>
            </w:r>
            <w:r>
              <w:rPr>
                <w:rFonts w:hint="eastAsia"/>
                <w:color w:val="auto"/>
              </w:rPr>
              <w:t>邻时，应高于水泵房地</w:t>
            </w:r>
            <w:r>
              <w:rPr>
                <w:rFonts w:hint="eastAsia" w:eastAsia="宋体"/>
                <w:color w:val="auto"/>
                <w:lang w:val="en-US" w:eastAsia="zh-CN"/>
              </w:rPr>
              <w:t>面</w:t>
            </w:r>
            <w:r>
              <w:rPr>
                <w:rFonts w:hint="eastAsia"/>
                <w:color w:val="auto"/>
              </w:rPr>
              <w:t>0.3m</w:t>
            </w:r>
            <w:r>
              <w:rPr>
                <w:rFonts w:hint="eastAsia" w:eastAsia="宋体"/>
                <w:color w:val="auto"/>
                <w:lang w:eastAsia="zh-CN"/>
              </w:rPr>
              <w:t>；</w:t>
            </w:r>
          </w:p>
          <w:p w14:paraId="11EC195B">
            <w:pPr>
              <w:pStyle w:val="34"/>
              <w:keepNext w:val="0"/>
              <w:keepLines w:val="0"/>
              <w:suppressLineNumbers w:val="0"/>
              <w:spacing w:before="0" w:beforeAutospacing="0" w:after="0" w:afterAutospacing="0"/>
              <w:ind w:left="0" w:right="0"/>
              <w:rPr>
                <w:rFonts w:hint="eastAsia" w:eastAsia="宋体"/>
                <w:color w:val="auto"/>
                <w:lang w:eastAsia="zh-CN"/>
              </w:rPr>
            </w:pPr>
            <w:r>
              <w:rPr>
                <w:rFonts w:hint="eastAsia"/>
                <w:color w:val="auto"/>
                <w:lang w:val="en-US" w:eastAsia="zh-CN"/>
              </w:rPr>
              <w:t>——</w:t>
            </w:r>
            <w:r>
              <w:rPr>
                <w:rFonts w:hint="eastAsia"/>
                <w:color w:val="auto"/>
              </w:rPr>
              <w:t>采区变电所及其他电气硐室的地面应比其入口处的巷道底板高出</w:t>
            </w:r>
            <w:r>
              <w:rPr>
                <w:rFonts w:hint="eastAsia" w:eastAsia="宋体"/>
                <w:color w:val="auto"/>
                <w:lang w:eastAsia="zh-CN"/>
              </w:rPr>
              <w:t>0.</w:t>
            </w:r>
            <w:r>
              <w:rPr>
                <w:rFonts w:hint="eastAsia"/>
                <w:color w:val="auto"/>
              </w:rPr>
              <w:t>2m</w:t>
            </w:r>
            <w:r>
              <w:rPr>
                <w:rFonts w:hint="eastAsia" w:eastAsia="宋体"/>
                <w:color w:val="auto"/>
                <w:lang w:eastAsia="zh-CN"/>
              </w:rPr>
              <w:t>；</w:t>
            </w:r>
          </w:p>
          <w:p w14:paraId="05FE63F1">
            <w:pPr>
              <w:pStyle w:val="34"/>
              <w:keepNext w:val="0"/>
              <w:keepLines w:val="0"/>
              <w:suppressLineNumbers w:val="0"/>
              <w:spacing w:before="0" w:beforeAutospacing="0" w:after="0" w:afterAutospacing="0"/>
              <w:ind w:left="0" w:right="0"/>
              <w:rPr>
                <w:rFonts w:hint="eastAsia" w:eastAsia="宋体"/>
                <w:color w:val="auto"/>
                <w:lang w:eastAsia="zh-CN"/>
              </w:rPr>
            </w:pPr>
            <w:r>
              <w:rPr>
                <w:rFonts w:hint="eastAsia"/>
                <w:color w:val="auto"/>
                <w:lang w:val="en-US" w:eastAsia="zh-CN"/>
              </w:rPr>
              <w:t>——</w:t>
            </w:r>
            <w:r>
              <w:rPr>
                <w:rFonts w:hint="eastAsia" w:eastAsia="宋体"/>
                <w:color w:val="auto"/>
                <w:lang w:val="en-US" w:eastAsia="zh-CN"/>
              </w:rPr>
              <w:t>硐</w:t>
            </w:r>
            <w:r>
              <w:rPr>
                <w:rFonts w:hint="eastAsia"/>
                <w:color w:val="auto"/>
              </w:rPr>
              <w:t>室地面应以2％～5％的坡度向巷道等标高较低的方向倾斜</w:t>
            </w:r>
            <w:r>
              <w:rPr>
                <w:rFonts w:hint="eastAsia" w:eastAsia="宋体"/>
                <w:color w:val="auto"/>
                <w:lang w:eastAsia="zh-CN"/>
              </w:rPr>
              <w:t>；</w:t>
            </w:r>
          </w:p>
          <w:p w14:paraId="2C59CAAF">
            <w:pPr>
              <w:pStyle w:val="34"/>
              <w:keepNext w:val="0"/>
              <w:keepLines w:val="0"/>
              <w:suppressLineNumbers w:val="0"/>
              <w:spacing w:before="0" w:beforeAutospacing="0" w:after="0" w:afterAutospacing="0"/>
              <w:ind w:left="0" w:right="0" w:firstLine="0" w:firstLineChars="0"/>
              <w:rPr>
                <w:rFonts w:hint="eastAsia" w:hAnsi="宋体"/>
                <w:snapToGrid w:val="0"/>
                <w:color w:val="auto"/>
                <w:kern w:val="0"/>
                <w:sz w:val="21"/>
                <w:szCs w:val="21"/>
              </w:rPr>
            </w:pPr>
            <w:r>
              <w:rPr>
                <w:rFonts w:hint="eastAsia"/>
                <w:color w:val="auto"/>
                <w:lang w:val="en-US" w:eastAsia="zh-CN"/>
              </w:rPr>
              <w:t>——</w:t>
            </w:r>
            <w:r>
              <w:rPr>
                <w:rFonts w:hint="eastAsia" w:eastAsia="宋体"/>
                <w:color w:val="auto"/>
                <w:lang w:val="en-US" w:eastAsia="zh-CN"/>
              </w:rPr>
              <w:t>电缆</w:t>
            </w:r>
            <w:r>
              <w:rPr>
                <w:rFonts w:hint="eastAsia"/>
                <w:color w:val="auto"/>
              </w:rPr>
              <w:t>沟应无积水。
</w:t>
            </w:r>
          </w:p>
        </w:tc>
        <w:tc>
          <w:tcPr>
            <w:tcW w:w="1161" w:type="pct"/>
            <w:tcBorders>
              <w:tl2br w:val="nil"/>
              <w:tr2bl w:val="nil"/>
            </w:tcBorders>
            <w:vAlign w:val="center"/>
          </w:tcPr>
          <w:p w14:paraId="68984862">
            <w:pPr>
              <w:pStyle w:val="34"/>
              <w:keepNext w:val="0"/>
              <w:keepLines w:val="0"/>
              <w:suppressLineNumbers w:val="0"/>
              <w:spacing w:before="0" w:beforeAutospacing="0" w:after="0" w:afterAutospacing="0"/>
              <w:ind w:left="0" w:right="0"/>
              <w:rPr>
                <w:rFonts w:hint="default"/>
                <w:color w:val="auto"/>
              </w:rPr>
            </w:pPr>
            <w:r>
              <w:rPr>
                <w:rFonts w:hint="eastAsia"/>
                <w:color w:val="auto"/>
              </w:rPr>
              <w:t>《金属非金属矿山安全规程》(</w:t>
            </w:r>
            <w:r>
              <w:rPr>
                <w:rFonts w:hint="eastAsia"/>
                <w:color w:val="auto"/>
                <w:lang w:eastAsia="zh-CN"/>
              </w:rPr>
              <w:t>GBl6423-2020</w:t>
            </w:r>
            <w:r>
              <w:rPr>
                <w:rFonts w:hint="eastAsia"/>
                <w:color w:val="auto"/>
              </w:rPr>
              <w:t>)</w:t>
            </w:r>
          </w:p>
          <w:p w14:paraId="464550F1">
            <w:pPr>
              <w:pStyle w:val="34"/>
              <w:keepNext w:val="0"/>
              <w:keepLines w:val="0"/>
              <w:suppressLineNumbers w:val="0"/>
              <w:spacing w:before="0" w:beforeAutospacing="0" w:after="0" w:afterAutospacing="0"/>
              <w:ind w:left="0" w:right="0" w:firstLine="0" w:firstLineChars="0"/>
              <w:rPr>
                <w:rFonts w:hint="eastAsia" w:hAnsi="宋体"/>
                <w:color w:val="auto"/>
                <w:sz w:val="21"/>
                <w:szCs w:val="21"/>
              </w:rPr>
            </w:pPr>
            <w:r>
              <w:rPr>
                <w:rFonts w:hint="eastAsia"/>
                <w:color w:val="auto"/>
                <w:lang w:val="en-US" w:eastAsia="zh-CN"/>
              </w:rPr>
              <w:t>第</w:t>
            </w:r>
            <w:r>
              <w:rPr>
                <w:rFonts w:hint="default"/>
                <w:color w:val="auto"/>
              </w:rPr>
              <w:t>6.7.4.1</w:t>
            </w:r>
            <w:r>
              <w:rPr>
                <w:rFonts w:hint="eastAsia"/>
                <w:color w:val="auto"/>
                <w:lang w:val="en-US" w:eastAsia="zh-CN"/>
              </w:rPr>
              <w:t>条</w:t>
            </w:r>
          </w:p>
        </w:tc>
        <w:tc>
          <w:tcPr>
            <w:tcW w:w="1276" w:type="pct"/>
            <w:tcBorders>
              <w:tl2br w:val="nil"/>
              <w:tr2bl w:val="nil"/>
            </w:tcBorders>
            <w:vAlign w:val="center"/>
          </w:tcPr>
          <w:p w14:paraId="2DE9DDDE">
            <w:pPr>
              <w:keepNext w:val="0"/>
              <w:keepLines w:val="0"/>
              <w:suppressLineNumbers w:val="0"/>
              <w:spacing w:before="0" w:beforeAutospacing="0" w:after="0" w:afterAutospacing="0" w:line="320" w:lineRule="exact"/>
              <w:ind w:left="0" w:leftChars="0" w:right="0" w:rightChars="0" w:firstLine="0" w:firstLineChars="0"/>
              <w:rPr>
                <w:rFonts w:hint="eastAsia"/>
                <w:color w:val="auto"/>
                <w:sz w:val="21"/>
                <w:szCs w:val="21"/>
                <w:lang w:eastAsia="zh-CN"/>
              </w:rPr>
            </w:pPr>
            <w:r>
              <w:rPr>
                <w:rFonts w:hint="eastAsia" w:cstheme="minorBidi"/>
                <w:color w:val="auto"/>
                <w:kern w:val="2"/>
                <w:sz w:val="21"/>
                <w:szCs w:val="22"/>
                <w:lang w:val="en-US" w:eastAsia="zh-CN" w:bidi="ar-SA"/>
              </w:rPr>
              <w:t>井下设置采区变电硐室</w:t>
            </w:r>
            <w:r>
              <w:rPr>
                <w:rFonts w:hint="eastAsia" w:ascii="宋体" w:hAnsi="宋体" w:eastAsia="宋体" w:cstheme="minorBidi"/>
                <w:color w:val="auto"/>
                <w:kern w:val="2"/>
                <w:sz w:val="21"/>
                <w:szCs w:val="22"/>
                <w:lang w:val="en-US" w:eastAsia="zh-CN" w:bidi="ar-SA"/>
              </w:rPr>
              <w:t>，可研报告中提出了相关要求。</w:t>
            </w:r>
          </w:p>
        </w:tc>
        <w:tc>
          <w:tcPr>
            <w:tcW w:w="369" w:type="pct"/>
            <w:tcBorders>
              <w:tl2br w:val="nil"/>
              <w:tr2bl w:val="nil"/>
            </w:tcBorders>
            <w:vAlign w:val="center"/>
          </w:tcPr>
          <w:p w14:paraId="562026E4">
            <w:pPr>
              <w:keepNext w:val="0"/>
              <w:keepLines w:val="0"/>
              <w:suppressLineNumbers w:val="0"/>
              <w:spacing w:before="0" w:beforeAutospacing="0" w:after="0" w:afterAutospacing="0" w:line="320" w:lineRule="exact"/>
              <w:ind w:left="0" w:leftChars="0" w:right="0" w:rightChars="0" w:firstLine="0" w:firstLineChars="0"/>
              <w:jc w:val="center"/>
              <w:rPr>
                <w:rFonts w:hint="eastAsia"/>
                <w:snapToGrid w:val="0"/>
                <w:color w:val="auto"/>
                <w:kern w:val="0"/>
                <w:sz w:val="21"/>
                <w:szCs w:val="21"/>
                <w:lang w:val="en-US" w:eastAsia="zh-CN"/>
              </w:rPr>
            </w:pPr>
            <w:r>
              <w:rPr>
                <w:rFonts w:hint="eastAsia" w:ascii="Times New Roman"/>
                <w:color w:val="auto"/>
                <w:sz w:val="21"/>
                <w:szCs w:val="21"/>
                <w:lang w:val="en-US" w:eastAsia="zh-CN"/>
              </w:rPr>
              <w:t>符合</w:t>
            </w:r>
          </w:p>
        </w:tc>
      </w:tr>
      <w:tr w14:paraId="1FF930D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c>
          <w:tcPr>
            <w:tcW w:w="355" w:type="pct"/>
            <w:tcBorders>
              <w:tl2br w:val="nil"/>
              <w:tr2bl w:val="nil"/>
            </w:tcBorders>
            <w:vAlign w:val="center"/>
          </w:tcPr>
          <w:p w14:paraId="702BDFE7">
            <w:pPr>
              <w:keepNext w:val="0"/>
              <w:keepLines/>
              <w:suppressLineNumbers w:val="0"/>
              <w:adjustRightInd w:val="0"/>
              <w:snapToGrid w:val="0"/>
              <w:spacing w:before="0" w:beforeAutospacing="0" w:after="0" w:afterAutospacing="0" w:line="320" w:lineRule="exact"/>
              <w:ind w:left="0" w:right="0" w:firstLine="0" w:firstLineChars="0"/>
              <w:jc w:val="center"/>
              <w:rPr>
                <w:rFonts w:hint="eastAsia" w:hAnsi="宋体" w:eastAsia="宋体"/>
                <w:snapToGrid w:val="0"/>
                <w:color w:val="auto"/>
                <w:kern w:val="0"/>
                <w:sz w:val="21"/>
                <w:szCs w:val="21"/>
                <w:lang w:val="en-US" w:eastAsia="zh-CN"/>
              </w:rPr>
            </w:pPr>
            <w:r>
              <w:rPr>
                <w:rFonts w:hint="eastAsia"/>
                <w:snapToGrid w:val="0"/>
                <w:color w:val="auto"/>
                <w:kern w:val="0"/>
                <w:sz w:val="21"/>
                <w:szCs w:val="21"/>
                <w:lang w:val="en-US" w:eastAsia="zh-CN"/>
              </w:rPr>
              <w:t>8</w:t>
            </w:r>
          </w:p>
        </w:tc>
        <w:tc>
          <w:tcPr>
            <w:tcW w:w="1836" w:type="pct"/>
            <w:tcBorders>
              <w:tl2br w:val="nil"/>
              <w:tr2bl w:val="nil"/>
            </w:tcBorders>
            <w:vAlign w:val="center"/>
          </w:tcPr>
          <w:p w14:paraId="4917A098">
            <w:pPr>
              <w:pStyle w:val="34"/>
              <w:keepNext w:val="0"/>
              <w:keepLines w:val="0"/>
              <w:suppressLineNumbers w:val="0"/>
              <w:spacing w:before="0" w:beforeAutospacing="0" w:after="0" w:afterAutospacing="0"/>
              <w:ind w:left="0" w:right="0" w:firstLine="0" w:firstLineChars="0"/>
              <w:rPr>
                <w:rFonts w:hint="eastAsia"/>
                <w:color w:val="auto"/>
              </w:rPr>
            </w:pPr>
            <w:r>
              <w:rPr>
                <w:rFonts w:hint="eastAsia"/>
                <w:color w:val="auto"/>
              </w:rPr>
              <w:t>电气设备</w:t>
            </w:r>
            <w:r>
              <w:rPr>
                <w:rFonts w:hint="eastAsia" w:eastAsia="宋体"/>
                <w:color w:val="auto"/>
                <w:lang w:val="en-US" w:eastAsia="zh-CN"/>
              </w:rPr>
              <w:t>硐室</w:t>
            </w:r>
            <w:r>
              <w:rPr>
                <w:rFonts w:hint="eastAsia"/>
                <w:color w:val="auto"/>
              </w:rPr>
              <w:t>应符合下列规定</w:t>
            </w:r>
            <w:r>
              <w:rPr>
                <w:rFonts w:hint="eastAsia" w:eastAsia="宋体"/>
                <w:color w:val="auto"/>
                <w:lang w:eastAsia="zh-CN"/>
              </w:rPr>
              <w:t>：</w:t>
            </w:r>
          </w:p>
          <w:p w14:paraId="727BBF22">
            <w:pPr>
              <w:pStyle w:val="34"/>
              <w:keepNext w:val="0"/>
              <w:keepLines w:val="0"/>
              <w:suppressLineNumbers w:val="0"/>
              <w:spacing w:before="0" w:beforeAutospacing="0" w:after="0" w:afterAutospacing="0"/>
              <w:ind w:left="0" w:right="0" w:firstLine="0" w:firstLineChars="0"/>
              <w:rPr>
                <w:rFonts w:hint="eastAsia" w:eastAsia="宋体"/>
                <w:color w:val="auto"/>
                <w:lang w:eastAsia="zh-CN"/>
              </w:rPr>
            </w:pPr>
            <w:r>
              <w:rPr>
                <w:rFonts w:hint="eastAsia"/>
                <w:color w:val="auto"/>
                <w:lang w:val="en-US" w:eastAsia="zh-CN"/>
              </w:rPr>
              <w:t>——</w:t>
            </w:r>
            <w:r>
              <w:rPr>
                <w:rFonts w:hint="eastAsia"/>
                <w:color w:val="auto"/>
              </w:rPr>
              <w:t>长度超过9m的</w:t>
            </w:r>
            <w:r>
              <w:rPr>
                <w:rFonts w:hint="eastAsia" w:eastAsia="宋体"/>
                <w:color w:val="auto"/>
                <w:lang w:val="en-US" w:eastAsia="zh-CN"/>
              </w:rPr>
              <w:t>硐室</w:t>
            </w:r>
            <w:r>
              <w:rPr>
                <w:rFonts w:hint="eastAsia"/>
                <w:color w:val="auto"/>
              </w:rPr>
              <w:t>，应在</w:t>
            </w:r>
            <w:r>
              <w:rPr>
                <w:rFonts w:hint="eastAsia" w:eastAsia="宋体"/>
                <w:color w:val="auto"/>
                <w:lang w:val="en-US" w:eastAsia="zh-CN"/>
              </w:rPr>
              <w:t>硐室</w:t>
            </w:r>
            <w:r>
              <w:rPr>
                <w:rFonts w:hint="eastAsia"/>
                <w:color w:val="auto"/>
              </w:rPr>
              <w:t>的两端各设一个出口</w:t>
            </w:r>
            <w:r>
              <w:rPr>
                <w:rFonts w:hint="eastAsia" w:eastAsia="宋体"/>
                <w:color w:val="auto"/>
                <w:lang w:eastAsia="zh-CN"/>
              </w:rPr>
              <w:t>；</w:t>
            </w:r>
          </w:p>
          <w:p w14:paraId="774F1545">
            <w:pPr>
              <w:pStyle w:val="34"/>
              <w:keepNext w:val="0"/>
              <w:keepLines w:val="0"/>
              <w:suppressLineNumbers w:val="0"/>
              <w:spacing w:before="0" w:beforeAutospacing="0" w:after="0" w:afterAutospacing="0"/>
              <w:ind w:left="0" w:right="0" w:firstLine="0" w:firstLineChars="0"/>
              <w:rPr>
                <w:rFonts w:hint="eastAsia" w:hAnsi="宋体"/>
                <w:snapToGrid w:val="0"/>
                <w:color w:val="auto"/>
                <w:kern w:val="0"/>
                <w:sz w:val="21"/>
                <w:szCs w:val="21"/>
              </w:rPr>
            </w:pPr>
            <w:r>
              <w:rPr>
                <w:rFonts w:hint="eastAsia"/>
                <w:color w:val="auto"/>
                <w:lang w:val="en-US" w:eastAsia="zh-CN"/>
              </w:rPr>
              <w:t>——</w:t>
            </w:r>
            <w:r>
              <w:rPr>
                <w:rFonts w:hint="eastAsia"/>
                <w:color w:val="auto"/>
              </w:rPr>
              <w:t>出口应设防火门和向外开的铁栏门</w:t>
            </w:r>
            <w:r>
              <w:rPr>
                <w:rFonts w:hint="eastAsia" w:eastAsia="宋体"/>
                <w:color w:val="auto"/>
                <w:lang w:eastAsia="zh-CN"/>
              </w:rPr>
              <w:t>；</w:t>
            </w:r>
            <w:r>
              <w:rPr>
                <w:rFonts w:hint="eastAsia"/>
                <w:color w:val="auto"/>
              </w:rPr>
              <w:t>有淹没危险时，应设防水门。</w:t>
            </w:r>
          </w:p>
        </w:tc>
        <w:tc>
          <w:tcPr>
            <w:tcW w:w="1161" w:type="pct"/>
            <w:tcBorders>
              <w:tl2br w:val="nil"/>
              <w:tr2bl w:val="nil"/>
            </w:tcBorders>
            <w:vAlign w:val="center"/>
          </w:tcPr>
          <w:p w14:paraId="556A4282">
            <w:pPr>
              <w:pStyle w:val="34"/>
              <w:keepNext w:val="0"/>
              <w:keepLines w:val="0"/>
              <w:suppressLineNumbers w:val="0"/>
              <w:spacing w:before="0" w:beforeAutospacing="0" w:after="0" w:afterAutospacing="0"/>
              <w:ind w:left="0" w:right="0"/>
              <w:rPr>
                <w:rFonts w:hint="default"/>
                <w:color w:val="auto"/>
              </w:rPr>
            </w:pPr>
            <w:r>
              <w:rPr>
                <w:rFonts w:hint="eastAsia"/>
                <w:color w:val="auto"/>
              </w:rPr>
              <w:t>《金属非金属矿山安全规程》(</w:t>
            </w:r>
            <w:r>
              <w:rPr>
                <w:rFonts w:hint="eastAsia"/>
                <w:color w:val="auto"/>
                <w:lang w:eastAsia="zh-CN"/>
              </w:rPr>
              <w:t>GBl6423-2020</w:t>
            </w:r>
            <w:r>
              <w:rPr>
                <w:rFonts w:hint="eastAsia"/>
                <w:color w:val="auto"/>
              </w:rPr>
              <w:t>)</w:t>
            </w:r>
          </w:p>
          <w:p w14:paraId="79D788DF">
            <w:pPr>
              <w:pStyle w:val="34"/>
              <w:keepNext w:val="0"/>
              <w:keepLines w:val="0"/>
              <w:suppressLineNumbers w:val="0"/>
              <w:spacing w:before="0" w:beforeAutospacing="0" w:after="0" w:afterAutospacing="0"/>
              <w:ind w:left="0" w:right="0" w:firstLine="0" w:firstLineChars="0"/>
              <w:rPr>
                <w:rFonts w:hint="eastAsia" w:hAnsi="宋体"/>
                <w:color w:val="auto"/>
                <w:sz w:val="21"/>
                <w:szCs w:val="21"/>
              </w:rPr>
            </w:pPr>
            <w:r>
              <w:rPr>
                <w:rFonts w:hint="eastAsia"/>
                <w:color w:val="auto"/>
                <w:lang w:val="en-US" w:eastAsia="zh-CN"/>
              </w:rPr>
              <w:t>第</w:t>
            </w:r>
            <w:r>
              <w:rPr>
                <w:rFonts w:hint="default"/>
                <w:color w:val="auto"/>
              </w:rPr>
              <w:t>6.7.4.</w:t>
            </w:r>
            <w:r>
              <w:rPr>
                <w:rFonts w:hint="eastAsia"/>
                <w:color w:val="auto"/>
                <w:lang w:val="en-US" w:eastAsia="zh-CN"/>
              </w:rPr>
              <w:t>2条</w:t>
            </w:r>
          </w:p>
        </w:tc>
        <w:tc>
          <w:tcPr>
            <w:tcW w:w="1276" w:type="pct"/>
            <w:tcBorders>
              <w:tl2br w:val="nil"/>
              <w:tr2bl w:val="nil"/>
            </w:tcBorders>
            <w:vAlign w:val="center"/>
          </w:tcPr>
          <w:p w14:paraId="1111F29D">
            <w:pPr>
              <w:keepNext w:val="0"/>
              <w:keepLines w:val="0"/>
              <w:suppressLineNumbers w:val="0"/>
              <w:spacing w:before="0" w:beforeAutospacing="0" w:after="0" w:afterAutospacing="0" w:line="320" w:lineRule="exact"/>
              <w:ind w:left="0" w:leftChars="0" w:right="0" w:rightChars="0" w:firstLine="0" w:firstLineChars="0"/>
              <w:rPr>
                <w:rFonts w:hint="eastAsia"/>
                <w:color w:val="auto"/>
                <w:sz w:val="21"/>
                <w:szCs w:val="21"/>
                <w:lang w:eastAsia="zh-CN"/>
              </w:rPr>
            </w:pPr>
            <w:r>
              <w:rPr>
                <w:rFonts w:hint="eastAsia" w:ascii="Times New Roman"/>
                <w:color w:val="auto"/>
                <w:sz w:val="21"/>
                <w:szCs w:val="21"/>
                <w:lang w:val="en-US" w:eastAsia="zh-CN"/>
              </w:rPr>
              <w:t>可研报告提出相关要求。</w:t>
            </w:r>
          </w:p>
        </w:tc>
        <w:tc>
          <w:tcPr>
            <w:tcW w:w="369" w:type="pct"/>
            <w:tcBorders>
              <w:tl2br w:val="nil"/>
              <w:tr2bl w:val="nil"/>
            </w:tcBorders>
            <w:vAlign w:val="center"/>
          </w:tcPr>
          <w:p w14:paraId="4EB1D054">
            <w:pPr>
              <w:keepNext w:val="0"/>
              <w:keepLines w:val="0"/>
              <w:suppressLineNumbers w:val="0"/>
              <w:spacing w:before="0" w:beforeAutospacing="0" w:after="0" w:afterAutospacing="0" w:line="320" w:lineRule="exact"/>
              <w:ind w:left="0" w:leftChars="0" w:right="0" w:rightChars="0" w:firstLine="0" w:firstLineChars="0"/>
              <w:jc w:val="center"/>
              <w:rPr>
                <w:rFonts w:hint="eastAsia"/>
                <w:snapToGrid w:val="0"/>
                <w:color w:val="auto"/>
                <w:kern w:val="0"/>
                <w:sz w:val="21"/>
                <w:szCs w:val="21"/>
                <w:lang w:val="en-US" w:eastAsia="zh-CN"/>
              </w:rPr>
            </w:pPr>
            <w:r>
              <w:rPr>
                <w:rFonts w:hint="eastAsia" w:ascii="Times New Roman"/>
                <w:color w:val="auto"/>
                <w:sz w:val="21"/>
                <w:szCs w:val="21"/>
                <w:lang w:val="en-US" w:eastAsia="zh-CN"/>
              </w:rPr>
              <w:t>符合</w:t>
            </w:r>
          </w:p>
        </w:tc>
      </w:tr>
      <w:tr w14:paraId="4DA9096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c>
          <w:tcPr>
            <w:tcW w:w="355" w:type="pct"/>
            <w:tcBorders>
              <w:tl2br w:val="nil"/>
              <w:tr2bl w:val="nil"/>
            </w:tcBorders>
            <w:vAlign w:val="center"/>
          </w:tcPr>
          <w:p w14:paraId="55766578">
            <w:pPr>
              <w:keepNext w:val="0"/>
              <w:keepLines/>
              <w:suppressLineNumbers w:val="0"/>
              <w:adjustRightInd w:val="0"/>
              <w:snapToGrid w:val="0"/>
              <w:spacing w:before="0" w:beforeAutospacing="0" w:after="0" w:afterAutospacing="0" w:line="320" w:lineRule="exact"/>
              <w:ind w:left="0" w:right="0" w:firstLine="0" w:firstLineChars="0"/>
              <w:jc w:val="center"/>
              <w:rPr>
                <w:rFonts w:hint="eastAsia" w:hAnsi="宋体" w:eastAsia="宋体"/>
                <w:snapToGrid w:val="0"/>
                <w:color w:val="auto"/>
                <w:kern w:val="0"/>
                <w:sz w:val="21"/>
                <w:szCs w:val="21"/>
                <w:lang w:val="en-US" w:eastAsia="zh-CN"/>
              </w:rPr>
            </w:pPr>
            <w:r>
              <w:rPr>
                <w:rFonts w:hint="eastAsia"/>
                <w:snapToGrid w:val="0"/>
                <w:color w:val="auto"/>
                <w:kern w:val="0"/>
                <w:sz w:val="21"/>
                <w:szCs w:val="21"/>
                <w:lang w:val="en-US" w:eastAsia="zh-CN"/>
              </w:rPr>
              <w:t>9</w:t>
            </w:r>
          </w:p>
        </w:tc>
        <w:tc>
          <w:tcPr>
            <w:tcW w:w="1836" w:type="pct"/>
            <w:tcBorders>
              <w:tl2br w:val="nil"/>
              <w:tr2bl w:val="nil"/>
            </w:tcBorders>
            <w:vAlign w:val="center"/>
          </w:tcPr>
          <w:p w14:paraId="12ECC62E">
            <w:pPr>
              <w:keepNext w:val="0"/>
              <w:keepLines/>
              <w:suppressLineNumbers w:val="0"/>
              <w:adjustRightInd w:val="0"/>
              <w:snapToGrid w:val="0"/>
              <w:spacing w:before="0" w:beforeAutospacing="0" w:after="0" w:afterAutospacing="0" w:line="320" w:lineRule="exact"/>
              <w:ind w:left="0" w:right="0" w:firstLine="0" w:firstLineChars="0"/>
              <w:rPr>
                <w:rFonts w:hint="default" w:hAnsi="宋体"/>
                <w:snapToGrid w:val="0"/>
                <w:color w:val="auto"/>
                <w:kern w:val="0"/>
                <w:sz w:val="21"/>
                <w:szCs w:val="21"/>
              </w:rPr>
            </w:pPr>
            <w:r>
              <w:rPr>
                <w:rFonts w:hint="eastAsia" w:hAnsi="宋体"/>
                <w:snapToGrid w:val="0"/>
                <w:color w:val="auto"/>
                <w:kern w:val="0"/>
                <w:sz w:val="21"/>
                <w:szCs w:val="21"/>
              </w:rPr>
              <w:t>硐室内应配备消防器材。</w:t>
            </w:r>
          </w:p>
        </w:tc>
        <w:tc>
          <w:tcPr>
            <w:tcW w:w="1161" w:type="pct"/>
            <w:tcBorders>
              <w:tl2br w:val="nil"/>
              <w:tr2bl w:val="nil"/>
            </w:tcBorders>
            <w:vAlign w:val="center"/>
          </w:tcPr>
          <w:p w14:paraId="4C3A3E62">
            <w:pPr>
              <w:keepNext w:val="0"/>
              <w:keepLines w:val="0"/>
              <w:suppressLineNumbers w:val="0"/>
              <w:spacing w:before="0" w:beforeAutospacing="0" w:after="0" w:afterAutospacing="0" w:line="320" w:lineRule="exact"/>
              <w:ind w:left="0" w:right="0" w:firstLine="0" w:firstLineChars="0"/>
              <w:jc w:val="center"/>
              <w:rPr>
                <w:rFonts w:hint="default" w:hAnsi="宋体"/>
                <w:color w:val="auto"/>
                <w:sz w:val="21"/>
                <w:szCs w:val="21"/>
              </w:rPr>
            </w:pPr>
            <w:r>
              <w:rPr>
                <w:rFonts w:hint="eastAsia" w:hAnsi="宋体"/>
                <w:color w:val="auto"/>
                <w:sz w:val="21"/>
                <w:szCs w:val="21"/>
              </w:rPr>
              <w:t>《金属非金属矿山安全规程》(GB16423-2020)</w:t>
            </w:r>
          </w:p>
          <w:p w14:paraId="311B7C28">
            <w:pPr>
              <w:keepNext w:val="0"/>
              <w:keepLines/>
              <w:suppressLineNumbers w:val="0"/>
              <w:adjustRightInd w:val="0"/>
              <w:snapToGrid w:val="0"/>
              <w:spacing w:before="0" w:beforeAutospacing="0" w:after="0" w:afterAutospacing="0" w:line="320" w:lineRule="exact"/>
              <w:ind w:left="0" w:right="0" w:firstLine="0" w:firstLineChars="0"/>
              <w:jc w:val="center"/>
              <w:rPr>
                <w:rFonts w:hint="default" w:hAnsi="宋体"/>
                <w:snapToGrid w:val="0"/>
                <w:color w:val="auto"/>
                <w:kern w:val="0"/>
                <w:sz w:val="21"/>
                <w:szCs w:val="21"/>
              </w:rPr>
            </w:pPr>
            <w:r>
              <w:rPr>
                <w:rFonts w:hint="eastAsia" w:hAnsi="宋体"/>
                <w:color w:val="auto"/>
                <w:sz w:val="21"/>
                <w:szCs w:val="21"/>
              </w:rPr>
              <w:t>第6.7.4.3条</w:t>
            </w:r>
          </w:p>
        </w:tc>
        <w:tc>
          <w:tcPr>
            <w:tcW w:w="1276" w:type="pct"/>
            <w:tcBorders>
              <w:tl2br w:val="nil"/>
              <w:tr2bl w:val="nil"/>
            </w:tcBorders>
            <w:vAlign w:val="center"/>
          </w:tcPr>
          <w:p w14:paraId="67C4D017">
            <w:pPr>
              <w:keepNext w:val="0"/>
              <w:keepLines/>
              <w:suppressLineNumbers w:val="0"/>
              <w:adjustRightInd w:val="0"/>
              <w:snapToGrid w:val="0"/>
              <w:spacing w:before="0" w:beforeAutospacing="0" w:after="0" w:afterAutospacing="0" w:line="320" w:lineRule="exact"/>
              <w:ind w:left="0" w:right="0" w:firstLine="0" w:firstLineChars="0"/>
              <w:rPr>
                <w:rFonts w:hint="default" w:hAnsi="宋体"/>
                <w:snapToGrid w:val="0"/>
                <w:color w:val="auto"/>
                <w:kern w:val="0"/>
                <w:sz w:val="21"/>
                <w:szCs w:val="21"/>
              </w:rPr>
            </w:pPr>
            <w:r>
              <w:rPr>
                <w:rFonts w:hint="eastAsia"/>
                <w:snapToGrid w:val="0"/>
                <w:color w:val="auto"/>
                <w:kern w:val="0"/>
                <w:sz w:val="21"/>
                <w:szCs w:val="21"/>
                <w:lang w:val="en-US" w:eastAsia="zh-CN"/>
              </w:rPr>
              <w:t>井下硐室</w:t>
            </w:r>
            <w:r>
              <w:rPr>
                <w:rFonts w:hint="eastAsia" w:hAnsi="宋体"/>
                <w:snapToGrid w:val="0"/>
                <w:color w:val="auto"/>
                <w:kern w:val="0"/>
                <w:sz w:val="21"/>
                <w:szCs w:val="21"/>
              </w:rPr>
              <w:t>拟</w:t>
            </w:r>
            <w:r>
              <w:rPr>
                <w:rFonts w:hint="eastAsia"/>
                <w:snapToGrid w:val="0"/>
                <w:color w:val="auto"/>
                <w:kern w:val="0"/>
                <w:sz w:val="21"/>
                <w:szCs w:val="21"/>
                <w:lang w:val="en-US" w:eastAsia="zh-CN"/>
              </w:rPr>
              <w:t>配备干粉灭火器和消防砂</w:t>
            </w:r>
            <w:r>
              <w:rPr>
                <w:rFonts w:hint="eastAsia" w:hAnsi="宋体"/>
                <w:snapToGrid w:val="0"/>
                <w:color w:val="auto"/>
                <w:kern w:val="0"/>
                <w:sz w:val="21"/>
                <w:szCs w:val="21"/>
              </w:rPr>
              <w:t>。</w:t>
            </w:r>
          </w:p>
        </w:tc>
        <w:tc>
          <w:tcPr>
            <w:tcW w:w="369" w:type="pct"/>
            <w:tcBorders>
              <w:tl2br w:val="nil"/>
              <w:tr2bl w:val="nil"/>
            </w:tcBorders>
            <w:vAlign w:val="center"/>
          </w:tcPr>
          <w:p w14:paraId="55463616">
            <w:pPr>
              <w:keepNext w:val="0"/>
              <w:keepLines/>
              <w:suppressLineNumbers w:val="0"/>
              <w:adjustRightInd w:val="0"/>
              <w:snapToGrid w:val="0"/>
              <w:spacing w:before="0" w:beforeAutospacing="0" w:after="0" w:afterAutospacing="0" w:line="320" w:lineRule="exact"/>
              <w:ind w:left="0" w:right="0" w:firstLine="0" w:firstLineChars="0"/>
              <w:jc w:val="center"/>
              <w:rPr>
                <w:rFonts w:hint="default" w:hAnsi="宋体"/>
                <w:snapToGrid w:val="0"/>
                <w:color w:val="auto"/>
                <w:kern w:val="0"/>
                <w:sz w:val="21"/>
                <w:szCs w:val="21"/>
              </w:rPr>
            </w:pPr>
            <w:r>
              <w:rPr>
                <w:rFonts w:hint="eastAsia" w:hAnsi="宋体"/>
                <w:snapToGrid w:val="0"/>
                <w:color w:val="auto"/>
                <w:kern w:val="0"/>
                <w:sz w:val="21"/>
                <w:szCs w:val="21"/>
              </w:rPr>
              <w:t>符合</w:t>
            </w:r>
          </w:p>
        </w:tc>
      </w:tr>
      <w:tr w14:paraId="2BECA0E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c>
          <w:tcPr>
            <w:tcW w:w="355" w:type="pct"/>
            <w:tcBorders>
              <w:tl2br w:val="nil"/>
              <w:tr2bl w:val="nil"/>
            </w:tcBorders>
            <w:vAlign w:val="center"/>
          </w:tcPr>
          <w:p w14:paraId="76EACB7F">
            <w:pPr>
              <w:keepNext w:val="0"/>
              <w:keepLines/>
              <w:suppressLineNumbers w:val="0"/>
              <w:adjustRightInd w:val="0"/>
              <w:snapToGrid w:val="0"/>
              <w:spacing w:before="0" w:beforeAutospacing="0" w:after="0" w:afterAutospacing="0" w:line="320" w:lineRule="exact"/>
              <w:ind w:left="0" w:right="0" w:firstLine="0" w:firstLineChars="0"/>
              <w:jc w:val="center"/>
              <w:rPr>
                <w:rFonts w:hint="default" w:hAnsi="宋体" w:eastAsia="宋体"/>
                <w:snapToGrid w:val="0"/>
                <w:color w:val="auto"/>
                <w:kern w:val="0"/>
                <w:sz w:val="21"/>
                <w:szCs w:val="21"/>
                <w:lang w:val="en-US" w:eastAsia="zh-CN"/>
              </w:rPr>
            </w:pPr>
            <w:r>
              <w:rPr>
                <w:rFonts w:hint="eastAsia"/>
                <w:snapToGrid w:val="0"/>
                <w:color w:val="auto"/>
                <w:kern w:val="0"/>
                <w:sz w:val="21"/>
                <w:szCs w:val="21"/>
                <w:lang w:val="en-US" w:eastAsia="zh-CN"/>
              </w:rPr>
              <w:t>10</w:t>
            </w:r>
          </w:p>
        </w:tc>
        <w:tc>
          <w:tcPr>
            <w:tcW w:w="1836" w:type="pct"/>
            <w:tcBorders>
              <w:tl2br w:val="nil"/>
              <w:tr2bl w:val="nil"/>
            </w:tcBorders>
            <w:vAlign w:val="center"/>
          </w:tcPr>
          <w:p w14:paraId="4AD05C46">
            <w:pPr>
              <w:keepNext w:val="0"/>
              <w:keepLines/>
              <w:suppressLineNumbers w:val="0"/>
              <w:adjustRightInd w:val="0"/>
              <w:snapToGrid w:val="0"/>
              <w:spacing w:before="0" w:beforeAutospacing="0" w:after="0" w:afterAutospacing="0" w:line="320" w:lineRule="exact"/>
              <w:ind w:left="0" w:right="0" w:firstLine="0" w:firstLineChars="0"/>
              <w:rPr>
                <w:rFonts w:hint="default" w:hAnsi="宋体"/>
                <w:snapToGrid w:val="0"/>
                <w:color w:val="auto"/>
                <w:kern w:val="0"/>
                <w:sz w:val="21"/>
                <w:szCs w:val="21"/>
              </w:rPr>
            </w:pPr>
            <w:r>
              <w:rPr>
                <w:rFonts w:hint="eastAsia" w:hAnsi="宋体"/>
                <w:snapToGrid w:val="0"/>
                <w:color w:val="auto"/>
                <w:kern w:val="0"/>
                <w:sz w:val="21"/>
                <w:szCs w:val="21"/>
              </w:rPr>
              <w:t>井下所有作业地点、安全通道和通往作业地点的通道均应设照明。</w:t>
            </w:r>
          </w:p>
        </w:tc>
        <w:tc>
          <w:tcPr>
            <w:tcW w:w="1161" w:type="pct"/>
            <w:tcBorders>
              <w:tl2br w:val="nil"/>
              <w:tr2bl w:val="nil"/>
            </w:tcBorders>
            <w:vAlign w:val="center"/>
          </w:tcPr>
          <w:p w14:paraId="3EA0545E">
            <w:pPr>
              <w:keepNext w:val="0"/>
              <w:keepLines w:val="0"/>
              <w:suppressLineNumbers w:val="0"/>
              <w:spacing w:before="0" w:beforeAutospacing="0" w:after="0" w:afterAutospacing="0" w:line="320" w:lineRule="exact"/>
              <w:ind w:left="0" w:right="0" w:firstLine="0" w:firstLineChars="0"/>
              <w:jc w:val="center"/>
              <w:rPr>
                <w:rFonts w:hint="default" w:hAnsi="宋体"/>
                <w:color w:val="auto"/>
                <w:sz w:val="21"/>
                <w:szCs w:val="21"/>
              </w:rPr>
            </w:pPr>
            <w:r>
              <w:rPr>
                <w:rFonts w:hint="eastAsia" w:hAnsi="宋体"/>
                <w:color w:val="auto"/>
                <w:sz w:val="21"/>
                <w:szCs w:val="21"/>
              </w:rPr>
              <w:t>《金属非金属矿山安全规程》(GB16423-2020)</w:t>
            </w:r>
          </w:p>
          <w:p w14:paraId="7179921A">
            <w:pPr>
              <w:keepNext w:val="0"/>
              <w:keepLines/>
              <w:suppressLineNumbers w:val="0"/>
              <w:adjustRightInd w:val="0"/>
              <w:snapToGrid w:val="0"/>
              <w:spacing w:before="0" w:beforeAutospacing="0" w:after="0" w:afterAutospacing="0" w:line="320" w:lineRule="exact"/>
              <w:ind w:left="0" w:right="0" w:firstLine="0" w:firstLineChars="0"/>
              <w:jc w:val="center"/>
              <w:rPr>
                <w:rFonts w:hint="default" w:hAnsi="宋体"/>
                <w:snapToGrid w:val="0"/>
                <w:color w:val="auto"/>
                <w:kern w:val="0"/>
                <w:sz w:val="21"/>
                <w:szCs w:val="21"/>
              </w:rPr>
            </w:pPr>
            <w:r>
              <w:rPr>
                <w:rFonts w:hint="eastAsia" w:hAnsi="宋体"/>
                <w:color w:val="auto"/>
                <w:sz w:val="21"/>
                <w:szCs w:val="21"/>
              </w:rPr>
              <w:t>第6.7.5.1条</w:t>
            </w:r>
          </w:p>
        </w:tc>
        <w:tc>
          <w:tcPr>
            <w:tcW w:w="1276" w:type="pct"/>
            <w:tcBorders>
              <w:tl2br w:val="nil"/>
              <w:tr2bl w:val="nil"/>
            </w:tcBorders>
            <w:vAlign w:val="center"/>
          </w:tcPr>
          <w:p w14:paraId="6495645A">
            <w:pPr>
              <w:keepNext w:val="0"/>
              <w:keepLines/>
              <w:suppressLineNumbers w:val="0"/>
              <w:adjustRightInd w:val="0"/>
              <w:snapToGrid w:val="0"/>
              <w:spacing w:before="0" w:beforeAutospacing="0" w:after="0" w:afterAutospacing="0" w:line="320" w:lineRule="exact"/>
              <w:ind w:left="0" w:right="0" w:firstLine="0" w:firstLineChars="0"/>
              <w:rPr>
                <w:rFonts w:hint="default" w:hAnsi="宋体"/>
                <w:snapToGrid w:val="0"/>
                <w:color w:val="auto"/>
                <w:kern w:val="0"/>
                <w:sz w:val="21"/>
                <w:szCs w:val="21"/>
              </w:rPr>
            </w:pPr>
            <w:r>
              <w:rPr>
                <w:rFonts w:hint="eastAsia" w:hAnsi="宋体"/>
                <w:snapToGrid w:val="0"/>
                <w:color w:val="auto"/>
                <w:kern w:val="0"/>
                <w:sz w:val="21"/>
                <w:szCs w:val="21"/>
              </w:rPr>
              <w:t>该矿山</w:t>
            </w:r>
            <w:r>
              <w:rPr>
                <w:rFonts w:hint="eastAsia"/>
                <w:snapToGrid w:val="0"/>
                <w:color w:val="auto"/>
                <w:kern w:val="0"/>
                <w:sz w:val="21"/>
                <w:szCs w:val="21"/>
                <w:lang w:val="en-US" w:eastAsia="zh-CN"/>
              </w:rPr>
              <w:t>各场所</w:t>
            </w:r>
            <w:r>
              <w:rPr>
                <w:rFonts w:hint="eastAsia" w:hAnsi="宋体"/>
                <w:snapToGrid w:val="0"/>
                <w:color w:val="auto"/>
                <w:kern w:val="0"/>
                <w:sz w:val="21"/>
                <w:szCs w:val="21"/>
              </w:rPr>
              <w:t>拟设置照明设施。</w:t>
            </w:r>
          </w:p>
        </w:tc>
        <w:tc>
          <w:tcPr>
            <w:tcW w:w="369" w:type="pct"/>
            <w:tcBorders>
              <w:tl2br w:val="nil"/>
              <w:tr2bl w:val="nil"/>
            </w:tcBorders>
            <w:vAlign w:val="center"/>
          </w:tcPr>
          <w:p w14:paraId="125E70B3">
            <w:pPr>
              <w:keepNext w:val="0"/>
              <w:keepLines/>
              <w:suppressLineNumbers w:val="0"/>
              <w:adjustRightInd w:val="0"/>
              <w:snapToGrid w:val="0"/>
              <w:spacing w:before="0" w:beforeAutospacing="0" w:after="0" w:afterAutospacing="0" w:line="320" w:lineRule="exact"/>
              <w:ind w:left="0" w:right="0" w:firstLine="0" w:firstLineChars="0"/>
              <w:jc w:val="center"/>
              <w:rPr>
                <w:rFonts w:hint="default" w:hAnsi="宋体"/>
                <w:snapToGrid w:val="0"/>
                <w:color w:val="auto"/>
                <w:kern w:val="0"/>
                <w:sz w:val="21"/>
                <w:szCs w:val="21"/>
              </w:rPr>
            </w:pPr>
            <w:r>
              <w:rPr>
                <w:rFonts w:hint="eastAsia" w:hAnsi="宋体"/>
                <w:snapToGrid w:val="0"/>
                <w:color w:val="auto"/>
                <w:kern w:val="0"/>
                <w:sz w:val="21"/>
                <w:szCs w:val="21"/>
              </w:rPr>
              <w:t>符合</w:t>
            </w:r>
          </w:p>
        </w:tc>
      </w:tr>
      <w:tr w14:paraId="55454BF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c>
          <w:tcPr>
            <w:tcW w:w="355" w:type="pct"/>
            <w:tcBorders>
              <w:tl2br w:val="nil"/>
              <w:tr2bl w:val="nil"/>
            </w:tcBorders>
            <w:vAlign w:val="center"/>
          </w:tcPr>
          <w:p w14:paraId="72E147DE">
            <w:pPr>
              <w:keepNext w:val="0"/>
              <w:keepLines/>
              <w:suppressLineNumbers w:val="0"/>
              <w:adjustRightInd w:val="0"/>
              <w:snapToGrid w:val="0"/>
              <w:spacing w:before="0" w:beforeAutospacing="0" w:after="0" w:afterAutospacing="0" w:line="320" w:lineRule="exact"/>
              <w:ind w:left="0" w:right="0" w:firstLine="0" w:firstLineChars="0"/>
              <w:jc w:val="center"/>
              <w:rPr>
                <w:rFonts w:hint="default" w:hAnsi="宋体" w:eastAsia="宋体"/>
                <w:snapToGrid w:val="0"/>
                <w:color w:val="auto"/>
                <w:kern w:val="0"/>
                <w:sz w:val="21"/>
                <w:szCs w:val="21"/>
                <w:lang w:val="en-US" w:eastAsia="zh-CN"/>
              </w:rPr>
            </w:pPr>
            <w:r>
              <w:rPr>
                <w:rFonts w:hint="eastAsia"/>
                <w:snapToGrid w:val="0"/>
                <w:color w:val="auto"/>
                <w:kern w:val="0"/>
                <w:sz w:val="21"/>
                <w:szCs w:val="21"/>
                <w:lang w:val="en-US" w:eastAsia="zh-CN"/>
              </w:rPr>
              <w:t>11</w:t>
            </w:r>
          </w:p>
        </w:tc>
        <w:tc>
          <w:tcPr>
            <w:tcW w:w="1836" w:type="pct"/>
            <w:tcBorders>
              <w:tl2br w:val="nil"/>
              <w:tr2bl w:val="nil"/>
            </w:tcBorders>
            <w:vAlign w:val="center"/>
          </w:tcPr>
          <w:p w14:paraId="5433F48F">
            <w:pPr>
              <w:keepNext w:val="0"/>
              <w:keepLines w:val="0"/>
              <w:suppressLineNumbers w:val="0"/>
              <w:spacing w:before="0" w:beforeAutospacing="0" w:after="0" w:afterAutospacing="0" w:line="320" w:lineRule="exact"/>
              <w:ind w:left="0" w:right="0" w:firstLine="0" w:firstLineChars="0"/>
              <w:rPr>
                <w:rFonts w:hint="default" w:hAnsi="宋体" w:cs="宋体"/>
                <w:color w:val="auto"/>
                <w:kern w:val="0"/>
                <w:sz w:val="21"/>
                <w:szCs w:val="21"/>
              </w:rPr>
            </w:pPr>
            <w:r>
              <w:rPr>
                <w:rFonts w:hint="eastAsia" w:hAnsi="宋体" w:cs="宋体"/>
                <w:color w:val="auto"/>
                <w:kern w:val="0"/>
                <w:sz w:val="21"/>
                <w:szCs w:val="21"/>
              </w:rPr>
              <w:t>井下电气装置、设备的外露可导电部分和构架及电缆的配件、接线盒、金属外皮等应接地。</w:t>
            </w:r>
          </w:p>
        </w:tc>
        <w:tc>
          <w:tcPr>
            <w:tcW w:w="1161" w:type="pct"/>
            <w:tcBorders>
              <w:tl2br w:val="nil"/>
              <w:tr2bl w:val="nil"/>
            </w:tcBorders>
            <w:vAlign w:val="center"/>
          </w:tcPr>
          <w:p w14:paraId="083DB5D3">
            <w:pPr>
              <w:keepNext w:val="0"/>
              <w:keepLines w:val="0"/>
              <w:suppressLineNumbers w:val="0"/>
              <w:spacing w:before="0" w:beforeAutospacing="0" w:after="0" w:afterAutospacing="0" w:line="320" w:lineRule="exact"/>
              <w:ind w:left="0" w:right="0" w:firstLine="0" w:firstLineChars="0"/>
              <w:jc w:val="center"/>
              <w:rPr>
                <w:rFonts w:hint="default" w:hAnsi="宋体"/>
                <w:color w:val="auto"/>
                <w:sz w:val="21"/>
                <w:szCs w:val="21"/>
              </w:rPr>
            </w:pPr>
            <w:r>
              <w:rPr>
                <w:rFonts w:hint="eastAsia" w:hAnsi="宋体"/>
                <w:color w:val="auto"/>
                <w:sz w:val="21"/>
                <w:szCs w:val="21"/>
              </w:rPr>
              <w:t>《金属非金属矿山安全规程》(GB16423-2020)</w:t>
            </w:r>
          </w:p>
          <w:p w14:paraId="7BBE48E7">
            <w:pPr>
              <w:keepNext w:val="0"/>
              <w:keepLines w:val="0"/>
              <w:suppressLineNumbers w:val="0"/>
              <w:spacing w:before="0" w:beforeAutospacing="0" w:after="0" w:afterAutospacing="0" w:line="320" w:lineRule="exact"/>
              <w:ind w:left="0" w:right="0" w:firstLine="0" w:firstLineChars="0"/>
              <w:jc w:val="center"/>
              <w:rPr>
                <w:rFonts w:hint="default" w:hAnsi="宋体"/>
                <w:color w:val="auto"/>
                <w:sz w:val="21"/>
                <w:szCs w:val="21"/>
              </w:rPr>
            </w:pPr>
            <w:r>
              <w:rPr>
                <w:rFonts w:hint="eastAsia" w:hAnsi="宋体"/>
                <w:color w:val="auto"/>
                <w:sz w:val="21"/>
                <w:szCs w:val="21"/>
              </w:rPr>
              <w:t>第6.7.6.1条</w:t>
            </w:r>
          </w:p>
        </w:tc>
        <w:tc>
          <w:tcPr>
            <w:tcW w:w="1276" w:type="pct"/>
            <w:tcBorders>
              <w:tl2br w:val="nil"/>
              <w:tr2bl w:val="nil"/>
            </w:tcBorders>
            <w:vAlign w:val="center"/>
          </w:tcPr>
          <w:p w14:paraId="42399A26">
            <w:pPr>
              <w:keepNext w:val="0"/>
              <w:keepLines w:val="0"/>
              <w:suppressLineNumbers w:val="0"/>
              <w:spacing w:before="0" w:beforeAutospacing="0" w:after="0" w:afterAutospacing="0" w:line="320" w:lineRule="exact"/>
              <w:ind w:left="0" w:right="0" w:firstLine="0" w:firstLineChars="0"/>
              <w:rPr>
                <w:rFonts w:hint="default" w:ascii="Times New Roman" w:hAnsi="宋体"/>
                <w:color w:val="auto"/>
                <w:sz w:val="21"/>
                <w:szCs w:val="21"/>
              </w:rPr>
            </w:pPr>
            <w:r>
              <w:rPr>
                <w:rFonts w:hint="eastAsia" w:ascii="Times New Roman" w:hAnsi="宋体"/>
                <w:color w:val="auto"/>
                <w:sz w:val="21"/>
                <w:szCs w:val="21"/>
              </w:rPr>
              <w:t>电气设备及线路</w:t>
            </w:r>
            <w:r>
              <w:rPr>
                <w:rFonts w:hint="eastAsia" w:ascii="Times New Roman"/>
                <w:color w:val="auto"/>
                <w:sz w:val="21"/>
                <w:szCs w:val="21"/>
                <w:lang w:val="en-US" w:eastAsia="zh-CN"/>
              </w:rPr>
              <w:t>拟设置</w:t>
            </w:r>
            <w:r>
              <w:rPr>
                <w:rFonts w:hint="eastAsia" w:ascii="Times New Roman" w:hAnsi="宋体"/>
                <w:color w:val="auto"/>
                <w:sz w:val="21"/>
                <w:szCs w:val="21"/>
              </w:rPr>
              <w:t>可靠的避雷、接地装置。</w:t>
            </w:r>
          </w:p>
        </w:tc>
        <w:tc>
          <w:tcPr>
            <w:tcW w:w="369" w:type="pct"/>
            <w:tcBorders>
              <w:tl2br w:val="nil"/>
              <w:tr2bl w:val="nil"/>
            </w:tcBorders>
            <w:vAlign w:val="center"/>
          </w:tcPr>
          <w:p w14:paraId="1081D62B">
            <w:pPr>
              <w:keepNext w:val="0"/>
              <w:keepLines w:val="0"/>
              <w:suppressLineNumbers w:val="0"/>
              <w:spacing w:before="0" w:beforeAutospacing="0" w:after="0" w:afterAutospacing="0" w:line="320" w:lineRule="exact"/>
              <w:ind w:left="0" w:right="0" w:firstLine="0" w:firstLineChars="0"/>
              <w:jc w:val="center"/>
              <w:rPr>
                <w:rFonts w:hint="default" w:ascii="Times New Roman" w:hAnsi="宋体"/>
                <w:color w:val="auto"/>
                <w:sz w:val="21"/>
                <w:szCs w:val="21"/>
              </w:rPr>
            </w:pPr>
            <w:r>
              <w:rPr>
                <w:rFonts w:hint="eastAsia" w:ascii="Times New Roman" w:hAnsi="宋体"/>
                <w:color w:val="auto"/>
                <w:sz w:val="21"/>
                <w:szCs w:val="21"/>
              </w:rPr>
              <w:t>符合</w:t>
            </w:r>
          </w:p>
        </w:tc>
      </w:tr>
      <w:tr w14:paraId="0EEE9EC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c>
          <w:tcPr>
            <w:tcW w:w="355" w:type="pct"/>
            <w:tcBorders>
              <w:tl2br w:val="nil"/>
              <w:tr2bl w:val="nil"/>
            </w:tcBorders>
            <w:vAlign w:val="center"/>
          </w:tcPr>
          <w:p w14:paraId="469D63A3">
            <w:pPr>
              <w:keepNext w:val="0"/>
              <w:keepLines/>
              <w:suppressLineNumbers w:val="0"/>
              <w:adjustRightInd w:val="0"/>
              <w:snapToGrid w:val="0"/>
              <w:spacing w:before="0" w:beforeAutospacing="0" w:after="0" w:afterAutospacing="0" w:line="320" w:lineRule="exact"/>
              <w:ind w:left="0" w:right="0" w:firstLine="0" w:firstLineChars="0"/>
              <w:jc w:val="center"/>
              <w:rPr>
                <w:rFonts w:hint="default" w:hAnsi="宋体"/>
                <w:snapToGrid w:val="0"/>
                <w:color w:val="auto"/>
                <w:kern w:val="0"/>
                <w:sz w:val="21"/>
                <w:szCs w:val="21"/>
                <w:lang w:val="en-US"/>
              </w:rPr>
            </w:pPr>
            <w:r>
              <w:rPr>
                <w:rFonts w:hint="eastAsia"/>
                <w:snapToGrid w:val="0"/>
                <w:color w:val="auto"/>
                <w:kern w:val="0"/>
                <w:sz w:val="21"/>
                <w:szCs w:val="21"/>
                <w:lang w:val="en-US" w:eastAsia="zh-CN"/>
              </w:rPr>
              <w:t>12</w:t>
            </w:r>
          </w:p>
        </w:tc>
        <w:tc>
          <w:tcPr>
            <w:tcW w:w="1836" w:type="pct"/>
            <w:tcBorders>
              <w:tl2br w:val="nil"/>
              <w:tr2bl w:val="nil"/>
            </w:tcBorders>
            <w:vAlign w:val="center"/>
          </w:tcPr>
          <w:p w14:paraId="2AE6D4A4">
            <w:pPr>
              <w:keepNext w:val="0"/>
              <w:keepLines w:val="0"/>
              <w:suppressLineNumbers w:val="0"/>
              <w:spacing w:before="0" w:beforeAutospacing="0" w:after="0" w:afterAutospacing="0" w:line="320" w:lineRule="exact"/>
              <w:ind w:left="0" w:right="0" w:firstLine="0" w:firstLineChars="0"/>
              <w:rPr>
                <w:rFonts w:hint="default" w:hAnsi="宋体" w:cs="宋体"/>
                <w:color w:val="auto"/>
                <w:kern w:val="0"/>
                <w:sz w:val="21"/>
                <w:szCs w:val="21"/>
              </w:rPr>
            </w:pPr>
            <w:r>
              <w:rPr>
                <w:rFonts w:hint="eastAsia" w:hAnsi="宋体" w:cs="宋体"/>
                <w:color w:val="auto"/>
                <w:kern w:val="0"/>
                <w:sz w:val="21"/>
                <w:szCs w:val="21"/>
              </w:rPr>
              <w:t>地下矿山应建立有线调度通信系统。</w:t>
            </w:r>
          </w:p>
        </w:tc>
        <w:tc>
          <w:tcPr>
            <w:tcW w:w="1161" w:type="pct"/>
            <w:tcBorders>
              <w:tl2br w:val="nil"/>
              <w:tr2bl w:val="nil"/>
            </w:tcBorders>
            <w:vAlign w:val="center"/>
          </w:tcPr>
          <w:p w14:paraId="30D5D9EB">
            <w:pPr>
              <w:keepNext w:val="0"/>
              <w:keepLines w:val="0"/>
              <w:suppressLineNumbers w:val="0"/>
              <w:spacing w:before="0" w:beforeAutospacing="0" w:after="0" w:afterAutospacing="0" w:line="320" w:lineRule="exact"/>
              <w:ind w:left="0" w:right="0" w:firstLine="0" w:firstLineChars="0"/>
              <w:jc w:val="center"/>
              <w:rPr>
                <w:rFonts w:hint="default" w:hAnsi="宋体"/>
                <w:color w:val="auto"/>
                <w:sz w:val="21"/>
                <w:szCs w:val="21"/>
              </w:rPr>
            </w:pPr>
            <w:r>
              <w:rPr>
                <w:rFonts w:hint="eastAsia" w:hAnsi="宋体"/>
                <w:color w:val="auto"/>
                <w:sz w:val="21"/>
                <w:szCs w:val="21"/>
              </w:rPr>
              <w:t>《金属非金属矿山安全规程》(GB16423-2020)</w:t>
            </w:r>
          </w:p>
          <w:p w14:paraId="164FEA2A">
            <w:pPr>
              <w:keepNext w:val="0"/>
              <w:keepLines w:val="0"/>
              <w:suppressLineNumbers w:val="0"/>
              <w:spacing w:before="0" w:beforeAutospacing="0" w:after="0" w:afterAutospacing="0" w:line="320" w:lineRule="exact"/>
              <w:ind w:left="0" w:right="0" w:firstLine="0" w:firstLineChars="0"/>
              <w:jc w:val="center"/>
              <w:rPr>
                <w:rFonts w:hint="default" w:hAnsi="宋体"/>
                <w:color w:val="auto"/>
                <w:sz w:val="21"/>
                <w:szCs w:val="21"/>
              </w:rPr>
            </w:pPr>
            <w:r>
              <w:rPr>
                <w:rFonts w:hint="eastAsia" w:hAnsi="宋体"/>
                <w:color w:val="auto"/>
                <w:sz w:val="21"/>
                <w:szCs w:val="21"/>
              </w:rPr>
              <w:t>第6.7.7.2条</w:t>
            </w:r>
          </w:p>
        </w:tc>
        <w:tc>
          <w:tcPr>
            <w:tcW w:w="1276" w:type="pct"/>
            <w:tcBorders>
              <w:tl2br w:val="nil"/>
              <w:tr2bl w:val="nil"/>
            </w:tcBorders>
            <w:vAlign w:val="center"/>
          </w:tcPr>
          <w:p w14:paraId="7B416F3E">
            <w:pPr>
              <w:keepNext w:val="0"/>
              <w:keepLines w:val="0"/>
              <w:suppressLineNumbers w:val="0"/>
              <w:spacing w:before="0" w:beforeAutospacing="0" w:after="0" w:afterAutospacing="0" w:line="320" w:lineRule="exact"/>
              <w:ind w:left="0" w:right="0" w:firstLine="0" w:firstLineChars="0"/>
              <w:rPr>
                <w:rFonts w:hint="default" w:ascii="Times New Roman" w:hAnsi="宋体"/>
                <w:color w:val="auto"/>
                <w:sz w:val="21"/>
                <w:szCs w:val="21"/>
              </w:rPr>
            </w:pPr>
            <w:r>
              <w:rPr>
                <w:rFonts w:hint="eastAsia" w:ascii="Times New Roman" w:hAnsi="宋体"/>
                <w:color w:val="auto"/>
                <w:sz w:val="21"/>
                <w:szCs w:val="21"/>
              </w:rPr>
              <w:t>该矿山拟采用有线通信联络系统。</w:t>
            </w:r>
          </w:p>
        </w:tc>
        <w:tc>
          <w:tcPr>
            <w:tcW w:w="369" w:type="pct"/>
            <w:tcBorders>
              <w:tl2br w:val="nil"/>
              <w:tr2bl w:val="nil"/>
            </w:tcBorders>
            <w:vAlign w:val="center"/>
          </w:tcPr>
          <w:p w14:paraId="243F700B">
            <w:pPr>
              <w:keepNext w:val="0"/>
              <w:keepLines w:val="0"/>
              <w:suppressLineNumbers w:val="0"/>
              <w:spacing w:before="0" w:beforeAutospacing="0" w:after="0" w:afterAutospacing="0" w:line="320" w:lineRule="exact"/>
              <w:ind w:left="0" w:right="0" w:firstLine="0" w:firstLineChars="0"/>
              <w:jc w:val="center"/>
              <w:rPr>
                <w:rFonts w:hint="default" w:ascii="Times New Roman" w:hAnsi="宋体"/>
                <w:color w:val="auto"/>
                <w:sz w:val="21"/>
                <w:szCs w:val="21"/>
              </w:rPr>
            </w:pPr>
            <w:r>
              <w:rPr>
                <w:rFonts w:hint="eastAsia" w:ascii="Times New Roman" w:hAnsi="宋体"/>
                <w:color w:val="auto"/>
                <w:sz w:val="21"/>
                <w:szCs w:val="21"/>
              </w:rPr>
              <w:t>符合</w:t>
            </w:r>
          </w:p>
        </w:tc>
      </w:tr>
      <w:tr w14:paraId="52103E9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c>
          <w:tcPr>
            <w:tcW w:w="355" w:type="pct"/>
            <w:tcBorders>
              <w:tl2br w:val="nil"/>
              <w:tr2bl w:val="nil"/>
            </w:tcBorders>
            <w:vAlign w:val="center"/>
          </w:tcPr>
          <w:p w14:paraId="4CBB9A4D">
            <w:pPr>
              <w:keepNext w:val="0"/>
              <w:keepLines/>
              <w:suppressLineNumbers w:val="0"/>
              <w:adjustRightInd w:val="0"/>
              <w:snapToGrid w:val="0"/>
              <w:spacing w:before="0" w:beforeAutospacing="0" w:after="0" w:afterAutospacing="0" w:line="320" w:lineRule="exact"/>
              <w:ind w:left="0" w:right="0" w:firstLine="0" w:firstLineChars="0"/>
              <w:jc w:val="center"/>
              <w:rPr>
                <w:rFonts w:hint="eastAsia" w:hAnsi="宋体" w:eastAsia="宋体"/>
                <w:snapToGrid w:val="0"/>
                <w:color w:val="auto"/>
                <w:kern w:val="0"/>
                <w:sz w:val="21"/>
                <w:szCs w:val="21"/>
                <w:lang w:val="en-US" w:eastAsia="zh-CN"/>
              </w:rPr>
            </w:pPr>
            <w:r>
              <w:rPr>
                <w:rFonts w:hint="eastAsia" w:hAnsi="宋体"/>
                <w:snapToGrid w:val="0"/>
                <w:color w:val="auto"/>
                <w:kern w:val="0"/>
                <w:sz w:val="21"/>
                <w:szCs w:val="21"/>
              </w:rPr>
              <w:t>1</w:t>
            </w:r>
            <w:r>
              <w:rPr>
                <w:rFonts w:hint="eastAsia"/>
                <w:snapToGrid w:val="0"/>
                <w:color w:val="auto"/>
                <w:kern w:val="0"/>
                <w:sz w:val="21"/>
                <w:szCs w:val="21"/>
                <w:lang w:val="en-US" w:eastAsia="zh-CN"/>
              </w:rPr>
              <w:t>3</w:t>
            </w:r>
          </w:p>
        </w:tc>
        <w:tc>
          <w:tcPr>
            <w:tcW w:w="1836" w:type="pct"/>
            <w:tcBorders>
              <w:tl2br w:val="nil"/>
              <w:tr2bl w:val="nil"/>
            </w:tcBorders>
            <w:vAlign w:val="center"/>
          </w:tcPr>
          <w:p w14:paraId="32BF75BC">
            <w:pPr>
              <w:keepNext w:val="0"/>
              <w:keepLines w:val="0"/>
              <w:suppressLineNumbers w:val="0"/>
              <w:spacing w:before="0" w:beforeAutospacing="0" w:after="0" w:afterAutospacing="0" w:line="320" w:lineRule="exact"/>
              <w:ind w:left="0" w:right="0" w:firstLine="0" w:firstLineChars="0"/>
              <w:rPr>
                <w:rFonts w:hint="default" w:hAnsi="宋体" w:cs="宋体"/>
                <w:color w:val="auto"/>
                <w:kern w:val="0"/>
                <w:sz w:val="21"/>
                <w:szCs w:val="21"/>
              </w:rPr>
            </w:pPr>
            <w:r>
              <w:rPr>
                <w:rFonts w:hint="eastAsia" w:hAnsi="宋体" w:cs="宋体"/>
                <w:color w:val="auto"/>
                <w:kern w:val="0"/>
                <w:sz w:val="21"/>
                <w:szCs w:val="21"/>
              </w:rPr>
              <w:t>停电检修时，所有已切断电源的开关把手均应加锁；对该回路验电、放电，将线路接地，并且悬挂“有人作业，禁止送电”的警示牌。</w:t>
            </w:r>
          </w:p>
        </w:tc>
        <w:tc>
          <w:tcPr>
            <w:tcW w:w="1161" w:type="pct"/>
            <w:tcBorders>
              <w:tl2br w:val="nil"/>
              <w:tr2bl w:val="nil"/>
            </w:tcBorders>
            <w:vAlign w:val="center"/>
          </w:tcPr>
          <w:p w14:paraId="5AB12568">
            <w:pPr>
              <w:keepNext w:val="0"/>
              <w:keepLines w:val="0"/>
              <w:suppressLineNumbers w:val="0"/>
              <w:spacing w:before="0" w:beforeAutospacing="0" w:after="0" w:afterAutospacing="0" w:line="320" w:lineRule="exact"/>
              <w:ind w:left="0" w:right="0" w:firstLine="0" w:firstLineChars="0"/>
              <w:jc w:val="center"/>
              <w:rPr>
                <w:rFonts w:hint="default" w:hAnsi="宋体"/>
                <w:color w:val="auto"/>
                <w:sz w:val="21"/>
                <w:szCs w:val="21"/>
              </w:rPr>
            </w:pPr>
            <w:r>
              <w:rPr>
                <w:rFonts w:hint="eastAsia" w:hAnsi="宋体"/>
                <w:color w:val="auto"/>
                <w:sz w:val="21"/>
                <w:szCs w:val="21"/>
              </w:rPr>
              <w:t>《金属非金属矿山安全规程》(GB16423-2020)</w:t>
            </w:r>
          </w:p>
          <w:p w14:paraId="4F4A3824">
            <w:pPr>
              <w:keepNext w:val="0"/>
              <w:keepLines w:val="0"/>
              <w:suppressLineNumbers w:val="0"/>
              <w:spacing w:before="0" w:beforeAutospacing="0" w:after="0" w:afterAutospacing="0" w:line="320" w:lineRule="exact"/>
              <w:ind w:left="0" w:right="0" w:firstLine="0" w:firstLineChars="0"/>
              <w:jc w:val="center"/>
              <w:rPr>
                <w:rFonts w:hint="default" w:hAnsi="宋体"/>
                <w:color w:val="auto"/>
                <w:sz w:val="21"/>
                <w:szCs w:val="21"/>
              </w:rPr>
            </w:pPr>
            <w:r>
              <w:rPr>
                <w:rFonts w:hint="eastAsia" w:hAnsi="宋体"/>
                <w:color w:val="auto"/>
                <w:sz w:val="21"/>
                <w:szCs w:val="21"/>
              </w:rPr>
              <w:t>第6.7.8.3条</w:t>
            </w:r>
          </w:p>
        </w:tc>
        <w:tc>
          <w:tcPr>
            <w:tcW w:w="1276" w:type="pct"/>
            <w:tcBorders>
              <w:tl2br w:val="nil"/>
              <w:tr2bl w:val="nil"/>
            </w:tcBorders>
            <w:vAlign w:val="center"/>
          </w:tcPr>
          <w:p w14:paraId="5B027261">
            <w:pPr>
              <w:keepNext w:val="0"/>
              <w:keepLines w:val="0"/>
              <w:suppressLineNumbers w:val="0"/>
              <w:spacing w:before="0" w:beforeAutospacing="0" w:after="0" w:afterAutospacing="0" w:line="320" w:lineRule="exact"/>
              <w:ind w:left="0" w:right="0" w:firstLine="0" w:firstLineChars="0"/>
              <w:rPr>
                <w:rFonts w:hint="default" w:ascii="Times New Roman" w:hAnsi="宋体"/>
                <w:color w:val="auto"/>
                <w:sz w:val="21"/>
                <w:szCs w:val="21"/>
              </w:rPr>
            </w:pPr>
            <w:r>
              <w:rPr>
                <w:rFonts w:hint="eastAsia" w:ascii="Times New Roman" w:hAnsi="宋体"/>
                <w:color w:val="auto"/>
                <w:sz w:val="21"/>
                <w:szCs w:val="21"/>
              </w:rPr>
              <w:t>停电检修时，悬挂警示牌。</w:t>
            </w:r>
          </w:p>
        </w:tc>
        <w:tc>
          <w:tcPr>
            <w:tcW w:w="369" w:type="pct"/>
            <w:tcBorders>
              <w:tl2br w:val="nil"/>
              <w:tr2bl w:val="nil"/>
            </w:tcBorders>
            <w:vAlign w:val="center"/>
          </w:tcPr>
          <w:p w14:paraId="05C07B7E">
            <w:pPr>
              <w:keepNext w:val="0"/>
              <w:keepLines w:val="0"/>
              <w:suppressLineNumbers w:val="0"/>
              <w:spacing w:before="0" w:beforeAutospacing="0" w:after="0" w:afterAutospacing="0" w:line="320" w:lineRule="exact"/>
              <w:ind w:left="0" w:right="0" w:firstLine="0" w:firstLineChars="0"/>
              <w:jc w:val="center"/>
              <w:rPr>
                <w:rFonts w:hint="default" w:ascii="Times New Roman" w:hAnsi="宋体"/>
                <w:color w:val="auto"/>
                <w:sz w:val="21"/>
                <w:szCs w:val="21"/>
              </w:rPr>
            </w:pPr>
            <w:r>
              <w:rPr>
                <w:rFonts w:hint="eastAsia" w:ascii="Times New Roman" w:hAnsi="宋体"/>
                <w:color w:val="auto"/>
                <w:sz w:val="21"/>
                <w:szCs w:val="21"/>
              </w:rPr>
              <w:t>符合</w:t>
            </w:r>
          </w:p>
        </w:tc>
      </w:tr>
      <w:tr w14:paraId="65F7C99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c>
          <w:tcPr>
            <w:tcW w:w="355" w:type="pct"/>
            <w:tcBorders>
              <w:tl2br w:val="nil"/>
              <w:tr2bl w:val="nil"/>
            </w:tcBorders>
            <w:vAlign w:val="center"/>
          </w:tcPr>
          <w:p w14:paraId="3504CEE2">
            <w:pPr>
              <w:keepNext w:val="0"/>
              <w:keepLines/>
              <w:suppressLineNumbers w:val="0"/>
              <w:adjustRightInd w:val="0"/>
              <w:snapToGrid w:val="0"/>
              <w:spacing w:before="0" w:beforeAutospacing="0" w:after="0" w:afterAutospacing="0" w:line="320" w:lineRule="exact"/>
              <w:ind w:left="0" w:right="0" w:firstLine="0" w:firstLineChars="0"/>
              <w:jc w:val="center"/>
              <w:rPr>
                <w:rFonts w:hint="default" w:hAnsi="宋体" w:eastAsia="宋体"/>
                <w:snapToGrid w:val="0"/>
                <w:color w:val="auto"/>
                <w:kern w:val="0"/>
                <w:sz w:val="21"/>
                <w:szCs w:val="21"/>
                <w:lang w:val="en-US" w:eastAsia="zh-CN"/>
              </w:rPr>
            </w:pPr>
            <w:r>
              <w:rPr>
                <w:rFonts w:hint="eastAsia"/>
                <w:snapToGrid w:val="0"/>
                <w:color w:val="auto"/>
                <w:kern w:val="0"/>
                <w:sz w:val="21"/>
                <w:szCs w:val="21"/>
                <w:lang w:val="en-US" w:eastAsia="zh-CN"/>
              </w:rPr>
              <w:t>14</w:t>
            </w:r>
          </w:p>
        </w:tc>
        <w:tc>
          <w:tcPr>
            <w:tcW w:w="1836" w:type="pct"/>
            <w:tcBorders>
              <w:tl2br w:val="nil"/>
              <w:tr2bl w:val="nil"/>
            </w:tcBorders>
            <w:vAlign w:val="center"/>
          </w:tcPr>
          <w:p w14:paraId="54A2C623">
            <w:pPr>
              <w:pStyle w:val="34"/>
              <w:keepNext w:val="0"/>
              <w:keepLines w:val="0"/>
              <w:suppressLineNumbers w:val="0"/>
              <w:spacing w:before="0" w:beforeAutospacing="0" w:after="0" w:afterAutospacing="0"/>
              <w:ind w:left="0" w:right="0"/>
              <w:rPr>
                <w:rFonts w:hint="default"/>
                <w:color w:val="auto"/>
                <w:highlight w:val="none"/>
              </w:rPr>
            </w:pPr>
            <w:r>
              <w:rPr>
                <w:rFonts w:hint="eastAsia"/>
                <w:color w:val="auto"/>
                <w:highlight w:val="none"/>
              </w:rPr>
              <w:t>矿山电力负荷划分为一级负荷、二级负荷和三级负荷，负荷划分应符合下列规定：</w:t>
            </w:r>
          </w:p>
          <w:p w14:paraId="30F8CF39">
            <w:pPr>
              <w:pStyle w:val="34"/>
              <w:keepNext w:val="0"/>
              <w:keepLines w:val="0"/>
              <w:suppressLineNumbers w:val="0"/>
              <w:spacing w:before="0" w:beforeAutospacing="0" w:after="0" w:afterAutospacing="0"/>
              <w:ind w:left="0" w:right="0"/>
              <w:rPr>
                <w:rFonts w:hint="default"/>
                <w:color w:val="auto"/>
                <w:highlight w:val="none"/>
              </w:rPr>
            </w:pPr>
            <w:r>
              <w:rPr>
                <w:rFonts w:hint="eastAsia"/>
                <w:color w:val="auto"/>
                <w:highlight w:val="none"/>
              </w:rPr>
              <w:t>1、一级负荷：</w:t>
            </w:r>
          </w:p>
          <w:p w14:paraId="135E602B">
            <w:pPr>
              <w:pStyle w:val="34"/>
              <w:keepNext w:val="0"/>
              <w:keepLines w:val="0"/>
              <w:suppressLineNumbers w:val="0"/>
              <w:spacing w:before="0" w:beforeAutospacing="0" w:after="0" w:afterAutospacing="0"/>
              <w:ind w:left="0" w:right="0"/>
              <w:rPr>
                <w:rFonts w:hint="default"/>
                <w:color w:val="auto"/>
                <w:highlight w:val="none"/>
              </w:rPr>
            </w:pPr>
            <w:r>
              <w:rPr>
                <w:rFonts w:hint="eastAsia"/>
                <w:color w:val="auto"/>
                <w:highlight w:val="none"/>
              </w:rPr>
              <w:t>井下有淹没危险环境矿井的主排水泵及下山开采采区的采区排水泵；</w:t>
            </w:r>
          </w:p>
          <w:p w14:paraId="44011E7C">
            <w:pPr>
              <w:pStyle w:val="34"/>
              <w:keepNext w:val="0"/>
              <w:keepLines w:val="0"/>
              <w:suppressLineNumbers w:val="0"/>
              <w:spacing w:before="0" w:beforeAutospacing="0" w:after="0" w:afterAutospacing="0"/>
              <w:ind w:left="0" w:right="0"/>
              <w:rPr>
                <w:rFonts w:hint="default"/>
                <w:color w:val="auto"/>
                <w:highlight w:val="none"/>
              </w:rPr>
            </w:pPr>
            <w:r>
              <w:rPr>
                <w:rFonts w:hint="eastAsia"/>
                <w:color w:val="auto"/>
                <w:highlight w:val="none"/>
              </w:rPr>
              <w:t>井下有爆炸或对人体健康有严重损害危险环境矿井的主通风机；</w:t>
            </w:r>
          </w:p>
          <w:p w14:paraId="376217D1">
            <w:pPr>
              <w:pStyle w:val="34"/>
              <w:keepNext w:val="0"/>
              <w:keepLines w:val="0"/>
              <w:suppressLineNumbers w:val="0"/>
              <w:spacing w:before="0" w:beforeAutospacing="0" w:after="0" w:afterAutospacing="0"/>
              <w:ind w:left="0" w:right="0"/>
              <w:rPr>
                <w:rFonts w:hint="default"/>
                <w:color w:val="auto"/>
                <w:highlight w:val="none"/>
              </w:rPr>
            </w:pPr>
            <w:r>
              <w:rPr>
                <w:rFonts w:hint="eastAsia"/>
                <w:color w:val="auto"/>
                <w:highlight w:val="none"/>
              </w:rPr>
              <w:t>矿井经常升降人员的立井提升机；</w:t>
            </w:r>
          </w:p>
          <w:p w14:paraId="46630E44">
            <w:pPr>
              <w:pStyle w:val="34"/>
              <w:keepNext w:val="0"/>
              <w:keepLines w:val="0"/>
              <w:suppressLineNumbers w:val="0"/>
              <w:spacing w:before="0" w:beforeAutospacing="0" w:after="0" w:afterAutospacing="0"/>
              <w:ind w:left="0" w:right="0"/>
              <w:rPr>
                <w:rFonts w:hint="default"/>
                <w:color w:val="auto"/>
                <w:highlight w:val="none"/>
              </w:rPr>
            </w:pPr>
            <w:r>
              <w:rPr>
                <w:rFonts w:hint="eastAsia"/>
                <w:color w:val="auto"/>
                <w:highlight w:val="none"/>
              </w:rPr>
              <w:t>有淹没危险环境露天矿采场的排水泵或用井巷排水的排水泵。</w:t>
            </w:r>
          </w:p>
          <w:p w14:paraId="2ABFD1B0">
            <w:pPr>
              <w:pStyle w:val="34"/>
              <w:keepNext w:val="0"/>
              <w:keepLines w:val="0"/>
              <w:suppressLineNumbers w:val="0"/>
              <w:spacing w:before="0" w:beforeAutospacing="0" w:after="0" w:afterAutospacing="0"/>
              <w:ind w:left="0" w:right="0"/>
              <w:rPr>
                <w:rFonts w:hint="default"/>
                <w:color w:val="auto"/>
                <w:highlight w:val="none"/>
              </w:rPr>
            </w:pPr>
            <w:r>
              <w:rPr>
                <w:rFonts w:hint="eastAsia"/>
                <w:color w:val="auto"/>
                <w:highlight w:val="none"/>
              </w:rPr>
              <w:t>根据国家或行业现行有关标准规定应视为一级负荷的其他设备；</w:t>
            </w:r>
          </w:p>
          <w:p w14:paraId="48F8A188">
            <w:pPr>
              <w:pStyle w:val="34"/>
              <w:keepNext w:val="0"/>
              <w:keepLines w:val="0"/>
              <w:suppressLineNumbers w:val="0"/>
              <w:spacing w:before="0" w:beforeAutospacing="0" w:after="0" w:afterAutospacing="0"/>
              <w:ind w:left="0" w:right="0"/>
              <w:rPr>
                <w:rFonts w:hint="default"/>
                <w:color w:val="auto"/>
                <w:highlight w:val="none"/>
              </w:rPr>
            </w:pPr>
            <w:r>
              <w:rPr>
                <w:rFonts w:hint="eastAsia"/>
                <w:color w:val="auto"/>
                <w:highlight w:val="none"/>
              </w:rPr>
              <w:t>2、二级负荷：</w:t>
            </w:r>
          </w:p>
          <w:p w14:paraId="2787CC00">
            <w:pPr>
              <w:pStyle w:val="34"/>
              <w:keepNext w:val="0"/>
              <w:keepLines w:val="0"/>
              <w:suppressLineNumbers w:val="0"/>
              <w:spacing w:before="0" w:beforeAutospacing="0" w:after="0" w:afterAutospacing="0"/>
              <w:ind w:left="0" w:right="0"/>
              <w:rPr>
                <w:rFonts w:hint="default"/>
                <w:color w:val="auto"/>
                <w:highlight w:val="none"/>
              </w:rPr>
            </w:pPr>
            <w:r>
              <w:rPr>
                <w:rFonts w:hint="eastAsia"/>
                <w:color w:val="auto"/>
                <w:highlight w:val="none"/>
              </w:rPr>
              <w:t>大型企业中除一级负荷外与矿物开采、运输、提升、加工及外运有关的单台设备或互相关联的成组设备；</w:t>
            </w:r>
          </w:p>
          <w:p w14:paraId="783A65EB">
            <w:pPr>
              <w:pStyle w:val="34"/>
              <w:keepNext w:val="0"/>
              <w:keepLines w:val="0"/>
              <w:suppressLineNumbers w:val="0"/>
              <w:spacing w:before="0" w:beforeAutospacing="0" w:after="0" w:afterAutospacing="0"/>
              <w:ind w:left="0" w:right="0"/>
              <w:rPr>
                <w:rFonts w:hint="default"/>
                <w:color w:val="auto"/>
                <w:highlight w:val="none"/>
              </w:rPr>
            </w:pPr>
            <w:r>
              <w:rPr>
                <w:rFonts w:hint="eastAsia"/>
                <w:color w:val="auto"/>
                <w:highlight w:val="none"/>
              </w:rPr>
              <w:t>没有携带式照明灯具的井下固定照明设备；地面一级负荷、大型企业二级负荷工作场所用于确保正常活动继续进行的应急照明设备。</w:t>
            </w:r>
          </w:p>
          <w:p w14:paraId="4783E5B3">
            <w:pPr>
              <w:pStyle w:val="34"/>
              <w:keepNext w:val="0"/>
              <w:keepLines w:val="0"/>
              <w:suppressLineNumbers w:val="0"/>
              <w:spacing w:before="0" w:beforeAutospacing="0" w:after="0" w:afterAutospacing="0"/>
              <w:ind w:left="0" w:right="0"/>
              <w:rPr>
                <w:rFonts w:hint="default"/>
                <w:color w:val="auto"/>
                <w:highlight w:val="none"/>
              </w:rPr>
            </w:pPr>
            <w:r>
              <w:rPr>
                <w:rFonts w:hint="eastAsia"/>
                <w:color w:val="auto"/>
                <w:highlight w:val="none"/>
              </w:rPr>
              <w:t>矿井通信和安全监控装置的电源设备；</w:t>
            </w:r>
          </w:p>
          <w:p w14:paraId="40071858">
            <w:pPr>
              <w:pStyle w:val="34"/>
              <w:keepNext w:val="0"/>
              <w:keepLines w:val="0"/>
              <w:suppressLineNumbers w:val="0"/>
              <w:spacing w:before="0" w:beforeAutospacing="0" w:after="0" w:afterAutospacing="0"/>
              <w:ind w:left="0" w:right="0"/>
              <w:rPr>
                <w:rFonts w:hint="default"/>
                <w:color w:val="auto"/>
                <w:highlight w:val="none"/>
              </w:rPr>
            </w:pPr>
            <w:r>
              <w:rPr>
                <w:rFonts w:hint="eastAsia"/>
                <w:color w:val="auto"/>
                <w:highlight w:val="none"/>
              </w:rPr>
              <w:t>大型露天矿的疏干排水泵；</w:t>
            </w:r>
          </w:p>
          <w:p w14:paraId="3266CA22">
            <w:pPr>
              <w:pStyle w:val="34"/>
              <w:keepNext w:val="0"/>
              <w:keepLines w:val="0"/>
              <w:suppressLineNumbers w:val="0"/>
              <w:spacing w:before="0" w:beforeAutospacing="0" w:after="0" w:afterAutospacing="0"/>
              <w:ind w:left="0" w:right="0"/>
              <w:rPr>
                <w:rFonts w:hint="default"/>
                <w:color w:val="auto"/>
                <w:highlight w:val="none"/>
              </w:rPr>
            </w:pPr>
            <w:r>
              <w:rPr>
                <w:rFonts w:hint="eastAsia"/>
                <w:color w:val="auto"/>
                <w:highlight w:val="none"/>
              </w:rPr>
              <w:t>露天矿大型铁路车站的信号电源设备；</w:t>
            </w:r>
          </w:p>
          <w:p w14:paraId="13270A7B">
            <w:pPr>
              <w:pStyle w:val="34"/>
              <w:keepNext w:val="0"/>
              <w:keepLines w:val="0"/>
              <w:suppressLineNumbers w:val="0"/>
              <w:spacing w:before="0" w:beforeAutospacing="0" w:after="0" w:afterAutospacing="0"/>
              <w:ind w:left="0" w:right="0"/>
              <w:rPr>
                <w:rFonts w:hint="default"/>
                <w:color w:val="auto"/>
                <w:highlight w:val="none"/>
              </w:rPr>
            </w:pPr>
            <w:r>
              <w:rPr>
                <w:rFonts w:hint="eastAsia"/>
                <w:color w:val="auto"/>
                <w:highlight w:val="none"/>
              </w:rPr>
              <w:t>根据国家或行业现行有关标准规定应视为二级负荷的其他设备；</w:t>
            </w:r>
          </w:p>
          <w:p w14:paraId="31438647">
            <w:pPr>
              <w:pStyle w:val="34"/>
              <w:keepNext w:val="0"/>
              <w:keepLines w:val="0"/>
              <w:suppressLineNumbers w:val="0"/>
              <w:spacing w:before="0" w:beforeAutospacing="0" w:after="0" w:afterAutospacing="0"/>
              <w:ind w:left="0" w:right="0"/>
              <w:rPr>
                <w:rFonts w:hint="default"/>
                <w:color w:val="auto"/>
                <w:highlight w:val="none"/>
              </w:rPr>
            </w:pPr>
            <w:r>
              <w:rPr>
                <w:rFonts w:hint="eastAsia"/>
                <w:color w:val="auto"/>
                <w:highlight w:val="none"/>
              </w:rPr>
              <w:t>3、三级负荷：</w:t>
            </w:r>
          </w:p>
          <w:p w14:paraId="4C214A03">
            <w:pPr>
              <w:pStyle w:val="34"/>
              <w:keepNext w:val="0"/>
              <w:keepLines w:val="0"/>
              <w:suppressLineNumbers w:val="0"/>
              <w:spacing w:before="0" w:beforeAutospacing="0" w:after="0" w:afterAutospacing="0"/>
              <w:ind w:left="0" w:right="0" w:firstLine="0" w:firstLineChars="0"/>
              <w:rPr>
                <w:rFonts w:hint="eastAsia" w:ascii="宋体" w:hAnsi="宋体" w:eastAsia="宋体" w:cstheme="minorBidi"/>
                <w:color w:val="auto"/>
                <w:kern w:val="2"/>
                <w:sz w:val="21"/>
                <w:szCs w:val="22"/>
                <w:highlight w:val="none"/>
                <w:lang w:val="en-US" w:eastAsia="zh-CN" w:bidi="ar-SA"/>
              </w:rPr>
            </w:pPr>
            <w:r>
              <w:rPr>
                <w:rFonts w:hint="eastAsia"/>
                <w:color w:val="auto"/>
                <w:highlight w:val="none"/>
              </w:rPr>
              <w:t>不属于二级</w:t>
            </w:r>
            <w:r>
              <w:rPr>
                <w:rFonts w:hint="eastAsia"/>
                <w:color w:val="auto"/>
                <w:highlight w:val="none"/>
                <w:lang w:eastAsia="zh-CN"/>
              </w:rPr>
              <w:t>负荷</w:t>
            </w:r>
            <w:r>
              <w:rPr>
                <w:rFonts w:hint="eastAsia"/>
                <w:color w:val="auto"/>
                <w:highlight w:val="none"/>
              </w:rPr>
              <w:t>和一级负荷的电力设备。</w:t>
            </w:r>
          </w:p>
        </w:tc>
        <w:tc>
          <w:tcPr>
            <w:tcW w:w="1161" w:type="pct"/>
            <w:tcBorders>
              <w:tl2br w:val="nil"/>
              <w:tr2bl w:val="nil"/>
            </w:tcBorders>
            <w:vAlign w:val="center"/>
          </w:tcPr>
          <w:p w14:paraId="749C7968">
            <w:pPr>
              <w:pStyle w:val="34"/>
              <w:keepNext w:val="0"/>
              <w:keepLines w:val="0"/>
              <w:suppressLineNumbers w:val="0"/>
              <w:spacing w:before="0" w:beforeAutospacing="0" w:after="0" w:afterAutospacing="0"/>
              <w:ind w:left="0" w:right="0" w:firstLine="0" w:firstLineChars="0"/>
              <w:rPr>
                <w:rFonts w:hint="eastAsia" w:ascii="宋体" w:hAnsi="宋体" w:eastAsia="宋体" w:cstheme="minorBidi"/>
                <w:color w:val="auto"/>
                <w:kern w:val="2"/>
                <w:sz w:val="21"/>
                <w:szCs w:val="22"/>
                <w:highlight w:val="none"/>
                <w:lang w:val="en-US" w:eastAsia="zh-CN" w:bidi="ar-SA"/>
              </w:rPr>
            </w:pPr>
            <w:r>
              <w:rPr>
                <w:rFonts w:hint="default"/>
                <w:color w:val="auto"/>
                <w:highlight w:val="none"/>
              </w:rPr>
              <w:t>《矿山电力设计标准》</w:t>
            </w:r>
            <w:r>
              <w:rPr>
                <w:rFonts w:hint="eastAsia"/>
                <w:color w:val="auto"/>
                <w:highlight w:val="none"/>
                <w:lang w:eastAsia="zh-CN"/>
              </w:rPr>
              <w:t>(</w:t>
            </w:r>
            <w:r>
              <w:rPr>
                <w:rFonts w:hint="eastAsia"/>
                <w:color w:val="auto"/>
                <w:highlight w:val="none"/>
              </w:rPr>
              <w:t>GB50070-2020</w:t>
            </w:r>
            <w:r>
              <w:rPr>
                <w:rFonts w:hint="eastAsia"/>
                <w:color w:val="auto"/>
                <w:highlight w:val="none"/>
                <w:lang w:eastAsia="zh-CN"/>
              </w:rPr>
              <w:t>)</w:t>
            </w:r>
            <w:r>
              <w:rPr>
                <w:rFonts w:hint="eastAsia"/>
                <w:color w:val="auto"/>
                <w:highlight w:val="none"/>
              </w:rPr>
              <w:t>3.0.1</w:t>
            </w:r>
          </w:p>
        </w:tc>
        <w:tc>
          <w:tcPr>
            <w:tcW w:w="1276" w:type="pct"/>
            <w:tcBorders>
              <w:tl2br w:val="nil"/>
              <w:tr2bl w:val="nil"/>
            </w:tcBorders>
            <w:vAlign w:val="center"/>
          </w:tcPr>
          <w:p w14:paraId="477B450A">
            <w:pPr>
              <w:keepNext w:val="0"/>
              <w:keepLines w:val="0"/>
              <w:suppressLineNumbers w:val="0"/>
              <w:spacing w:before="0" w:beforeAutospacing="0" w:after="0" w:afterAutospacing="0" w:line="320" w:lineRule="exact"/>
              <w:ind w:left="0" w:right="0" w:firstLine="0" w:firstLineChars="0"/>
              <w:rPr>
                <w:rFonts w:hint="eastAsia" w:ascii="Times New Roman" w:hAnsi="宋体"/>
                <w:color w:val="auto"/>
                <w:sz w:val="21"/>
                <w:szCs w:val="21"/>
                <w:highlight w:val="none"/>
              </w:rPr>
            </w:pPr>
            <w:r>
              <w:rPr>
                <w:rFonts w:hint="eastAsia" w:ascii="宋体" w:hAnsi="宋体" w:eastAsia="宋体" w:cstheme="minorBidi"/>
                <w:color w:val="auto"/>
                <w:kern w:val="2"/>
                <w:sz w:val="21"/>
                <w:szCs w:val="22"/>
                <w:highlight w:val="none"/>
                <w:lang w:val="en-US" w:eastAsia="zh-CN" w:bidi="ar-SA"/>
              </w:rPr>
              <w:t>该项目风机</w:t>
            </w:r>
            <w:r>
              <w:rPr>
                <w:rFonts w:hint="eastAsia" w:cstheme="minorBidi"/>
                <w:color w:val="auto"/>
                <w:kern w:val="2"/>
                <w:sz w:val="21"/>
                <w:szCs w:val="22"/>
                <w:highlight w:val="none"/>
                <w:lang w:val="en-US" w:eastAsia="zh-CN" w:bidi="ar-SA"/>
              </w:rPr>
              <w:t>、</w:t>
            </w:r>
            <w:r>
              <w:rPr>
                <w:rFonts w:hint="eastAsia" w:ascii="Times New Roman" w:hAnsi="宋体"/>
                <w:color w:val="auto"/>
                <w:sz w:val="21"/>
                <w:szCs w:val="21"/>
                <w:lang w:val="en-US" w:eastAsia="zh-CN"/>
              </w:rPr>
              <w:t>空压机、</w:t>
            </w:r>
            <w:r>
              <w:rPr>
                <w:rFonts w:hint="default" w:ascii="Times New Roman" w:hAnsi="宋体"/>
                <w:color w:val="auto"/>
                <w:sz w:val="21"/>
                <w:szCs w:val="21"/>
                <w:lang w:val="en-US" w:eastAsia="zh-CN"/>
              </w:rPr>
              <w:t>井下通信及安全监控装置的电源设备、应急照明</w:t>
            </w:r>
            <w:r>
              <w:rPr>
                <w:rFonts w:hint="eastAsia" w:ascii="Times New Roman" w:hAnsi="宋体"/>
                <w:color w:val="auto"/>
                <w:sz w:val="21"/>
                <w:szCs w:val="21"/>
                <w:lang w:val="en-US" w:eastAsia="zh-CN"/>
              </w:rPr>
              <w:t>为二级负荷，其它设备均</w:t>
            </w:r>
            <w:r>
              <w:rPr>
                <w:rFonts w:hint="eastAsia" w:ascii="宋体" w:hAnsi="宋体" w:eastAsia="宋体" w:cstheme="minorBidi"/>
                <w:color w:val="auto"/>
                <w:kern w:val="2"/>
                <w:sz w:val="21"/>
                <w:szCs w:val="22"/>
                <w:highlight w:val="none"/>
                <w:lang w:val="en-US" w:eastAsia="zh-CN" w:bidi="ar-SA"/>
              </w:rPr>
              <w:t>为三级负荷。</w:t>
            </w:r>
          </w:p>
        </w:tc>
        <w:tc>
          <w:tcPr>
            <w:tcW w:w="369" w:type="pct"/>
            <w:tcBorders>
              <w:tl2br w:val="nil"/>
              <w:tr2bl w:val="nil"/>
            </w:tcBorders>
            <w:vAlign w:val="center"/>
          </w:tcPr>
          <w:p w14:paraId="4C1848FB">
            <w:pPr>
              <w:keepNext w:val="0"/>
              <w:keepLines w:val="0"/>
              <w:suppressLineNumbers w:val="0"/>
              <w:spacing w:before="0" w:beforeAutospacing="0" w:after="0" w:afterAutospacing="0" w:line="320" w:lineRule="exact"/>
              <w:ind w:left="0" w:right="0" w:firstLine="0" w:firstLineChars="0"/>
              <w:jc w:val="center"/>
              <w:rPr>
                <w:rFonts w:hint="eastAsia" w:ascii="Times New Roman" w:hAnsi="宋体" w:eastAsia="宋体"/>
                <w:color w:val="auto"/>
                <w:sz w:val="21"/>
                <w:szCs w:val="21"/>
                <w:highlight w:val="none"/>
                <w:lang w:val="en-US" w:eastAsia="zh-CN"/>
              </w:rPr>
            </w:pPr>
            <w:r>
              <w:rPr>
                <w:rFonts w:hint="eastAsia" w:ascii="Times New Roman"/>
                <w:color w:val="auto"/>
                <w:sz w:val="21"/>
                <w:szCs w:val="21"/>
                <w:highlight w:val="none"/>
                <w:lang w:val="en-US" w:eastAsia="zh-CN"/>
              </w:rPr>
              <w:t>符合</w:t>
            </w:r>
          </w:p>
        </w:tc>
      </w:tr>
      <w:tr w14:paraId="1436439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c>
          <w:tcPr>
            <w:tcW w:w="355" w:type="pct"/>
            <w:tcBorders>
              <w:tl2br w:val="nil"/>
              <w:tr2bl w:val="nil"/>
            </w:tcBorders>
            <w:vAlign w:val="center"/>
          </w:tcPr>
          <w:p w14:paraId="769C7EC4">
            <w:pPr>
              <w:keepNext w:val="0"/>
              <w:keepLines/>
              <w:suppressLineNumbers w:val="0"/>
              <w:adjustRightInd w:val="0"/>
              <w:snapToGrid w:val="0"/>
              <w:spacing w:before="0" w:beforeAutospacing="0" w:after="0" w:afterAutospacing="0" w:line="320" w:lineRule="exact"/>
              <w:ind w:left="0" w:right="0" w:firstLine="0" w:firstLineChars="0"/>
              <w:jc w:val="center"/>
              <w:rPr>
                <w:rFonts w:hint="default"/>
                <w:snapToGrid w:val="0"/>
                <w:color w:val="auto"/>
                <w:kern w:val="0"/>
                <w:sz w:val="21"/>
                <w:szCs w:val="21"/>
                <w:lang w:val="en-US" w:eastAsia="zh-CN"/>
              </w:rPr>
            </w:pPr>
            <w:r>
              <w:rPr>
                <w:rFonts w:hint="eastAsia"/>
                <w:snapToGrid w:val="0"/>
                <w:color w:val="auto"/>
                <w:kern w:val="0"/>
                <w:sz w:val="21"/>
                <w:szCs w:val="21"/>
                <w:lang w:val="en-US" w:eastAsia="zh-CN"/>
              </w:rPr>
              <w:t>15</w:t>
            </w:r>
          </w:p>
        </w:tc>
        <w:tc>
          <w:tcPr>
            <w:tcW w:w="1836" w:type="pct"/>
            <w:tcBorders>
              <w:tl2br w:val="nil"/>
              <w:tr2bl w:val="nil"/>
            </w:tcBorders>
            <w:vAlign w:val="center"/>
          </w:tcPr>
          <w:p w14:paraId="347B4CD4">
            <w:pPr>
              <w:pStyle w:val="34"/>
              <w:keepNext w:val="0"/>
              <w:keepLines w:val="0"/>
              <w:suppressLineNumbers w:val="0"/>
              <w:spacing w:before="0" w:beforeAutospacing="0" w:after="0" w:afterAutospacing="0"/>
              <w:ind w:left="0" w:right="0"/>
              <w:rPr>
                <w:rFonts w:hint="eastAsia"/>
                <w:color w:val="auto"/>
                <w:highlight w:val="none"/>
                <w:lang w:eastAsia="zh-CN"/>
              </w:rPr>
            </w:pPr>
            <w:r>
              <w:rPr>
                <w:rFonts w:hint="eastAsia"/>
                <w:color w:val="auto"/>
                <w:highlight w:val="none"/>
              </w:rPr>
              <w:t>1140V及以下低压配电系统中性点应采用IT系统、TN-S系统或中性点经电阻接地系统；有爆炸危险的矿山应采用IT系统</w:t>
            </w:r>
            <w:r>
              <w:rPr>
                <w:rFonts w:hint="eastAsia"/>
                <w:color w:val="auto"/>
                <w:highlight w:val="none"/>
                <w:lang w:eastAsia="zh-CN"/>
              </w:rPr>
              <w:t>。</w:t>
            </w:r>
          </w:p>
        </w:tc>
        <w:tc>
          <w:tcPr>
            <w:tcW w:w="1161" w:type="pct"/>
            <w:tcBorders>
              <w:tl2br w:val="nil"/>
              <w:tr2bl w:val="nil"/>
            </w:tcBorders>
            <w:vAlign w:val="center"/>
          </w:tcPr>
          <w:p w14:paraId="3C2CAB39">
            <w:pPr>
              <w:pStyle w:val="34"/>
              <w:keepNext w:val="0"/>
              <w:keepLines w:val="0"/>
              <w:suppressLineNumbers w:val="0"/>
              <w:spacing w:before="0" w:beforeAutospacing="0" w:after="0" w:afterAutospacing="0"/>
              <w:ind w:left="0" w:right="0"/>
              <w:rPr>
                <w:rFonts w:hint="default"/>
                <w:color w:val="auto"/>
                <w:highlight w:val="none"/>
              </w:rPr>
            </w:pPr>
            <w:r>
              <w:rPr>
                <w:rFonts w:hint="eastAsia"/>
                <w:color w:val="auto"/>
                <w:highlight w:val="none"/>
              </w:rPr>
              <w:t>《金属非金属矿山安全规程》(GB16423-2020)</w:t>
            </w:r>
          </w:p>
          <w:p w14:paraId="58A09F3D">
            <w:pPr>
              <w:pStyle w:val="34"/>
              <w:keepNext w:val="0"/>
              <w:keepLines w:val="0"/>
              <w:suppressLineNumbers w:val="0"/>
              <w:spacing w:before="0" w:beforeAutospacing="0" w:after="0" w:afterAutospacing="0"/>
              <w:ind w:left="0" w:right="0"/>
              <w:rPr>
                <w:rFonts w:hint="default"/>
                <w:color w:val="auto"/>
                <w:highlight w:val="none"/>
              </w:rPr>
            </w:pPr>
            <w:r>
              <w:rPr>
                <w:rFonts w:hint="eastAsia"/>
                <w:color w:val="auto"/>
                <w:highlight w:val="none"/>
              </w:rPr>
              <w:t>第6.7.</w:t>
            </w:r>
            <w:r>
              <w:rPr>
                <w:rFonts w:hint="eastAsia"/>
                <w:color w:val="auto"/>
                <w:highlight w:val="none"/>
                <w:lang w:val="en-US" w:eastAsia="zh-CN"/>
              </w:rPr>
              <w:t>1</w:t>
            </w:r>
            <w:r>
              <w:rPr>
                <w:rFonts w:hint="eastAsia"/>
                <w:color w:val="auto"/>
                <w:highlight w:val="none"/>
              </w:rPr>
              <w:t>.</w:t>
            </w:r>
            <w:r>
              <w:rPr>
                <w:rFonts w:hint="eastAsia"/>
                <w:color w:val="auto"/>
                <w:highlight w:val="none"/>
                <w:lang w:val="en-US" w:eastAsia="zh-CN"/>
              </w:rPr>
              <w:t>6</w:t>
            </w:r>
            <w:r>
              <w:rPr>
                <w:rFonts w:hint="eastAsia"/>
                <w:color w:val="auto"/>
                <w:highlight w:val="none"/>
              </w:rPr>
              <w:t>条</w:t>
            </w:r>
          </w:p>
        </w:tc>
        <w:tc>
          <w:tcPr>
            <w:tcW w:w="1276" w:type="pct"/>
            <w:tcBorders>
              <w:tl2br w:val="nil"/>
              <w:tr2bl w:val="nil"/>
            </w:tcBorders>
            <w:vAlign w:val="center"/>
          </w:tcPr>
          <w:p w14:paraId="69B761CD">
            <w:pPr>
              <w:pStyle w:val="34"/>
              <w:keepNext w:val="0"/>
              <w:keepLines w:val="0"/>
              <w:suppressLineNumbers w:val="0"/>
              <w:spacing w:before="0" w:beforeAutospacing="0" w:after="0" w:afterAutospacing="0"/>
              <w:ind w:left="0" w:right="0"/>
              <w:rPr>
                <w:rFonts w:hint="eastAsia"/>
                <w:color w:val="auto"/>
                <w:highlight w:val="none"/>
                <w:lang w:val="en-US" w:eastAsia="zh-CN"/>
              </w:rPr>
            </w:pPr>
            <w:r>
              <w:rPr>
                <w:rFonts w:hint="eastAsia"/>
                <w:color w:val="auto"/>
                <w:highlight w:val="none"/>
                <w:lang w:val="en-US" w:eastAsia="zh-CN"/>
              </w:rPr>
              <w:t>井下低压配电系统接地型式采用IT系统。</w:t>
            </w:r>
          </w:p>
        </w:tc>
        <w:tc>
          <w:tcPr>
            <w:tcW w:w="369" w:type="pct"/>
            <w:tcBorders>
              <w:tl2br w:val="nil"/>
              <w:tr2bl w:val="nil"/>
            </w:tcBorders>
            <w:vAlign w:val="center"/>
          </w:tcPr>
          <w:p w14:paraId="1023D530">
            <w:pPr>
              <w:pStyle w:val="34"/>
              <w:keepNext w:val="0"/>
              <w:keepLines w:val="0"/>
              <w:suppressLineNumbers w:val="0"/>
              <w:spacing w:before="0" w:beforeAutospacing="0" w:after="0" w:afterAutospacing="0"/>
              <w:ind w:left="0" w:right="0"/>
              <w:rPr>
                <w:rFonts w:hint="eastAsia"/>
                <w:color w:val="auto"/>
                <w:highlight w:val="none"/>
                <w:lang w:val="en-US" w:eastAsia="zh-CN"/>
              </w:rPr>
            </w:pPr>
            <w:r>
              <w:rPr>
                <w:rFonts w:hint="eastAsia"/>
                <w:color w:val="auto"/>
                <w:highlight w:val="none"/>
                <w:lang w:val="en-US" w:eastAsia="zh-CN"/>
              </w:rPr>
              <w:t>符合</w:t>
            </w:r>
          </w:p>
        </w:tc>
      </w:tr>
    </w:tbl>
    <w:p w14:paraId="59761CD9">
      <w:pPr>
        <w:ind w:firstLine="560"/>
        <w:rPr>
          <w:rFonts w:hint="eastAsia" w:hAnsi="宋体" w:eastAsia="宋体" w:cs="宋体"/>
          <w:color w:val="auto"/>
          <w:szCs w:val="28"/>
          <w:lang w:val="en-US" w:eastAsia="zh-CN"/>
        </w:rPr>
      </w:pPr>
      <w:r>
        <w:rPr>
          <w:rFonts w:hint="eastAsia" w:hAnsi="宋体" w:cs="宋体"/>
          <w:color w:val="auto"/>
          <w:szCs w:val="28"/>
        </w:rPr>
        <w:t>本单元依据《金属非金属矿山安全规程》(GBl6423-2020)、《矿山电力设计标准》(GB50070-2020)等标准、规范的要求，对该矿供电系统进行检查，该矿供配电系统设计总体符合相关规范要求。其中</w:t>
      </w:r>
      <w:r>
        <w:rPr>
          <w:rFonts w:hint="eastAsia" w:cs="宋体"/>
          <w:color w:val="auto"/>
          <w:szCs w:val="28"/>
          <w:lang w:val="en-US" w:eastAsia="zh-CN"/>
        </w:rPr>
        <w:t>2</w:t>
      </w:r>
      <w:r>
        <w:rPr>
          <w:rFonts w:hint="eastAsia" w:hAnsi="宋体" w:cs="宋体"/>
          <w:color w:val="auto"/>
          <w:szCs w:val="28"/>
        </w:rPr>
        <w:t>项需进行完善，详见单元总结</w:t>
      </w:r>
      <w:r>
        <w:rPr>
          <w:rFonts w:hint="eastAsia" w:cs="宋体"/>
          <w:color w:val="auto"/>
          <w:szCs w:val="28"/>
          <w:lang w:eastAsia="zh-CN"/>
        </w:rPr>
        <w:t>。</w:t>
      </w:r>
    </w:p>
    <w:p w14:paraId="11FFA5E4">
      <w:pPr>
        <w:pStyle w:val="4"/>
        <w:tabs>
          <w:tab w:val="left" w:pos="8265"/>
        </w:tabs>
        <w:spacing w:before="120" w:beforeLines="0" w:after="120" w:afterLines="0"/>
        <w:rPr>
          <w:color w:val="auto"/>
        </w:rPr>
      </w:pPr>
      <w:r>
        <w:rPr>
          <w:rFonts w:hint="eastAsia"/>
          <w:color w:val="auto"/>
        </w:rPr>
        <w:t>3.</w:t>
      </w:r>
      <w:r>
        <w:rPr>
          <w:rFonts w:hint="eastAsia"/>
          <w:color w:val="auto"/>
          <w:lang w:val="en-US" w:eastAsia="zh-CN"/>
        </w:rPr>
        <w:t>6</w:t>
      </w:r>
      <w:r>
        <w:rPr>
          <w:rFonts w:hint="eastAsia"/>
          <w:color w:val="auto"/>
        </w:rPr>
        <w:t xml:space="preserve">.3 </w:t>
      </w:r>
      <w:bookmarkStart w:id="124" w:name="_Toc16473"/>
      <w:r>
        <w:rPr>
          <w:rFonts w:hint="eastAsia"/>
          <w:color w:val="auto"/>
        </w:rPr>
        <w:t>单元评价总结</w:t>
      </w:r>
    </w:p>
    <w:p w14:paraId="17AA983D">
      <w:pPr>
        <w:ind w:firstLine="560"/>
        <w:rPr>
          <w:color w:val="auto"/>
        </w:rPr>
      </w:pPr>
      <w:r>
        <w:rPr>
          <w:rFonts w:hint="eastAsia"/>
          <w:color w:val="auto"/>
        </w:rPr>
        <w:t>1、</w:t>
      </w:r>
      <w:r>
        <w:rPr>
          <w:rFonts w:hint="eastAsia"/>
          <w:color w:val="auto"/>
          <w:lang w:val="en-US" w:eastAsia="zh-CN"/>
        </w:rPr>
        <w:t>可研</w:t>
      </w:r>
      <w:r>
        <w:rPr>
          <w:rFonts w:hint="eastAsia"/>
          <w:color w:val="auto"/>
        </w:rPr>
        <w:t>报告设计的供配电方案、变电所布置及电气保护基本符合《金属非金属矿山安全规程》(</w:t>
      </w:r>
      <w:r>
        <w:rPr>
          <w:rFonts w:hint="eastAsia"/>
          <w:color w:val="auto"/>
          <w:lang w:eastAsia="zh-CN"/>
        </w:rPr>
        <w:t>GBl6423-2020</w:t>
      </w:r>
      <w:r>
        <w:rPr>
          <w:rFonts w:hint="eastAsia"/>
          <w:color w:val="auto"/>
        </w:rPr>
        <w:t>)、《矿山电力设计标准》(GB50070-2020)等标准、规范的要求。</w:t>
      </w:r>
    </w:p>
    <w:p w14:paraId="208884EE">
      <w:pPr>
        <w:ind w:firstLine="560"/>
        <w:rPr>
          <w:color w:val="auto"/>
        </w:rPr>
      </w:pPr>
      <w:r>
        <w:rPr>
          <w:rFonts w:hint="eastAsia"/>
          <w:color w:val="auto"/>
        </w:rPr>
        <w:t>2、</w:t>
      </w:r>
      <w:r>
        <w:rPr>
          <w:rFonts w:hint="eastAsia"/>
          <w:color w:val="auto"/>
          <w:lang w:val="en-US" w:eastAsia="zh-CN"/>
        </w:rPr>
        <w:t>通过</w:t>
      </w:r>
      <w:r>
        <w:rPr>
          <w:rFonts w:hint="eastAsia"/>
          <w:color w:val="auto"/>
        </w:rPr>
        <w:t>预先危险性分析得知，</w:t>
      </w:r>
      <w:r>
        <w:rPr>
          <w:rFonts w:hint="eastAsia"/>
          <w:color w:val="auto"/>
          <w:lang w:eastAsia="zh-CN"/>
        </w:rPr>
        <w:t>火灾</w:t>
      </w:r>
      <w:r>
        <w:rPr>
          <w:rFonts w:hint="eastAsia"/>
          <w:color w:val="auto"/>
        </w:rPr>
        <w:t>事故危险等级为Ⅳ级，可能造成人员伤亡事故，亦可造成设备损坏，应引起高度重视，严加防范。触电事故危险等级为Ⅲ级，可能造成人员伤亡事故，亦可造成设备损坏，应引起高度重视，严加防范。</w:t>
      </w:r>
    </w:p>
    <w:p w14:paraId="09C36F2A">
      <w:pPr>
        <w:ind w:firstLine="560"/>
        <w:rPr>
          <w:rFonts w:hint="eastAsia"/>
          <w:color w:val="auto"/>
          <w:lang w:eastAsia="zh-CN"/>
        </w:rPr>
      </w:pPr>
      <w:r>
        <w:rPr>
          <w:rFonts w:hint="eastAsia"/>
          <w:color w:val="auto"/>
        </w:rPr>
        <w:t>3、下步安全设施设计需调整、完善的问题：</w:t>
      </w:r>
    </w:p>
    <w:p w14:paraId="2E207B9E">
      <w:pPr>
        <w:ind w:firstLine="560"/>
        <w:rPr>
          <w:rFonts w:hint="eastAsia"/>
          <w:color w:val="auto"/>
        </w:rPr>
      </w:pPr>
      <w:r>
        <w:rPr>
          <w:rFonts w:hint="eastAsia"/>
          <w:color w:val="auto"/>
          <w:lang w:val="en-US" w:eastAsia="zh-CN"/>
        </w:rPr>
        <w:t>1.</w:t>
      </w:r>
      <w:r>
        <w:rPr>
          <w:rFonts w:hint="eastAsia"/>
          <w:color w:val="auto"/>
        </w:rPr>
        <w:t>应明确</w:t>
      </w:r>
      <w:r>
        <w:rPr>
          <w:rFonts w:hint="eastAsia"/>
          <w:color w:val="auto"/>
          <w:lang w:val="en-US" w:eastAsia="zh-CN"/>
        </w:rPr>
        <w:t>电缆</w:t>
      </w:r>
      <w:r>
        <w:rPr>
          <w:rFonts w:hint="eastAsia"/>
          <w:color w:val="auto"/>
          <w:lang w:eastAsia="zh-CN"/>
        </w:rPr>
        <w:t>的</w:t>
      </w:r>
      <w:r>
        <w:rPr>
          <w:rFonts w:hint="eastAsia"/>
          <w:color w:val="auto"/>
          <w:lang w:val="en-US" w:eastAsia="zh-CN"/>
        </w:rPr>
        <w:t>型号规格和敷设要求</w:t>
      </w:r>
      <w:r>
        <w:rPr>
          <w:rFonts w:hint="eastAsia"/>
          <w:color w:val="auto"/>
        </w:rPr>
        <w:t>。</w:t>
      </w:r>
    </w:p>
    <w:p w14:paraId="7CADC472">
      <w:pPr>
        <w:ind w:firstLine="560"/>
        <w:rPr>
          <w:rFonts w:hint="eastAsia"/>
          <w:color w:val="auto"/>
          <w:lang w:val="en-US" w:eastAsia="zh-CN"/>
        </w:rPr>
      </w:pPr>
      <w:r>
        <w:rPr>
          <w:rFonts w:hint="eastAsia"/>
          <w:color w:val="auto"/>
          <w:lang w:val="en-US" w:eastAsia="zh-CN"/>
        </w:rPr>
        <w:t>2.按照《矿山电力设计标准》</w:t>
      </w:r>
      <w:r>
        <w:rPr>
          <w:rFonts w:hint="eastAsia"/>
          <w:color w:val="auto"/>
          <w:sz w:val="21"/>
          <w:szCs w:val="21"/>
          <w:lang w:eastAsia="zh-CN"/>
        </w:rPr>
        <w:t>，</w:t>
      </w:r>
      <w:r>
        <w:rPr>
          <w:rFonts w:hint="eastAsia"/>
          <w:color w:val="auto"/>
          <w:lang w:val="en-US" w:eastAsia="zh-CN"/>
        </w:rPr>
        <w:t>矿山无一级负荷用电设备，可由一回电源线路供电，建议调整完善备用电源的配置情况。</w:t>
      </w:r>
    </w:p>
    <w:p w14:paraId="282118AF">
      <w:pPr>
        <w:ind w:firstLine="560"/>
        <w:rPr>
          <w:rFonts w:hint="default"/>
          <w:color w:val="auto"/>
          <w:lang w:val="en-US" w:eastAsia="zh-CN"/>
        </w:rPr>
      </w:pPr>
      <w:r>
        <w:rPr>
          <w:rFonts w:hint="eastAsia"/>
          <w:color w:val="auto"/>
          <w:lang w:val="en-US" w:eastAsia="zh-CN"/>
        </w:rPr>
        <w:t>3.明确采区变电所的位置和设置要求。</w:t>
      </w:r>
    </w:p>
    <w:p w14:paraId="257A4724">
      <w:pPr>
        <w:pStyle w:val="3"/>
        <w:spacing w:before="120" w:beforeLines="0" w:after="120" w:afterLines="0" w:line="560" w:lineRule="exact"/>
        <w:rPr>
          <w:color w:val="auto"/>
        </w:rPr>
      </w:pPr>
      <w:bookmarkStart w:id="125" w:name="_Toc19682"/>
      <w:r>
        <w:rPr>
          <w:rFonts w:hint="eastAsia"/>
          <w:color w:val="auto"/>
        </w:rPr>
        <w:t>3.</w:t>
      </w:r>
      <w:r>
        <w:rPr>
          <w:rFonts w:hint="eastAsia"/>
          <w:color w:val="auto"/>
          <w:lang w:val="en-US" w:eastAsia="zh-CN"/>
        </w:rPr>
        <w:t>7</w:t>
      </w:r>
      <w:r>
        <w:rPr>
          <w:rFonts w:hint="eastAsia"/>
          <w:color w:val="auto"/>
        </w:rPr>
        <w:t xml:space="preserve"> 防排水与防灭火单元</w:t>
      </w:r>
      <w:bookmarkEnd w:id="124"/>
      <w:bookmarkEnd w:id="125"/>
    </w:p>
    <w:p w14:paraId="7A0315E7">
      <w:pPr>
        <w:pStyle w:val="4"/>
        <w:keepNext w:val="0"/>
        <w:tabs>
          <w:tab w:val="left" w:pos="8265"/>
        </w:tabs>
        <w:spacing w:before="120" w:beforeLines="0" w:after="120" w:afterLines="0"/>
        <w:rPr>
          <w:color w:val="auto"/>
        </w:rPr>
      </w:pPr>
      <w:r>
        <w:rPr>
          <w:rFonts w:hint="eastAsia"/>
          <w:color w:val="auto"/>
        </w:rPr>
        <w:t>3.</w:t>
      </w:r>
      <w:r>
        <w:rPr>
          <w:rFonts w:hint="eastAsia"/>
          <w:color w:val="auto"/>
          <w:lang w:val="en-US" w:eastAsia="zh-CN"/>
        </w:rPr>
        <w:t>7</w:t>
      </w:r>
      <w:r>
        <w:rPr>
          <w:rFonts w:hint="eastAsia"/>
          <w:color w:val="auto"/>
        </w:rPr>
        <w:t>.1 防排水评价</w:t>
      </w:r>
    </w:p>
    <w:p w14:paraId="08013EEF">
      <w:pPr>
        <w:pStyle w:val="5"/>
        <w:keepNext/>
        <w:keepLines/>
        <w:pageBreakBefore w:val="0"/>
        <w:widowControl w:val="0"/>
        <w:tabs>
          <w:tab w:val="left" w:pos="8265"/>
        </w:tabs>
        <w:kinsoku/>
        <w:wordWrap/>
        <w:overflowPunct/>
        <w:topLinePunct w:val="0"/>
        <w:autoSpaceDE/>
        <w:autoSpaceDN/>
        <w:bidi w:val="0"/>
        <w:adjustRightInd/>
        <w:snapToGrid/>
        <w:spacing w:before="120" w:after="120"/>
        <w:ind w:firstLine="560" w:firstLineChars="200"/>
        <w:textAlignment w:val="auto"/>
        <w:rPr>
          <w:rFonts w:cs="宋体"/>
          <w:b w:val="0"/>
          <w:bCs/>
          <w:color w:val="auto"/>
        </w:rPr>
      </w:pPr>
      <w:r>
        <w:rPr>
          <w:rFonts w:hint="eastAsia" w:cs="宋体"/>
          <w:b/>
          <w:bCs w:val="0"/>
          <w:color w:val="auto"/>
        </w:rPr>
        <w:t>3.</w:t>
      </w:r>
      <w:r>
        <w:rPr>
          <w:rFonts w:hint="eastAsia" w:cs="宋体"/>
          <w:b/>
          <w:bCs w:val="0"/>
          <w:color w:val="auto"/>
          <w:lang w:val="en-US" w:eastAsia="zh-CN"/>
        </w:rPr>
        <w:t>7</w:t>
      </w:r>
      <w:r>
        <w:rPr>
          <w:rFonts w:hint="eastAsia" w:cs="宋体"/>
          <w:b/>
          <w:bCs w:val="0"/>
          <w:color w:val="auto"/>
        </w:rPr>
        <w:t>.1.1 防排水单元危险、有害因素评价</w:t>
      </w:r>
    </w:p>
    <w:p w14:paraId="7FFAFF0E">
      <w:pPr>
        <w:ind w:firstLine="0" w:firstLineChars="0"/>
        <w:jc w:val="center"/>
        <w:rPr>
          <w:b/>
          <w:color w:val="auto"/>
          <w:szCs w:val="28"/>
          <w:highlight w:val="red"/>
        </w:rPr>
      </w:pPr>
      <w:r>
        <w:rPr>
          <w:rFonts w:hint="eastAsia"/>
          <w:b/>
          <w:color w:val="auto"/>
          <w:szCs w:val="28"/>
        </w:rPr>
        <w:t>表3.</w:t>
      </w:r>
      <w:r>
        <w:rPr>
          <w:rFonts w:hint="eastAsia"/>
          <w:b/>
          <w:color w:val="auto"/>
          <w:szCs w:val="28"/>
          <w:lang w:val="en-US" w:eastAsia="zh-CN"/>
        </w:rPr>
        <w:t>7</w:t>
      </w:r>
      <w:r>
        <w:rPr>
          <w:rFonts w:hint="eastAsia"/>
          <w:b/>
          <w:color w:val="auto"/>
          <w:szCs w:val="28"/>
        </w:rPr>
        <w:t xml:space="preserve">-1 </w:t>
      </w:r>
      <w:r>
        <w:rPr>
          <w:rFonts w:hint="eastAsia"/>
          <w:b/>
          <w:bCs/>
          <w:color w:val="auto"/>
          <w:szCs w:val="28"/>
        </w:rPr>
        <w:t>防排水</w:t>
      </w:r>
      <w:r>
        <w:rPr>
          <w:rFonts w:hint="eastAsia"/>
          <w:b/>
          <w:color w:val="auto"/>
          <w:szCs w:val="28"/>
        </w:rPr>
        <w:t>单元预先危险性分析表</w:t>
      </w:r>
    </w:p>
    <w:tbl>
      <w:tblPr>
        <w:tblStyle w:val="24"/>
        <w:tblW w:w="4997"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763"/>
        <w:gridCol w:w="4708"/>
        <w:gridCol w:w="989"/>
        <w:gridCol w:w="1225"/>
        <w:gridCol w:w="596"/>
        <w:gridCol w:w="1227"/>
      </w:tblGrid>
      <w:tr w14:paraId="2F6A5C5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blHeader/>
          <w:jc w:val="center"/>
        </w:trPr>
        <w:tc>
          <w:tcPr>
            <w:tcW w:w="401" w:type="pct"/>
            <w:tcBorders>
              <w:tl2br w:val="nil"/>
              <w:tr2bl w:val="nil"/>
            </w:tcBorders>
            <w:vAlign w:val="center"/>
          </w:tcPr>
          <w:p w14:paraId="129F5A80">
            <w:pPr>
              <w:pStyle w:val="34"/>
              <w:keepNext w:val="0"/>
              <w:keepLines/>
              <w:suppressLineNumbers w:val="0"/>
              <w:spacing w:before="0" w:beforeAutospacing="0" w:after="0" w:afterAutospacing="0"/>
              <w:ind w:left="0" w:right="0"/>
              <w:rPr>
                <w:rFonts w:hint="default" w:hAnsi="宋体" w:cs="宋体"/>
                <w:b/>
                <w:bCs/>
                <w:color w:val="auto"/>
                <w:szCs w:val="21"/>
              </w:rPr>
            </w:pPr>
            <w:r>
              <w:rPr>
                <w:rFonts w:hint="eastAsia" w:hAnsi="宋体" w:cs="宋体"/>
                <w:b/>
                <w:bCs/>
                <w:color w:val="auto"/>
                <w:szCs w:val="21"/>
              </w:rPr>
              <w:t>危险</w:t>
            </w:r>
          </w:p>
          <w:p w14:paraId="0789255E">
            <w:pPr>
              <w:pStyle w:val="34"/>
              <w:keepNext w:val="0"/>
              <w:keepLines/>
              <w:suppressLineNumbers w:val="0"/>
              <w:spacing w:before="0" w:beforeAutospacing="0" w:after="0" w:afterAutospacing="0"/>
              <w:ind w:left="0" w:right="0"/>
              <w:rPr>
                <w:rFonts w:hint="default" w:hAnsi="宋体" w:cs="宋体"/>
                <w:b/>
                <w:bCs/>
                <w:color w:val="auto"/>
                <w:szCs w:val="21"/>
              </w:rPr>
            </w:pPr>
            <w:r>
              <w:rPr>
                <w:rFonts w:hint="eastAsia" w:hAnsi="宋体" w:cs="宋体"/>
                <w:b/>
                <w:bCs/>
                <w:color w:val="auto"/>
                <w:szCs w:val="21"/>
              </w:rPr>
              <w:t>因素</w:t>
            </w:r>
          </w:p>
        </w:tc>
        <w:tc>
          <w:tcPr>
            <w:tcW w:w="2474" w:type="pct"/>
            <w:tcBorders>
              <w:tl2br w:val="nil"/>
              <w:tr2bl w:val="nil"/>
            </w:tcBorders>
            <w:vAlign w:val="center"/>
          </w:tcPr>
          <w:p w14:paraId="0324292A">
            <w:pPr>
              <w:pStyle w:val="34"/>
              <w:keepNext w:val="0"/>
              <w:keepLines/>
              <w:suppressLineNumbers w:val="0"/>
              <w:spacing w:before="0" w:beforeAutospacing="0" w:after="0" w:afterAutospacing="0"/>
              <w:ind w:left="0" w:right="0"/>
              <w:rPr>
                <w:rFonts w:hint="default" w:hAnsi="宋体" w:cs="宋体"/>
                <w:b/>
                <w:bCs/>
                <w:color w:val="auto"/>
                <w:szCs w:val="21"/>
              </w:rPr>
            </w:pPr>
            <w:r>
              <w:rPr>
                <w:rFonts w:hint="eastAsia" w:hAnsi="宋体" w:cs="宋体"/>
                <w:b/>
                <w:bCs/>
                <w:color w:val="auto"/>
                <w:szCs w:val="21"/>
                <w:lang w:val="zh-CN"/>
              </w:rPr>
              <w:t>触发事件</w:t>
            </w:r>
            <w:r>
              <w:rPr>
                <w:rFonts w:hint="eastAsia" w:hAnsi="宋体" w:cs="宋体"/>
                <w:b/>
                <w:bCs/>
                <w:color w:val="auto"/>
                <w:szCs w:val="21"/>
              </w:rPr>
              <w:t>及原因分析</w:t>
            </w:r>
          </w:p>
        </w:tc>
        <w:tc>
          <w:tcPr>
            <w:tcW w:w="520" w:type="pct"/>
            <w:tcBorders>
              <w:tl2br w:val="nil"/>
              <w:tr2bl w:val="nil"/>
            </w:tcBorders>
            <w:vAlign w:val="center"/>
          </w:tcPr>
          <w:p w14:paraId="505BA9DF">
            <w:pPr>
              <w:pStyle w:val="34"/>
              <w:keepNext w:val="0"/>
              <w:keepLines/>
              <w:suppressLineNumbers w:val="0"/>
              <w:spacing w:before="0" w:beforeAutospacing="0" w:after="0" w:afterAutospacing="0"/>
              <w:ind w:left="0" w:right="0"/>
              <w:rPr>
                <w:rFonts w:hint="default" w:hAnsi="宋体" w:cs="宋体"/>
                <w:b/>
                <w:bCs/>
                <w:color w:val="auto"/>
                <w:szCs w:val="21"/>
              </w:rPr>
            </w:pPr>
            <w:r>
              <w:rPr>
                <w:rFonts w:hint="eastAsia" w:hAnsi="宋体" w:cs="宋体"/>
                <w:b/>
                <w:bCs/>
                <w:color w:val="auto"/>
                <w:szCs w:val="21"/>
              </w:rPr>
              <w:t>表现方式</w:t>
            </w:r>
          </w:p>
        </w:tc>
        <w:tc>
          <w:tcPr>
            <w:tcW w:w="644" w:type="pct"/>
            <w:tcBorders>
              <w:tl2br w:val="nil"/>
              <w:tr2bl w:val="nil"/>
            </w:tcBorders>
            <w:vAlign w:val="center"/>
          </w:tcPr>
          <w:p w14:paraId="5E90D830">
            <w:pPr>
              <w:pStyle w:val="34"/>
              <w:keepNext w:val="0"/>
              <w:keepLines/>
              <w:suppressLineNumbers w:val="0"/>
              <w:spacing w:before="0" w:beforeAutospacing="0" w:after="0" w:afterAutospacing="0"/>
              <w:ind w:left="0" w:leftChars="0" w:right="0" w:rightChars="0" w:firstLine="0" w:firstLineChars="0"/>
              <w:rPr>
                <w:rFonts w:hint="eastAsia" w:ascii="宋体" w:hAnsi="宋体" w:eastAsia="宋体" w:cs="宋体"/>
                <w:b/>
                <w:bCs/>
                <w:color w:val="auto"/>
                <w:kern w:val="2"/>
                <w:sz w:val="21"/>
                <w:szCs w:val="21"/>
                <w:lang w:val="en-US" w:eastAsia="zh-CN" w:bidi="ar-SA"/>
              </w:rPr>
            </w:pPr>
            <w:r>
              <w:rPr>
                <w:rFonts w:hint="eastAsia" w:hAnsi="宋体" w:cs="宋体"/>
                <w:b/>
                <w:bCs/>
                <w:color w:val="auto"/>
                <w:szCs w:val="21"/>
              </w:rPr>
              <w:t>事故后果</w:t>
            </w:r>
            <w:r>
              <w:rPr>
                <w:rFonts w:hint="eastAsia" w:cs="宋体"/>
                <w:b/>
                <w:bCs/>
                <w:color w:val="auto"/>
                <w:szCs w:val="21"/>
                <w:lang w:eastAsia="zh-CN"/>
              </w:rPr>
              <w:t>及危害程度</w:t>
            </w:r>
          </w:p>
        </w:tc>
        <w:tc>
          <w:tcPr>
            <w:tcW w:w="313" w:type="pct"/>
            <w:tcBorders>
              <w:tl2br w:val="nil"/>
              <w:tr2bl w:val="nil"/>
            </w:tcBorders>
            <w:vAlign w:val="center"/>
          </w:tcPr>
          <w:p w14:paraId="697092E6">
            <w:pPr>
              <w:pStyle w:val="34"/>
              <w:keepNext w:val="0"/>
              <w:keepLines/>
              <w:suppressLineNumbers w:val="0"/>
              <w:spacing w:before="0" w:beforeAutospacing="0" w:after="0" w:afterAutospacing="0"/>
              <w:ind w:left="0" w:right="0"/>
              <w:rPr>
                <w:rFonts w:hint="default" w:hAnsi="宋体" w:cs="宋体"/>
                <w:b/>
                <w:bCs/>
                <w:color w:val="auto"/>
                <w:szCs w:val="21"/>
              </w:rPr>
            </w:pPr>
            <w:r>
              <w:rPr>
                <w:rFonts w:hint="eastAsia" w:hAnsi="宋体" w:cs="宋体"/>
                <w:b/>
                <w:bCs/>
                <w:color w:val="auto"/>
                <w:szCs w:val="21"/>
              </w:rPr>
              <w:t>危险等级</w:t>
            </w:r>
          </w:p>
        </w:tc>
        <w:tc>
          <w:tcPr>
            <w:tcW w:w="645" w:type="pct"/>
            <w:tcBorders>
              <w:tl2br w:val="nil"/>
              <w:tr2bl w:val="nil"/>
            </w:tcBorders>
            <w:vAlign w:val="center"/>
          </w:tcPr>
          <w:p w14:paraId="1A148867">
            <w:pPr>
              <w:pStyle w:val="34"/>
              <w:keepNext w:val="0"/>
              <w:keepLines/>
              <w:suppressLineNumbers w:val="0"/>
              <w:spacing w:before="0" w:beforeAutospacing="0" w:after="0" w:afterAutospacing="0"/>
              <w:ind w:left="0" w:right="0"/>
              <w:rPr>
                <w:rFonts w:hint="eastAsia" w:hAnsi="宋体" w:eastAsia="宋体" w:cs="宋体"/>
                <w:b/>
                <w:bCs/>
                <w:color w:val="auto"/>
                <w:szCs w:val="21"/>
                <w:lang w:eastAsia="zh-CN"/>
              </w:rPr>
            </w:pPr>
            <w:r>
              <w:rPr>
                <w:rFonts w:hint="eastAsia" w:cs="宋体"/>
                <w:b/>
                <w:bCs/>
                <w:color w:val="auto"/>
                <w:szCs w:val="21"/>
                <w:lang w:eastAsia="zh-CN"/>
              </w:rPr>
              <w:t>预防措施</w:t>
            </w:r>
          </w:p>
        </w:tc>
      </w:tr>
      <w:tr w14:paraId="41CF1E2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401" w:type="pct"/>
            <w:tcBorders>
              <w:tl2br w:val="nil"/>
              <w:tr2bl w:val="nil"/>
            </w:tcBorders>
            <w:vAlign w:val="center"/>
          </w:tcPr>
          <w:p w14:paraId="3A85C5DA">
            <w:pPr>
              <w:keepNext w:val="0"/>
              <w:keepLines/>
              <w:suppressLineNumbers w:val="0"/>
              <w:spacing w:before="0" w:beforeAutospacing="0" w:after="0" w:afterAutospacing="0" w:line="320" w:lineRule="exact"/>
              <w:ind w:left="0" w:right="0" w:firstLine="0" w:firstLineChars="0"/>
              <w:jc w:val="center"/>
              <w:rPr>
                <w:rFonts w:hint="default" w:hAnsi="宋体" w:cs="宋体"/>
                <w:color w:val="auto"/>
                <w:sz w:val="21"/>
                <w:szCs w:val="21"/>
              </w:rPr>
            </w:pPr>
            <w:r>
              <w:rPr>
                <w:rFonts w:hint="eastAsia" w:hAnsi="宋体" w:cs="宋体"/>
                <w:color w:val="auto"/>
                <w:sz w:val="21"/>
                <w:szCs w:val="21"/>
              </w:rPr>
              <w:t>透水</w:t>
            </w:r>
          </w:p>
        </w:tc>
        <w:tc>
          <w:tcPr>
            <w:tcW w:w="2474" w:type="pct"/>
            <w:tcBorders>
              <w:tl2br w:val="nil"/>
              <w:tr2bl w:val="nil"/>
            </w:tcBorders>
            <w:vAlign w:val="center"/>
          </w:tcPr>
          <w:p w14:paraId="224B2935">
            <w:pPr>
              <w:keepNext w:val="0"/>
              <w:keepLines/>
              <w:suppressLineNumbers w:val="0"/>
              <w:spacing w:before="0" w:beforeAutospacing="0" w:after="0" w:afterAutospacing="0" w:line="320" w:lineRule="exact"/>
              <w:ind w:left="0" w:right="0" w:firstLine="0" w:firstLineChars="0"/>
              <w:jc w:val="left"/>
              <w:rPr>
                <w:rFonts w:hint="default" w:hAnsi="宋体" w:cs="宋体"/>
                <w:color w:val="auto"/>
                <w:sz w:val="21"/>
                <w:szCs w:val="21"/>
              </w:rPr>
            </w:pPr>
            <w:r>
              <w:rPr>
                <w:rFonts w:hint="eastAsia" w:hAnsi="宋体" w:cs="宋体"/>
                <w:color w:val="auto"/>
                <w:sz w:val="21"/>
                <w:szCs w:val="21"/>
              </w:rPr>
              <w:t>①采空区积水集中涌入井下；②未采取探放水措施。发现透水征兆未能停止工作，未坚持“有疑必探、先探后掘”的原则；③对井下水灾不够重视，无应急预案或预防淹井的措施不当；④井下巷道未能按设计坡度施工，或巷道内未设置排水沟，造成巷道内集水不能及时排出；⑤井(硐)口周围未设置防排水设施，大气降水由井(硐)口</w:t>
            </w:r>
            <w:r>
              <w:rPr>
                <w:rFonts w:hint="eastAsia" w:cs="宋体"/>
                <w:color w:val="auto"/>
                <w:sz w:val="21"/>
                <w:szCs w:val="21"/>
                <w:lang w:eastAsia="zh-CN"/>
              </w:rPr>
              <w:t>涌入</w:t>
            </w:r>
            <w:r>
              <w:rPr>
                <w:rFonts w:hint="eastAsia" w:hAnsi="宋体" w:cs="宋体"/>
                <w:color w:val="auto"/>
                <w:sz w:val="21"/>
                <w:szCs w:val="21"/>
              </w:rPr>
              <w:t>井下；⑥由于矿山开采改变了地层压力平衡，引起地表塌陷，使地表水通过地层裂隙涌入井下，造成透水。</w:t>
            </w:r>
          </w:p>
        </w:tc>
        <w:tc>
          <w:tcPr>
            <w:tcW w:w="520" w:type="pct"/>
            <w:tcBorders>
              <w:tl2br w:val="nil"/>
              <w:tr2bl w:val="nil"/>
            </w:tcBorders>
            <w:vAlign w:val="center"/>
          </w:tcPr>
          <w:p w14:paraId="542BBABE">
            <w:pPr>
              <w:keepNext w:val="0"/>
              <w:keepLines/>
              <w:suppressLineNumbers w:val="0"/>
              <w:spacing w:before="0" w:beforeAutospacing="0" w:after="0" w:afterAutospacing="0" w:line="320" w:lineRule="exact"/>
              <w:ind w:left="0" w:right="0" w:firstLine="0" w:firstLineChars="0"/>
              <w:rPr>
                <w:rFonts w:hint="default" w:hAnsi="宋体" w:cs="宋体"/>
                <w:color w:val="auto"/>
                <w:sz w:val="21"/>
                <w:szCs w:val="21"/>
              </w:rPr>
            </w:pPr>
            <w:r>
              <w:rPr>
                <w:rFonts w:hint="eastAsia" w:hAnsi="宋体" w:cs="宋体"/>
                <w:color w:val="auto"/>
                <w:sz w:val="21"/>
                <w:szCs w:val="21"/>
              </w:rPr>
              <w:t>矿井涌水，增大透水。</w:t>
            </w:r>
          </w:p>
        </w:tc>
        <w:tc>
          <w:tcPr>
            <w:tcW w:w="644" w:type="pct"/>
            <w:tcBorders>
              <w:tl2br w:val="nil"/>
              <w:tr2bl w:val="nil"/>
            </w:tcBorders>
            <w:vAlign w:val="center"/>
          </w:tcPr>
          <w:p w14:paraId="0BED9C55">
            <w:pPr>
              <w:keepNext w:val="0"/>
              <w:keepLines/>
              <w:suppressLineNumbers w:val="0"/>
              <w:spacing w:before="0" w:beforeAutospacing="0" w:after="0" w:afterAutospacing="0" w:line="320" w:lineRule="exact"/>
              <w:ind w:left="0" w:leftChars="0" w:right="0" w:rightChars="0" w:firstLine="0" w:firstLineChars="0"/>
              <w:rPr>
                <w:rFonts w:hint="eastAsia" w:ascii="宋体" w:hAnsi="宋体" w:eastAsia="宋体" w:cs="宋体"/>
                <w:color w:val="auto"/>
                <w:kern w:val="2"/>
                <w:sz w:val="21"/>
                <w:szCs w:val="21"/>
                <w:lang w:val="en-US" w:eastAsia="zh-CN" w:bidi="ar-SA"/>
              </w:rPr>
            </w:pPr>
            <w:r>
              <w:rPr>
                <w:rFonts w:hint="eastAsia" w:hAnsi="宋体" w:cs="宋体"/>
                <w:color w:val="auto"/>
                <w:sz w:val="21"/>
                <w:szCs w:val="21"/>
              </w:rPr>
              <w:t>影响生产，造成重大人员伤亡。</w:t>
            </w:r>
          </w:p>
        </w:tc>
        <w:tc>
          <w:tcPr>
            <w:tcW w:w="313" w:type="pct"/>
            <w:tcBorders>
              <w:tl2br w:val="nil"/>
              <w:tr2bl w:val="nil"/>
            </w:tcBorders>
            <w:vAlign w:val="center"/>
          </w:tcPr>
          <w:p w14:paraId="68D14D99">
            <w:pPr>
              <w:keepNext w:val="0"/>
              <w:keepLines/>
              <w:suppressLineNumbers w:val="0"/>
              <w:spacing w:before="0" w:beforeAutospacing="0" w:after="0" w:afterAutospacing="0" w:line="320" w:lineRule="exact"/>
              <w:ind w:left="0" w:right="0" w:firstLine="0" w:firstLineChars="0"/>
              <w:jc w:val="center"/>
              <w:rPr>
                <w:rFonts w:hint="default" w:hAnsi="宋体" w:cs="宋体"/>
                <w:color w:val="auto"/>
                <w:sz w:val="21"/>
                <w:szCs w:val="21"/>
              </w:rPr>
            </w:pPr>
            <w:r>
              <w:rPr>
                <w:rFonts w:hint="eastAsia" w:hAnsi="宋体" w:cs="宋体"/>
                <w:color w:val="auto"/>
                <w:sz w:val="21"/>
                <w:szCs w:val="21"/>
              </w:rPr>
              <w:t>Ⅲ级</w:t>
            </w:r>
          </w:p>
        </w:tc>
        <w:tc>
          <w:tcPr>
            <w:tcW w:w="645" w:type="pct"/>
            <w:vMerge w:val="restart"/>
            <w:tcBorders>
              <w:tl2br w:val="nil"/>
              <w:tr2bl w:val="nil"/>
            </w:tcBorders>
            <w:vAlign w:val="center"/>
          </w:tcPr>
          <w:p w14:paraId="272C3780">
            <w:pPr>
              <w:keepNext w:val="0"/>
              <w:keepLines/>
              <w:suppressLineNumbers w:val="0"/>
              <w:spacing w:before="0" w:beforeAutospacing="0" w:after="0" w:afterAutospacing="0" w:line="320" w:lineRule="exact"/>
              <w:ind w:left="0" w:right="0" w:firstLine="0" w:firstLineChars="0"/>
              <w:rPr>
                <w:rFonts w:hint="eastAsia" w:hAnsi="宋体" w:eastAsia="宋体" w:cs="宋体"/>
                <w:color w:val="auto"/>
                <w:sz w:val="21"/>
                <w:szCs w:val="21"/>
                <w:lang w:eastAsia="zh-CN"/>
              </w:rPr>
            </w:pPr>
            <w:r>
              <w:rPr>
                <w:rFonts w:hint="eastAsia" w:ascii="宋体" w:hAnsi="宋体" w:eastAsia="宋体" w:cs="宋体"/>
                <w:color w:val="auto"/>
                <w:sz w:val="21"/>
                <w:szCs w:val="21"/>
              </w:rPr>
              <w:t>见本报告4.2.</w:t>
            </w:r>
            <w:r>
              <w:rPr>
                <w:rFonts w:hint="eastAsia" w:ascii="宋体" w:hAnsi="宋体" w:eastAsia="宋体" w:cs="宋体"/>
                <w:color w:val="auto"/>
                <w:sz w:val="21"/>
                <w:szCs w:val="21"/>
                <w:lang w:val="en-US" w:eastAsia="zh-CN"/>
              </w:rPr>
              <w:t>7</w:t>
            </w:r>
            <w:r>
              <w:rPr>
                <w:rFonts w:hint="eastAsia" w:ascii="宋体" w:hAnsi="宋体" w:eastAsia="宋体" w:cs="宋体"/>
                <w:color w:val="auto"/>
                <w:sz w:val="21"/>
                <w:szCs w:val="21"/>
                <w:lang w:eastAsia="zh-CN"/>
              </w:rPr>
              <w:t>防排水与防灭火</w:t>
            </w:r>
            <w:r>
              <w:rPr>
                <w:rFonts w:hint="eastAsia" w:ascii="宋体" w:hAnsi="宋体" w:eastAsia="宋体" w:cs="宋体"/>
                <w:color w:val="auto"/>
                <w:sz w:val="21"/>
                <w:szCs w:val="21"/>
              </w:rPr>
              <w:t>单元安全对策措施</w:t>
            </w:r>
            <w:r>
              <w:rPr>
                <w:rFonts w:hint="eastAsia" w:ascii="宋体" w:hAnsi="宋体" w:eastAsia="宋体" w:cs="宋体"/>
                <w:color w:val="auto"/>
                <w:sz w:val="21"/>
                <w:szCs w:val="21"/>
                <w:lang w:eastAsia="zh-CN"/>
              </w:rPr>
              <w:t>。</w:t>
            </w:r>
          </w:p>
        </w:tc>
      </w:tr>
      <w:tr w14:paraId="12E5704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401" w:type="pct"/>
            <w:tcBorders>
              <w:tl2br w:val="nil"/>
              <w:tr2bl w:val="nil"/>
            </w:tcBorders>
            <w:vAlign w:val="center"/>
          </w:tcPr>
          <w:p w14:paraId="3D4AB409">
            <w:pPr>
              <w:keepNext w:val="0"/>
              <w:keepLines/>
              <w:suppressLineNumbers w:val="0"/>
              <w:spacing w:before="0" w:beforeAutospacing="0" w:after="0" w:afterAutospacing="0" w:line="320" w:lineRule="exact"/>
              <w:ind w:left="0" w:right="0" w:firstLine="0" w:firstLineChars="0"/>
              <w:jc w:val="center"/>
              <w:rPr>
                <w:rFonts w:hint="default" w:hAnsi="宋体" w:cs="宋体"/>
                <w:color w:val="auto"/>
                <w:sz w:val="21"/>
                <w:szCs w:val="21"/>
              </w:rPr>
            </w:pPr>
            <w:r>
              <w:rPr>
                <w:rFonts w:hint="eastAsia" w:hAnsi="宋体" w:cs="宋体"/>
                <w:color w:val="auto"/>
                <w:sz w:val="21"/>
                <w:szCs w:val="21"/>
              </w:rPr>
              <w:t>平硐口位置及防水设施失效</w:t>
            </w:r>
          </w:p>
        </w:tc>
        <w:tc>
          <w:tcPr>
            <w:tcW w:w="2474" w:type="pct"/>
            <w:tcBorders>
              <w:tl2br w:val="nil"/>
              <w:tr2bl w:val="nil"/>
            </w:tcBorders>
            <w:vAlign w:val="center"/>
          </w:tcPr>
          <w:p w14:paraId="4510C3E9">
            <w:pPr>
              <w:keepNext w:val="0"/>
              <w:keepLines/>
              <w:suppressLineNumbers w:val="0"/>
              <w:spacing w:before="0" w:beforeAutospacing="0" w:after="0" w:afterAutospacing="0" w:line="320" w:lineRule="exact"/>
              <w:ind w:left="0" w:right="0" w:firstLine="0" w:firstLineChars="0"/>
              <w:jc w:val="left"/>
              <w:rPr>
                <w:rFonts w:hint="eastAsia" w:hAnsi="宋体" w:eastAsia="宋体" w:cs="宋体"/>
                <w:color w:val="auto"/>
                <w:sz w:val="21"/>
                <w:szCs w:val="21"/>
                <w:lang w:eastAsia="zh-CN"/>
              </w:rPr>
            </w:pPr>
            <w:r>
              <w:rPr>
                <w:rFonts w:hint="eastAsia" w:hAnsi="宋体" w:cs="宋体"/>
                <w:color w:val="auto"/>
                <w:sz w:val="21"/>
                <w:szCs w:val="21"/>
              </w:rPr>
              <w:t>①矿山地表无防洪设施；②雨季来临前防洪工作不充分，山坡洪水从平硐口或回风井口进入井下</w:t>
            </w:r>
            <w:r>
              <w:rPr>
                <w:rFonts w:hint="eastAsia" w:hAnsi="宋体" w:cs="宋体"/>
                <w:color w:val="auto"/>
                <w:sz w:val="21"/>
                <w:szCs w:val="21"/>
                <w:lang w:eastAsia="zh-CN"/>
              </w:rPr>
              <w:t>；③设施场地周边未设置截、排水沟，未定期检查清理；④矿山地表排水系统畅通。</w:t>
            </w:r>
          </w:p>
        </w:tc>
        <w:tc>
          <w:tcPr>
            <w:tcW w:w="520" w:type="pct"/>
            <w:tcBorders>
              <w:tl2br w:val="nil"/>
              <w:tr2bl w:val="nil"/>
            </w:tcBorders>
            <w:vAlign w:val="center"/>
          </w:tcPr>
          <w:p w14:paraId="3E006381">
            <w:pPr>
              <w:keepNext w:val="0"/>
              <w:keepLines/>
              <w:suppressLineNumbers w:val="0"/>
              <w:spacing w:before="0" w:beforeAutospacing="0" w:after="0" w:afterAutospacing="0" w:line="320" w:lineRule="exact"/>
              <w:ind w:left="0" w:right="0" w:firstLine="0" w:firstLineChars="0"/>
              <w:rPr>
                <w:rFonts w:hint="default" w:hAnsi="宋体" w:cs="宋体"/>
                <w:color w:val="auto"/>
                <w:sz w:val="21"/>
                <w:szCs w:val="21"/>
              </w:rPr>
            </w:pPr>
            <w:r>
              <w:rPr>
                <w:rFonts w:hint="eastAsia" w:hAnsi="宋体" w:cs="宋体"/>
                <w:color w:val="auto"/>
                <w:sz w:val="21"/>
                <w:szCs w:val="21"/>
              </w:rPr>
              <w:t>地表汇水流入井下，突水。</w:t>
            </w:r>
          </w:p>
        </w:tc>
        <w:tc>
          <w:tcPr>
            <w:tcW w:w="644" w:type="pct"/>
            <w:tcBorders>
              <w:tl2br w:val="nil"/>
              <w:tr2bl w:val="nil"/>
            </w:tcBorders>
            <w:vAlign w:val="center"/>
          </w:tcPr>
          <w:p w14:paraId="6F291890">
            <w:pPr>
              <w:keepNext w:val="0"/>
              <w:keepLines/>
              <w:suppressLineNumbers w:val="0"/>
              <w:spacing w:before="0" w:beforeAutospacing="0" w:after="0" w:afterAutospacing="0" w:line="320" w:lineRule="exact"/>
              <w:ind w:left="0" w:leftChars="0" w:right="0" w:rightChars="0" w:firstLine="0" w:firstLineChars="0"/>
              <w:rPr>
                <w:rFonts w:hint="eastAsia" w:ascii="宋体" w:hAnsi="宋体" w:eastAsia="宋体" w:cs="宋体"/>
                <w:color w:val="auto"/>
                <w:kern w:val="2"/>
                <w:sz w:val="21"/>
                <w:szCs w:val="21"/>
                <w:lang w:val="en-US" w:eastAsia="zh-CN" w:bidi="ar-SA"/>
              </w:rPr>
            </w:pPr>
            <w:r>
              <w:rPr>
                <w:rFonts w:hint="eastAsia" w:hAnsi="宋体" w:cs="宋体"/>
                <w:color w:val="auto"/>
                <w:sz w:val="21"/>
                <w:szCs w:val="21"/>
              </w:rPr>
              <w:t>影响生产、淹溺事故、淹井事故、人员伤亡。</w:t>
            </w:r>
          </w:p>
        </w:tc>
        <w:tc>
          <w:tcPr>
            <w:tcW w:w="313" w:type="pct"/>
            <w:tcBorders>
              <w:tl2br w:val="nil"/>
              <w:tr2bl w:val="nil"/>
            </w:tcBorders>
            <w:vAlign w:val="center"/>
          </w:tcPr>
          <w:p w14:paraId="3EA5BB96">
            <w:pPr>
              <w:keepNext w:val="0"/>
              <w:keepLines/>
              <w:suppressLineNumbers w:val="0"/>
              <w:spacing w:before="0" w:beforeAutospacing="0" w:after="0" w:afterAutospacing="0" w:line="320" w:lineRule="exact"/>
              <w:ind w:left="0" w:right="0" w:firstLine="0" w:firstLineChars="0"/>
              <w:jc w:val="center"/>
              <w:rPr>
                <w:rFonts w:hint="default" w:hAnsi="宋体" w:cs="宋体"/>
                <w:color w:val="auto"/>
                <w:sz w:val="21"/>
                <w:szCs w:val="21"/>
              </w:rPr>
            </w:pPr>
            <w:r>
              <w:rPr>
                <w:rFonts w:hint="eastAsia" w:hAnsi="宋体" w:cs="宋体"/>
                <w:color w:val="auto"/>
                <w:sz w:val="21"/>
                <w:szCs w:val="21"/>
              </w:rPr>
              <w:t>Ⅲ级</w:t>
            </w:r>
          </w:p>
        </w:tc>
        <w:tc>
          <w:tcPr>
            <w:tcW w:w="645" w:type="pct"/>
            <w:vMerge w:val="continue"/>
            <w:tcBorders>
              <w:tl2br w:val="nil"/>
              <w:tr2bl w:val="nil"/>
            </w:tcBorders>
            <w:vAlign w:val="center"/>
          </w:tcPr>
          <w:p w14:paraId="2590ED23">
            <w:pPr>
              <w:keepNext w:val="0"/>
              <w:keepLines/>
              <w:suppressLineNumbers w:val="0"/>
              <w:spacing w:before="0" w:beforeAutospacing="0" w:after="0" w:afterAutospacing="0" w:line="320" w:lineRule="exact"/>
              <w:ind w:left="0" w:right="0" w:firstLine="0" w:firstLineChars="0"/>
              <w:rPr>
                <w:rFonts w:hint="default" w:hAnsi="宋体" w:cs="宋体"/>
                <w:color w:val="auto"/>
                <w:sz w:val="21"/>
                <w:szCs w:val="21"/>
              </w:rPr>
            </w:pPr>
          </w:p>
        </w:tc>
      </w:tr>
      <w:tr w14:paraId="21DD6ED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401" w:type="pct"/>
            <w:tcBorders>
              <w:tl2br w:val="nil"/>
              <w:tr2bl w:val="nil"/>
            </w:tcBorders>
            <w:vAlign w:val="center"/>
          </w:tcPr>
          <w:p w14:paraId="4840C581">
            <w:pPr>
              <w:keepNext w:val="0"/>
              <w:keepLines/>
              <w:suppressLineNumbers w:val="0"/>
              <w:spacing w:before="0" w:beforeAutospacing="0" w:after="0" w:afterAutospacing="0" w:line="320" w:lineRule="exact"/>
              <w:ind w:left="0" w:right="0" w:firstLine="0" w:firstLineChars="0"/>
              <w:jc w:val="center"/>
              <w:rPr>
                <w:rFonts w:hint="default" w:hAnsi="宋体" w:cs="宋体"/>
                <w:color w:val="auto"/>
                <w:sz w:val="21"/>
                <w:szCs w:val="21"/>
              </w:rPr>
            </w:pPr>
            <w:r>
              <w:rPr>
                <w:rFonts w:hint="eastAsia" w:hAnsi="宋体" w:cs="宋体"/>
                <w:color w:val="auto"/>
                <w:sz w:val="21"/>
                <w:szCs w:val="21"/>
              </w:rPr>
              <w:t>排水设施失效</w:t>
            </w:r>
          </w:p>
        </w:tc>
        <w:tc>
          <w:tcPr>
            <w:tcW w:w="2474" w:type="pct"/>
            <w:tcBorders>
              <w:tl2br w:val="nil"/>
              <w:tr2bl w:val="nil"/>
            </w:tcBorders>
            <w:vAlign w:val="center"/>
          </w:tcPr>
          <w:p w14:paraId="7D79B4D9">
            <w:pPr>
              <w:keepNext w:val="0"/>
              <w:keepLines/>
              <w:suppressLineNumbers w:val="0"/>
              <w:spacing w:before="0" w:beforeAutospacing="0" w:after="0" w:afterAutospacing="0" w:line="320" w:lineRule="exact"/>
              <w:ind w:left="0" w:right="0" w:firstLine="0" w:firstLineChars="0"/>
              <w:jc w:val="left"/>
              <w:rPr>
                <w:rFonts w:hint="default" w:hAnsi="宋体" w:cs="宋体"/>
                <w:color w:val="auto"/>
                <w:sz w:val="21"/>
                <w:szCs w:val="21"/>
              </w:rPr>
            </w:pPr>
            <w:r>
              <w:rPr>
                <w:rFonts w:hint="eastAsia" w:hAnsi="宋体" w:cs="宋体"/>
                <w:color w:val="auto"/>
                <w:sz w:val="21"/>
                <w:szCs w:val="21"/>
              </w:rPr>
              <w:t>①大暴雨或连续降雨；②未修筑井下排水沟或堵塞，井下用水不能自流排出地表。</w:t>
            </w:r>
          </w:p>
        </w:tc>
        <w:tc>
          <w:tcPr>
            <w:tcW w:w="520" w:type="pct"/>
            <w:tcBorders>
              <w:tl2br w:val="nil"/>
              <w:tr2bl w:val="nil"/>
            </w:tcBorders>
            <w:vAlign w:val="center"/>
          </w:tcPr>
          <w:p w14:paraId="0875901A">
            <w:pPr>
              <w:keepNext w:val="0"/>
              <w:keepLines/>
              <w:suppressLineNumbers w:val="0"/>
              <w:spacing w:before="0" w:beforeAutospacing="0" w:after="0" w:afterAutospacing="0" w:line="320" w:lineRule="exact"/>
              <w:ind w:left="0" w:right="0" w:firstLine="0" w:firstLineChars="0"/>
              <w:rPr>
                <w:rFonts w:hint="default" w:hAnsi="宋体" w:cs="宋体"/>
                <w:color w:val="auto"/>
                <w:sz w:val="21"/>
                <w:szCs w:val="21"/>
              </w:rPr>
            </w:pPr>
            <w:r>
              <w:rPr>
                <w:rFonts w:hint="eastAsia" w:hAnsi="宋体" w:cs="宋体"/>
                <w:color w:val="auto"/>
                <w:sz w:val="21"/>
                <w:szCs w:val="21"/>
              </w:rPr>
              <w:t>涌水增大，突水、巷道积水。</w:t>
            </w:r>
          </w:p>
        </w:tc>
        <w:tc>
          <w:tcPr>
            <w:tcW w:w="644" w:type="pct"/>
            <w:tcBorders>
              <w:tl2br w:val="nil"/>
              <w:tr2bl w:val="nil"/>
            </w:tcBorders>
            <w:vAlign w:val="center"/>
          </w:tcPr>
          <w:p w14:paraId="40AA1C53">
            <w:pPr>
              <w:keepNext w:val="0"/>
              <w:keepLines/>
              <w:suppressLineNumbers w:val="0"/>
              <w:spacing w:before="0" w:beforeAutospacing="0" w:after="0" w:afterAutospacing="0" w:line="320" w:lineRule="exact"/>
              <w:ind w:left="0" w:leftChars="0" w:right="0" w:rightChars="0" w:firstLine="0" w:firstLineChars="0"/>
              <w:rPr>
                <w:rFonts w:hint="eastAsia" w:ascii="宋体" w:hAnsi="宋体" w:eastAsia="宋体" w:cs="宋体"/>
                <w:color w:val="auto"/>
                <w:kern w:val="2"/>
                <w:sz w:val="21"/>
                <w:szCs w:val="21"/>
                <w:lang w:val="en-US" w:eastAsia="zh-CN" w:bidi="ar-SA"/>
              </w:rPr>
            </w:pPr>
            <w:r>
              <w:rPr>
                <w:rFonts w:hint="eastAsia" w:hAnsi="宋体" w:cs="宋体"/>
                <w:color w:val="auto"/>
                <w:sz w:val="21"/>
                <w:szCs w:val="21"/>
              </w:rPr>
              <w:t>影响生产、淹溺事故、淹井事故、人员伤亡。</w:t>
            </w:r>
          </w:p>
        </w:tc>
        <w:tc>
          <w:tcPr>
            <w:tcW w:w="313" w:type="pct"/>
            <w:tcBorders>
              <w:tl2br w:val="nil"/>
              <w:tr2bl w:val="nil"/>
            </w:tcBorders>
            <w:vAlign w:val="center"/>
          </w:tcPr>
          <w:p w14:paraId="6792C20A">
            <w:pPr>
              <w:keepNext w:val="0"/>
              <w:keepLines/>
              <w:suppressLineNumbers w:val="0"/>
              <w:spacing w:before="0" w:beforeAutospacing="0" w:after="0" w:afterAutospacing="0" w:line="320" w:lineRule="exact"/>
              <w:ind w:left="0" w:right="0" w:firstLine="0" w:firstLineChars="0"/>
              <w:jc w:val="center"/>
              <w:rPr>
                <w:rFonts w:hint="default" w:hAnsi="宋体" w:cs="宋体"/>
                <w:color w:val="auto"/>
                <w:sz w:val="21"/>
                <w:szCs w:val="21"/>
              </w:rPr>
            </w:pPr>
            <w:r>
              <w:rPr>
                <w:rFonts w:hint="eastAsia" w:hAnsi="宋体" w:cs="宋体"/>
                <w:color w:val="auto"/>
                <w:sz w:val="21"/>
                <w:szCs w:val="21"/>
              </w:rPr>
              <w:t>Ⅲ级</w:t>
            </w:r>
          </w:p>
        </w:tc>
        <w:tc>
          <w:tcPr>
            <w:tcW w:w="645" w:type="pct"/>
            <w:vMerge w:val="continue"/>
            <w:tcBorders>
              <w:tl2br w:val="nil"/>
              <w:tr2bl w:val="nil"/>
            </w:tcBorders>
            <w:vAlign w:val="center"/>
          </w:tcPr>
          <w:p w14:paraId="4718F5E7">
            <w:pPr>
              <w:keepNext w:val="0"/>
              <w:keepLines/>
              <w:suppressLineNumbers w:val="0"/>
              <w:spacing w:before="0" w:beforeAutospacing="0" w:after="0" w:afterAutospacing="0" w:line="320" w:lineRule="exact"/>
              <w:ind w:left="0" w:right="0" w:firstLine="0" w:firstLineChars="0"/>
              <w:rPr>
                <w:rFonts w:hint="default" w:hAnsi="宋体" w:cs="宋体"/>
                <w:color w:val="auto"/>
                <w:sz w:val="21"/>
                <w:szCs w:val="21"/>
              </w:rPr>
            </w:pPr>
          </w:p>
        </w:tc>
      </w:tr>
      <w:tr w14:paraId="3E0A448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401" w:type="pct"/>
            <w:tcBorders>
              <w:tl2br w:val="nil"/>
              <w:tr2bl w:val="nil"/>
            </w:tcBorders>
            <w:vAlign w:val="center"/>
          </w:tcPr>
          <w:p w14:paraId="66642CFF">
            <w:pPr>
              <w:keepNext w:val="0"/>
              <w:keepLines/>
              <w:suppressLineNumbers w:val="0"/>
              <w:spacing w:before="0" w:beforeAutospacing="0" w:after="0" w:afterAutospacing="0" w:line="320" w:lineRule="exact"/>
              <w:ind w:left="0" w:right="0" w:firstLine="0" w:firstLineChars="0"/>
              <w:jc w:val="center"/>
              <w:rPr>
                <w:rFonts w:hint="eastAsia" w:hAnsi="宋体" w:eastAsia="宋体" w:cs="宋体"/>
                <w:color w:val="auto"/>
                <w:sz w:val="21"/>
                <w:szCs w:val="21"/>
                <w:lang w:val="en-US" w:eastAsia="zh-CN"/>
              </w:rPr>
            </w:pPr>
            <w:r>
              <w:rPr>
                <w:rFonts w:hint="eastAsia" w:cs="宋体"/>
                <w:color w:val="auto"/>
                <w:sz w:val="21"/>
                <w:szCs w:val="21"/>
                <w:lang w:val="en-US" w:eastAsia="zh-CN"/>
              </w:rPr>
              <w:t>淹溺</w:t>
            </w:r>
          </w:p>
        </w:tc>
        <w:tc>
          <w:tcPr>
            <w:tcW w:w="2474" w:type="pct"/>
            <w:tcBorders>
              <w:tl2br w:val="nil"/>
              <w:tr2bl w:val="nil"/>
            </w:tcBorders>
            <w:vAlign w:val="center"/>
          </w:tcPr>
          <w:p w14:paraId="1757F2A8">
            <w:pPr>
              <w:keepNext w:val="0"/>
              <w:keepLines/>
              <w:suppressLineNumbers w:val="0"/>
              <w:spacing w:before="0" w:beforeAutospacing="0" w:after="0" w:afterAutospacing="0" w:line="320" w:lineRule="exact"/>
              <w:ind w:left="0" w:right="0" w:firstLine="0" w:firstLineChars="0"/>
              <w:jc w:val="left"/>
              <w:rPr>
                <w:rFonts w:hint="eastAsia" w:hAnsi="宋体" w:eastAsia="宋体" w:cs="宋体"/>
                <w:color w:val="auto"/>
                <w:sz w:val="21"/>
                <w:szCs w:val="21"/>
                <w:lang w:eastAsia="zh-CN"/>
              </w:rPr>
            </w:pPr>
            <w:r>
              <w:rPr>
                <w:rFonts w:hint="eastAsia" w:ascii="宋体" w:hAnsi="宋体" w:eastAsia="宋体" w:cs="宋体"/>
                <w:color w:val="auto"/>
                <w:sz w:val="21"/>
                <w:szCs w:val="21"/>
              </w:rPr>
              <w:t>高位水池等积水区，人员坠入或进行游泳、洗澡</w:t>
            </w:r>
            <w:r>
              <w:rPr>
                <w:rFonts w:hint="eastAsia" w:cs="宋体"/>
                <w:color w:val="auto"/>
                <w:sz w:val="21"/>
                <w:szCs w:val="21"/>
                <w:lang w:eastAsia="zh-CN"/>
              </w:rPr>
              <w:t>。</w:t>
            </w:r>
          </w:p>
        </w:tc>
        <w:tc>
          <w:tcPr>
            <w:tcW w:w="520" w:type="pct"/>
            <w:tcBorders>
              <w:tl2br w:val="nil"/>
              <w:tr2bl w:val="nil"/>
            </w:tcBorders>
            <w:vAlign w:val="center"/>
          </w:tcPr>
          <w:p w14:paraId="02F93309">
            <w:pPr>
              <w:keepNext w:val="0"/>
              <w:keepLines/>
              <w:suppressLineNumbers w:val="0"/>
              <w:spacing w:before="0" w:beforeAutospacing="0" w:after="0" w:afterAutospacing="0" w:line="320" w:lineRule="exact"/>
              <w:ind w:left="0" w:right="0" w:firstLine="0" w:firstLineChars="0"/>
              <w:rPr>
                <w:rFonts w:hint="eastAsia" w:hAnsi="宋体" w:eastAsia="宋体" w:cs="宋体"/>
                <w:color w:val="auto"/>
                <w:sz w:val="21"/>
                <w:szCs w:val="21"/>
                <w:lang w:val="en-US" w:eastAsia="zh-CN"/>
              </w:rPr>
            </w:pPr>
            <w:r>
              <w:rPr>
                <w:rFonts w:hint="eastAsia" w:cs="宋体"/>
                <w:color w:val="auto"/>
                <w:sz w:val="21"/>
                <w:szCs w:val="21"/>
                <w:lang w:val="en-US" w:eastAsia="zh-CN"/>
              </w:rPr>
              <w:t>淹溺。</w:t>
            </w:r>
          </w:p>
        </w:tc>
        <w:tc>
          <w:tcPr>
            <w:tcW w:w="644" w:type="pct"/>
            <w:tcBorders>
              <w:tl2br w:val="nil"/>
              <w:tr2bl w:val="nil"/>
            </w:tcBorders>
            <w:vAlign w:val="center"/>
          </w:tcPr>
          <w:p w14:paraId="72F79221">
            <w:pPr>
              <w:keepNext w:val="0"/>
              <w:keepLines/>
              <w:suppressLineNumbers w:val="0"/>
              <w:spacing w:before="0" w:beforeAutospacing="0" w:after="0" w:afterAutospacing="0" w:line="320" w:lineRule="exact"/>
              <w:ind w:left="0" w:leftChars="0" w:right="0" w:rightChars="0" w:firstLine="0" w:firstLineChars="0"/>
              <w:rPr>
                <w:rFonts w:hint="eastAsia" w:ascii="宋体" w:hAnsi="宋体" w:eastAsia="宋体" w:cs="宋体"/>
                <w:color w:val="auto"/>
                <w:kern w:val="2"/>
                <w:sz w:val="21"/>
                <w:szCs w:val="21"/>
                <w:lang w:val="en-US" w:eastAsia="zh-CN" w:bidi="ar-SA"/>
              </w:rPr>
            </w:pPr>
            <w:r>
              <w:rPr>
                <w:rFonts w:hint="eastAsia" w:cs="宋体"/>
                <w:color w:val="auto"/>
                <w:sz w:val="21"/>
                <w:szCs w:val="21"/>
                <w:lang w:val="en-US" w:eastAsia="zh-CN"/>
              </w:rPr>
              <w:t>人员伤亡。</w:t>
            </w:r>
          </w:p>
        </w:tc>
        <w:tc>
          <w:tcPr>
            <w:tcW w:w="313" w:type="pct"/>
            <w:tcBorders>
              <w:tl2br w:val="nil"/>
              <w:tr2bl w:val="nil"/>
            </w:tcBorders>
            <w:vAlign w:val="center"/>
          </w:tcPr>
          <w:p w14:paraId="3BC33067">
            <w:pPr>
              <w:keepNext w:val="0"/>
              <w:keepLines/>
              <w:suppressLineNumbers w:val="0"/>
              <w:spacing w:before="0" w:beforeAutospacing="0" w:after="0" w:afterAutospacing="0" w:line="320" w:lineRule="exact"/>
              <w:ind w:left="0" w:right="0" w:firstLine="0" w:firstLineChars="0"/>
              <w:jc w:val="center"/>
              <w:rPr>
                <w:rFonts w:hint="eastAsia" w:hAnsi="宋体" w:cs="宋体"/>
                <w:color w:val="auto"/>
                <w:sz w:val="21"/>
                <w:szCs w:val="21"/>
              </w:rPr>
            </w:pPr>
            <w:r>
              <w:rPr>
                <w:rFonts w:hint="eastAsia" w:hAnsi="宋体" w:cs="宋体"/>
                <w:color w:val="auto"/>
                <w:sz w:val="21"/>
                <w:szCs w:val="21"/>
              </w:rPr>
              <w:t>Ⅲ级</w:t>
            </w:r>
          </w:p>
        </w:tc>
        <w:tc>
          <w:tcPr>
            <w:tcW w:w="645" w:type="pct"/>
            <w:vMerge w:val="continue"/>
            <w:tcBorders>
              <w:tl2br w:val="nil"/>
              <w:tr2bl w:val="nil"/>
            </w:tcBorders>
            <w:vAlign w:val="center"/>
          </w:tcPr>
          <w:p w14:paraId="5F7061D2">
            <w:pPr>
              <w:keepNext w:val="0"/>
              <w:keepLines/>
              <w:suppressLineNumbers w:val="0"/>
              <w:spacing w:before="0" w:beforeAutospacing="0" w:after="0" w:afterAutospacing="0" w:line="320" w:lineRule="exact"/>
              <w:ind w:left="0" w:right="0" w:firstLine="0" w:firstLineChars="0"/>
              <w:rPr>
                <w:rFonts w:hint="default" w:hAnsi="宋体" w:eastAsia="宋体" w:cs="宋体"/>
                <w:color w:val="auto"/>
                <w:sz w:val="21"/>
                <w:szCs w:val="21"/>
                <w:lang w:val="en-US" w:eastAsia="zh-CN"/>
              </w:rPr>
            </w:pPr>
          </w:p>
        </w:tc>
      </w:tr>
    </w:tbl>
    <w:p w14:paraId="2C08D084">
      <w:pPr>
        <w:ind w:firstLine="560"/>
        <w:rPr>
          <w:rFonts w:hAnsi="宋体" w:cs="宋体"/>
          <w:color w:val="auto"/>
          <w:szCs w:val="28"/>
        </w:rPr>
      </w:pPr>
      <w:r>
        <w:rPr>
          <w:rFonts w:hint="eastAsia"/>
          <w:color w:val="auto"/>
        </w:rPr>
        <w:t>通过预先危险性分析可知</w:t>
      </w:r>
      <w:r>
        <w:rPr>
          <w:color w:val="auto"/>
        </w:rPr>
        <w:t>，</w:t>
      </w:r>
      <w:r>
        <w:rPr>
          <w:rFonts w:hint="eastAsia"/>
          <w:color w:val="auto"/>
        </w:rPr>
        <w:t>防排水单元各项危险因素造成的危险等级均为Ⅲ级。矿山水灾会影响</w:t>
      </w:r>
      <w:r>
        <w:rPr>
          <w:color w:val="auto"/>
        </w:rPr>
        <w:t>矿山的正常生产，造成</w:t>
      </w:r>
      <w:r>
        <w:rPr>
          <w:rFonts w:hint="eastAsia"/>
          <w:color w:val="auto"/>
        </w:rPr>
        <w:t>淹</w:t>
      </w:r>
      <w:r>
        <w:rPr>
          <w:color w:val="auto"/>
        </w:rPr>
        <w:t>溺</w:t>
      </w:r>
      <w:r>
        <w:rPr>
          <w:rFonts w:hint="eastAsia"/>
          <w:color w:val="auto"/>
        </w:rPr>
        <w:t>、</w:t>
      </w:r>
      <w:r>
        <w:rPr>
          <w:color w:val="auto"/>
        </w:rPr>
        <w:t>淹井事故，严重时还会导致人员伤亡</w:t>
      </w:r>
      <w:r>
        <w:rPr>
          <w:rFonts w:hint="eastAsia"/>
          <w:color w:val="auto"/>
        </w:rPr>
        <w:t>，应在今后的基建生产过程中加强防范。</w:t>
      </w:r>
    </w:p>
    <w:p w14:paraId="4564FA46">
      <w:pPr>
        <w:pStyle w:val="5"/>
        <w:keepNext/>
        <w:keepLines/>
        <w:pageBreakBefore w:val="0"/>
        <w:widowControl w:val="0"/>
        <w:tabs>
          <w:tab w:val="left" w:pos="8265"/>
        </w:tabs>
        <w:kinsoku/>
        <w:wordWrap/>
        <w:overflowPunct/>
        <w:topLinePunct w:val="0"/>
        <w:autoSpaceDE/>
        <w:autoSpaceDN/>
        <w:bidi w:val="0"/>
        <w:adjustRightInd/>
        <w:snapToGrid/>
        <w:spacing w:before="120" w:after="120"/>
        <w:ind w:firstLine="560" w:firstLineChars="200"/>
        <w:textAlignment w:val="auto"/>
        <w:rPr>
          <w:rFonts w:cs="宋体"/>
          <w:b/>
          <w:bCs/>
          <w:color w:val="auto"/>
        </w:rPr>
      </w:pPr>
      <w:r>
        <w:rPr>
          <w:rFonts w:hint="eastAsia" w:cs="宋体"/>
          <w:b/>
          <w:bCs/>
          <w:color w:val="auto"/>
        </w:rPr>
        <w:t>3.</w:t>
      </w:r>
      <w:r>
        <w:rPr>
          <w:rFonts w:hint="eastAsia" w:cs="宋体"/>
          <w:b/>
          <w:bCs/>
          <w:color w:val="auto"/>
          <w:lang w:val="en-US" w:eastAsia="zh-CN"/>
        </w:rPr>
        <w:t>7</w:t>
      </w:r>
      <w:r>
        <w:rPr>
          <w:rFonts w:hint="eastAsia" w:cs="宋体"/>
          <w:b/>
          <w:bCs/>
          <w:color w:val="auto"/>
        </w:rPr>
        <w:t>.1.2 防排水单元符合性评价</w:t>
      </w:r>
    </w:p>
    <w:p w14:paraId="047DEAE3">
      <w:pPr>
        <w:ind w:firstLine="0" w:firstLineChars="0"/>
        <w:jc w:val="center"/>
        <w:rPr>
          <w:rStyle w:val="30"/>
          <w:color w:val="auto"/>
          <w:kern w:val="0"/>
        </w:rPr>
      </w:pPr>
      <w:r>
        <w:rPr>
          <w:rFonts w:hint="eastAsia"/>
          <w:b/>
          <w:color w:val="auto"/>
          <w:szCs w:val="28"/>
        </w:rPr>
        <w:t>表3.</w:t>
      </w:r>
      <w:r>
        <w:rPr>
          <w:rFonts w:hint="eastAsia"/>
          <w:b/>
          <w:color w:val="auto"/>
          <w:szCs w:val="28"/>
          <w:lang w:val="en-US" w:eastAsia="zh-CN"/>
        </w:rPr>
        <w:t>7</w:t>
      </w:r>
      <w:r>
        <w:rPr>
          <w:rFonts w:hint="eastAsia"/>
          <w:b/>
          <w:color w:val="auto"/>
          <w:szCs w:val="28"/>
        </w:rPr>
        <w:t xml:space="preserve">-2 </w:t>
      </w:r>
      <w:r>
        <w:rPr>
          <w:rFonts w:hint="eastAsia"/>
          <w:b/>
          <w:bCs/>
          <w:color w:val="auto"/>
          <w:szCs w:val="28"/>
        </w:rPr>
        <w:t>防排水</w:t>
      </w:r>
      <w:r>
        <w:rPr>
          <w:rFonts w:hint="eastAsia"/>
          <w:b/>
          <w:color w:val="auto"/>
          <w:szCs w:val="28"/>
        </w:rPr>
        <w:t>单元安全检查表</w:t>
      </w:r>
    </w:p>
    <w:tbl>
      <w:tblPr>
        <w:tblStyle w:val="25"/>
        <w:tblW w:w="5000" w:type="pct"/>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645"/>
        <w:gridCol w:w="4602"/>
        <w:gridCol w:w="1688"/>
        <w:gridCol w:w="1905"/>
        <w:gridCol w:w="674"/>
      </w:tblGrid>
      <w:tr w14:paraId="4C31B95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c>
          <w:tcPr>
            <w:tcW w:w="338" w:type="pct"/>
            <w:tcBorders>
              <w:tl2br w:val="nil"/>
              <w:tr2bl w:val="nil"/>
            </w:tcBorders>
            <w:vAlign w:val="center"/>
          </w:tcPr>
          <w:p w14:paraId="02E65D03">
            <w:pPr>
              <w:keepNext w:val="0"/>
              <w:keepLines w:val="0"/>
              <w:suppressLineNumbers w:val="0"/>
              <w:autoSpaceDE w:val="0"/>
              <w:autoSpaceDN w:val="0"/>
              <w:adjustRightInd w:val="0"/>
              <w:spacing w:before="0" w:beforeAutospacing="0" w:after="0" w:afterAutospacing="0" w:line="320" w:lineRule="exact"/>
              <w:ind w:left="0" w:right="0" w:firstLine="0" w:firstLineChars="0"/>
              <w:jc w:val="center"/>
              <w:rPr>
                <w:rFonts w:hint="default" w:hAnsi="宋体" w:cs="宋体"/>
                <w:b/>
                <w:color w:val="auto"/>
                <w:kern w:val="0"/>
                <w:sz w:val="21"/>
                <w:szCs w:val="21"/>
              </w:rPr>
            </w:pPr>
            <w:r>
              <w:rPr>
                <w:rFonts w:hint="eastAsia" w:hAnsi="宋体" w:cs="宋体"/>
                <w:b/>
                <w:color w:val="auto"/>
                <w:kern w:val="0"/>
                <w:sz w:val="21"/>
                <w:szCs w:val="21"/>
              </w:rPr>
              <w:t>序号</w:t>
            </w:r>
          </w:p>
        </w:tc>
        <w:tc>
          <w:tcPr>
            <w:tcW w:w="2418" w:type="pct"/>
            <w:tcBorders>
              <w:tl2br w:val="nil"/>
              <w:tr2bl w:val="nil"/>
            </w:tcBorders>
            <w:vAlign w:val="center"/>
          </w:tcPr>
          <w:p w14:paraId="4BD1D487">
            <w:pPr>
              <w:keepNext w:val="0"/>
              <w:keepLines w:val="0"/>
              <w:suppressLineNumbers w:val="0"/>
              <w:autoSpaceDE w:val="0"/>
              <w:autoSpaceDN w:val="0"/>
              <w:adjustRightInd w:val="0"/>
              <w:spacing w:before="0" w:beforeAutospacing="0" w:after="0" w:afterAutospacing="0" w:line="320" w:lineRule="exact"/>
              <w:ind w:left="0" w:right="0" w:firstLine="0" w:firstLineChars="0"/>
              <w:jc w:val="center"/>
              <w:rPr>
                <w:rFonts w:hint="default" w:hAnsi="宋体" w:cs="宋体"/>
                <w:b/>
                <w:color w:val="auto"/>
                <w:kern w:val="0"/>
                <w:sz w:val="21"/>
                <w:szCs w:val="21"/>
              </w:rPr>
            </w:pPr>
            <w:r>
              <w:rPr>
                <w:rFonts w:hint="eastAsia" w:hAnsi="宋体" w:cs="宋体"/>
                <w:b/>
                <w:color w:val="auto"/>
                <w:kern w:val="0"/>
                <w:sz w:val="21"/>
                <w:szCs w:val="21"/>
              </w:rPr>
              <w:t>检查内容</w:t>
            </w:r>
          </w:p>
        </w:tc>
        <w:tc>
          <w:tcPr>
            <w:tcW w:w="887" w:type="pct"/>
            <w:tcBorders>
              <w:tl2br w:val="nil"/>
              <w:tr2bl w:val="nil"/>
            </w:tcBorders>
            <w:vAlign w:val="center"/>
          </w:tcPr>
          <w:p w14:paraId="42804899">
            <w:pPr>
              <w:keepNext w:val="0"/>
              <w:keepLines w:val="0"/>
              <w:suppressLineNumbers w:val="0"/>
              <w:autoSpaceDE w:val="0"/>
              <w:autoSpaceDN w:val="0"/>
              <w:adjustRightInd w:val="0"/>
              <w:spacing w:before="0" w:beforeAutospacing="0" w:after="0" w:afterAutospacing="0" w:line="320" w:lineRule="exact"/>
              <w:ind w:left="0" w:right="0" w:firstLine="0" w:firstLineChars="0"/>
              <w:jc w:val="center"/>
              <w:rPr>
                <w:rFonts w:hint="default" w:hAnsi="宋体" w:cs="宋体"/>
                <w:b/>
                <w:color w:val="auto"/>
                <w:kern w:val="0"/>
                <w:sz w:val="21"/>
                <w:szCs w:val="21"/>
              </w:rPr>
            </w:pPr>
            <w:r>
              <w:rPr>
                <w:rFonts w:hint="eastAsia" w:hAnsi="宋体" w:cs="宋体"/>
                <w:b/>
                <w:color w:val="auto"/>
                <w:kern w:val="0"/>
                <w:sz w:val="21"/>
                <w:szCs w:val="21"/>
              </w:rPr>
              <w:t>检查依据</w:t>
            </w:r>
          </w:p>
        </w:tc>
        <w:tc>
          <w:tcPr>
            <w:tcW w:w="1001" w:type="pct"/>
            <w:tcBorders>
              <w:tl2br w:val="nil"/>
              <w:tr2bl w:val="nil"/>
            </w:tcBorders>
            <w:vAlign w:val="center"/>
          </w:tcPr>
          <w:p w14:paraId="2ABE936E">
            <w:pPr>
              <w:keepNext w:val="0"/>
              <w:keepLines w:val="0"/>
              <w:suppressLineNumbers w:val="0"/>
              <w:autoSpaceDE w:val="0"/>
              <w:autoSpaceDN w:val="0"/>
              <w:adjustRightInd w:val="0"/>
              <w:spacing w:before="0" w:beforeAutospacing="0" w:after="0" w:afterAutospacing="0" w:line="320" w:lineRule="exact"/>
              <w:ind w:left="0" w:right="0" w:firstLine="0" w:firstLineChars="0"/>
              <w:jc w:val="center"/>
              <w:rPr>
                <w:rFonts w:hint="default" w:hAnsi="宋体" w:cs="宋体"/>
                <w:b/>
                <w:color w:val="auto"/>
                <w:kern w:val="0"/>
                <w:sz w:val="21"/>
                <w:szCs w:val="21"/>
              </w:rPr>
            </w:pPr>
            <w:r>
              <w:rPr>
                <w:rFonts w:hint="eastAsia" w:hAnsi="宋体" w:cs="宋体"/>
                <w:b/>
                <w:color w:val="auto"/>
                <w:kern w:val="0"/>
                <w:sz w:val="21"/>
                <w:szCs w:val="21"/>
              </w:rPr>
              <w:t>检查情况</w:t>
            </w:r>
          </w:p>
        </w:tc>
        <w:tc>
          <w:tcPr>
            <w:tcW w:w="354" w:type="pct"/>
            <w:tcBorders>
              <w:tl2br w:val="nil"/>
              <w:tr2bl w:val="nil"/>
            </w:tcBorders>
            <w:vAlign w:val="center"/>
          </w:tcPr>
          <w:p w14:paraId="14A168F7">
            <w:pPr>
              <w:keepNext w:val="0"/>
              <w:keepLines w:val="0"/>
              <w:suppressLineNumbers w:val="0"/>
              <w:autoSpaceDE w:val="0"/>
              <w:autoSpaceDN w:val="0"/>
              <w:adjustRightInd w:val="0"/>
              <w:spacing w:before="0" w:beforeAutospacing="0" w:after="0" w:afterAutospacing="0" w:line="320" w:lineRule="exact"/>
              <w:ind w:left="0" w:right="0" w:firstLine="0" w:firstLineChars="0"/>
              <w:jc w:val="center"/>
              <w:rPr>
                <w:rFonts w:hint="default" w:hAnsi="宋体" w:cs="宋体"/>
                <w:b/>
                <w:color w:val="auto"/>
                <w:kern w:val="0"/>
                <w:sz w:val="21"/>
                <w:szCs w:val="21"/>
              </w:rPr>
            </w:pPr>
            <w:r>
              <w:rPr>
                <w:rFonts w:hint="eastAsia" w:hAnsi="宋体" w:cs="宋体"/>
                <w:b/>
                <w:color w:val="auto"/>
                <w:kern w:val="0"/>
                <w:sz w:val="21"/>
                <w:szCs w:val="21"/>
              </w:rPr>
              <w:t>检查结果</w:t>
            </w:r>
          </w:p>
        </w:tc>
      </w:tr>
      <w:tr w14:paraId="0843508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c>
          <w:tcPr>
            <w:tcW w:w="338" w:type="pct"/>
            <w:tcBorders>
              <w:tl2br w:val="nil"/>
              <w:tr2bl w:val="nil"/>
            </w:tcBorders>
            <w:vAlign w:val="center"/>
          </w:tcPr>
          <w:p w14:paraId="3FF6A71E">
            <w:pPr>
              <w:keepNext w:val="0"/>
              <w:keepLines w:val="0"/>
              <w:suppressLineNumbers w:val="0"/>
              <w:tabs>
                <w:tab w:val="left" w:pos="7080"/>
              </w:tabs>
              <w:spacing w:before="0" w:beforeAutospacing="0" w:after="0" w:afterAutospacing="0" w:line="320" w:lineRule="exact"/>
              <w:ind w:left="0" w:right="0" w:firstLine="0" w:firstLineChars="0"/>
              <w:jc w:val="center"/>
              <w:rPr>
                <w:rFonts w:hint="default" w:hAnsi="宋体" w:cs="宋体"/>
                <w:color w:val="auto"/>
                <w:sz w:val="21"/>
                <w:szCs w:val="21"/>
              </w:rPr>
            </w:pPr>
            <w:r>
              <w:rPr>
                <w:rFonts w:hint="eastAsia" w:hAnsi="宋体" w:cs="宋体"/>
                <w:color w:val="auto"/>
                <w:sz w:val="21"/>
                <w:szCs w:val="21"/>
              </w:rPr>
              <w:t>1</w:t>
            </w:r>
          </w:p>
        </w:tc>
        <w:tc>
          <w:tcPr>
            <w:tcW w:w="2418" w:type="pct"/>
            <w:tcBorders>
              <w:tl2br w:val="nil"/>
              <w:tr2bl w:val="nil"/>
            </w:tcBorders>
            <w:vAlign w:val="center"/>
          </w:tcPr>
          <w:p w14:paraId="7B14E241">
            <w:pPr>
              <w:pStyle w:val="34"/>
              <w:keepNext w:val="0"/>
              <w:keepLines w:val="0"/>
              <w:suppressLineNumbers w:val="0"/>
              <w:spacing w:before="0" w:beforeAutospacing="0" w:after="0" w:afterAutospacing="0"/>
              <w:ind w:left="0" w:right="0"/>
              <w:jc w:val="both"/>
              <w:rPr>
                <w:rFonts w:hint="default" w:hAnsi="宋体" w:cs="宋体"/>
                <w:color w:val="auto"/>
                <w:szCs w:val="21"/>
              </w:rPr>
            </w:pPr>
            <w:r>
              <w:rPr>
                <w:rFonts w:hint="eastAsia" w:hAnsi="宋体" w:cs="宋体"/>
                <w:color w:val="auto"/>
                <w:szCs w:val="21"/>
              </w:rPr>
              <w:t>应查清矿区及其附近地表的水流系统、汇水面积、河流沟渠汇水情况、疏水能力、积水区、水利工程现状和规划情况，以及当地日最大降雨量、历年最高洪水位，并结合矿区特点建立和健全防水、排水系统。</w:t>
            </w:r>
          </w:p>
        </w:tc>
        <w:tc>
          <w:tcPr>
            <w:tcW w:w="887" w:type="pct"/>
            <w:tcBorders>
              <w:tl2br w:val="nil"/>
              <w:tr2bl w:val="nil"/>
            </w:tcBorders>
            <w:vAlign w:val="center"/>
          </w:tcPr>
          <w:p w14:paraId="75A9F90B">
            <w:pPr>
              <w:keepNext w:val="0"/>
              <w:keepLines w:val="0"/>
              <w:suppressLineNumbers w:val="0"/>
              <w:tabs>
                <w:tab w:val="left" w:pos="7080"/>
              </w:tabs>
              <w:spacing w:before="0" w:beforeAutospacing="0" w:after="0" w:afterAutospacing="0" w:line="320" w:lineRule="exact"/>
              <w:ind w:left="0" w:right="0" w:firstLine="0" w:firstLineChars="0"/>
              <w:jc w:val="center"/>
              <w:rPr>
                <w:rFonts w:hint="default" w:hAnsi="宋体" w:cs="宋体"/>
                <w:color w:val="auto"/>
                <w:sz w:val="21"/>
                <w:szCs w:val="21"/>
              </w:rPr>
            </w:pPr>
            <w:r>
              <w:rPr>
                <w:rFonts w:hint="eastAsia" w:hAnsi="宋体" w:cs="宋体"/>
                <w:color w:val="auto"/>
                <w:sz w:val="21"/>
                <w:szCs w:val="21"/>
              </w:rPr>
              <w:t>《金属非金属矿山安全规程》(GB16423-2020)</w:t>
            </w:r>
          </w:p>
          <w:p w14:paraId="33050A8C">
            <w:pPr>
              <w:keepNext w:val="0"/>
              <w:keepLines w:val="0"/>
              <w:suppressLineNumbers w:val="0"/>
              <w:tabs>
                <w:tab w:val="left" w:pos="7080"/>
              </w:tabs>
              <w:spacing w:before="0" w:beforeAutospacing="0" w:after="0" w:afterAutospacing="0" w:line="320" w:lineRule="exact"/>
              <w:ind w:left="0" w:right="0" w:firstLine="0" w:firstLineChars="0"/>
              <w:jc w:val="center"/>
              <w:rPr>
                <w:rFonts w:hint="default" w:hAnsi="宋体" w:cs="宋体"/>
                <w:color w:val="auto"/>
                <w:sz w:val="21"/>
                <w:szCs w:val="21"/>
              </w:rPr>
            </w:pPr>
            <w:r>
              <w:rPr>
                <w:rFonts w:hint="eastAsia" w:hAnsi="宋体" w:cs="宋体"/>
                <w:color w:val="auto"/>
                <w:sz w:val="21"/>
                <w:szCs w:val="21"/>
              </w:rPr>
              <w:t>第6.8.2.1条</w:t>
            </w:r>
          </w:p>
        </w:tc>
        <w:tc>
          <w:tcPr>
            <w:tcW w:w="1001" w:type="pct"/>
            <w:vMerge w:val="restart"/>
            <w:tcBorders>
              <w:tl2br w:val="nil"/>
              <w:tr2bl w:val="nil"/>
            </w:tcBorders>
            <w:vAlign w:val="center"/>
          </w:tcPr>
          <w:p w14:paraId="5DCC61BC">
            <w:pPr>
              <w:keepNext w:val="0"/>
              <w:keepLines w:val="0"/>
              <w:suppressLineNumbers w:val="0"/>
              <w:tabs>
                <w:tab w:val="left" w:pos="7080"/>
              </w:tabs>
              <w:spacing w:before="0" w:beforeAutospacing="0" w:after="0" w:afterAutospacing="0" w:line="320" w:lineRule="exact"/>
              <w:ind w:left="0" w:right="0" w:firstLine="0" w:firstLineChars="0"/>
              <w:rPr>
                <w:rFonts w:hint="default" w:hAnsi="宋体" w:eastAsia="宋体" w:cs="宋体"/>
                <w:color w:val="auto"/>
                <w:sz w:val="21"/>
                <w:szCs w:val="21"/>
                <w:lang w:val="en-US" w:eastAsia="zh-CN"/>
              </w:rPr>
            </w:pPr>
            <w:r>
              <w:rPr>
                <w:rFonts w:hint="eastAsia" w:cs="宋体"/>
                <w:bCs/>
                <w:color w:val="auto"/>
                <w:sz w:val="21"/>
                <w:lang w:val="en-US" w:eastAsia="zh-CN"/>
              </w:rPr>
              <w:t>建立有防排水系统；井口标高高于当地历史最高洪水位1m以上。工业场地的地面标高高于历史最高洪水位。</w:t>
            </w:r>
          </w:p>
        </w:tc>
        <w:tc>
          <w:tcPr>
            <w:tcW w:w="354" w:type="pct"/>
            <w:vMerge w:val="restart"/>
            <w:tcBorders>
              <w:tl2br w:val="nil"/>
              <w:tr2bl w:val="nil"/>
            </w:tcBorders>
            <w:vAlign w:val="center"/>
          </w:tcPr>
          <w:p w14:paraId="0EFE5EA5">
            <w:pPr>
              <w:keepNext w:val="0"/>
              <w:keepLines w:val="0"/>
              <w:suppressLineNumbers w:val="0"/>
              <w:tabs>
                <w:tab w:val="left" w:pos="7080"/>
              </w:tabs>
              <w:spacing w:before="0" w:beforeAutospacing="0" w:after="0" w:afterAutospacing="0" w:line="320" w:lineRule="exact"/>
              <w:ind w:left="0" w:right="0" w:firstLine="0" w:firstLineChars="0"/>
              <w:jc w:val="center"/>
              <w:rPr>
                <w:rFonts w:hint="default" w:hAnsi="宋体" w:cs="宋体"/>
                <w:color w:val="auto"/>
                <w:sz w:val="21"/>
                <w:szCs w:val="21"/>
              </w:rPr>
            </w:pPr>
            <w:r>
              <w:rPr>
                <w:rFonts w:hint="eastAsia" w:hAnsi="宋体" w:cs="宋体"/>
                <w:color w:val="auto"/>
                <w:sz w:val="21"/>
                <w:szCs w:val="21"/>
              </w:rPr>
              <w:t>符合</w:t>
            </w:r>
          </w:p>
        </w:tc>
      </w:tr>
      <w:tr w14:paraId="1D5C119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c>
          <w:tcPr>
            <w:tcW w:w="338" w:type="pct"/>
            <w:tcBorders>
              <w:tl2br w:val="nil"/>
              <w:tr2bl w:val="nil"/>
            </w:tcBorders>
            <w:vAlign w:val="center"/>
          </w:tcPr>
          <w:p w14:paraId="6A8B2C61">
            <w:pPr>
              <w:keepNext w:val="0"/>
              <w:keepLines w:val="0"/>
              <w:suppressLineNumbers w:val="0"/>
              <w:tabs>
                <w:tab w:val="left" w:pos="7080"/>
              </w:tabs>
              <w:spacing w:before="0" w:beforeAutospacing="0" w:after="0" w:afterAutospacing="0" w:line="320" w:lineRule="exact"/>
              <w:ind w:left="0" w:right="0" w:firstLine="0" w:firstLineChars="0"/>
              <w:jc w:val="center"/>
              <w:rPr>
                <w:rFonts w:hint="default" w:hAnsi="宋体" w:cs="宋体"/>
                <w:color w:val="auto"/>
                <w:sz w:val="21"/>
                <w:szCs w:val="21"/>
              </w:rPr>
            </w:pPr>
            <w:r>
              <w:rPr>
                <w:rFonts w:hint="eastAsia" w:hAnsi="宋体" w:cs="宋体"/>
                <w:color w:val="auto"/>
                <w:sz w:val="21"/>
                <w:szCs w:val="21"/>
              </w:rPr>
              <w:t>2</w:t>
            </w:r>
          </w:p>
        </w:tc>
        <w:tc>
          <w:tcPr>
            <w:tcW w:w="2418" w:type="pct"/>
            <w:tcBorders>
              <w:tl2br w:val="nil"/>
              <w:tr2bl w:val="nil"/>
            </w:tcBorders>
            <w:vAlign w:val="center"/>
          </w:tcPr>
          <w:p w14:paraId="39A9286C">
            <w:pPr>
              <w:pStyle w:val="34"/>
              <w:keepNext w:val="0"/>
              <w:keepLines w:val="0"/>
              <w:suppressLineNumbers w:val="0"/>
              <w:spacing w:before="0" w:beforeAutospacing="0" w:after="0" w:afterAutospacing="0"/>
              <w:ind w:left="0" w:right="0"/>
              <w:jc w:val="both"/>
              <w:rPr>
                <w:rFonts w:hint="default" w:hAnsi="宋体" w:cs="宋体"/>
                <w:color w:val="auto"/>
                <w:szCs w:val="21"/>
              </w:rPr>
            </w:pPr>
            <w:r>
              <w:rPr>
                <w:rFonts w:hint="eastAsia" w:hAnsi="宋体" w:cs="宋体"/>
                <w:color w:val="auto"/>
                <w:szCs w:val="21"/>
              </w:rPr>
              <w:t>矿井(竖井、斜井、平硐等)井口的标高应高于当地历史最高洪水位1m以上。工业场地的地面标高应高于当地历史最高洪水位。</w:t>
            </w:r>
          </w:p>
        </w:tc>
        <w:tc>
          <w:tcPr>
            <w:tcW w:w="887" w:type="pct"/>
            <w:tcBorders>
              <w:tl2br w:val="nil"/>
              <w:tr2bl w:val="nil"/>
            </w:tcBorders>
            <w:vAlign w:val="center"/>
          </w:tcPr>
          <w:p w14:paraId="42C489CC">
            <w:pPr>
              <w:keepNext w:val="0"/>
              <w:keepLines w:val="0"/>
              <w:suppressLineNumbers w:val="0"/>
              <w:tabs>
                <w:tab w:val="left" w:pos="7080"/>
              </w:tabs>
              <w:spacing w:before="0" w:beforeAutospacing="0" w:after="0" w:afterAutospacing="0" w:line="320" w:lineRule="exact"/>
              <w:ind w:left="0" w:right="0" w:firstLine="0" w:firstLineChars="0"/>
              <w:jc w:val="center"/>
              <w:rPr>
                <w:rFonts w:hint="default" w:hAnsi="宋体" w:cs="宋体"/>
                <w:color w:val="auto"/>
                <w:sz w:val="21"/>
                <w:szCs w:val="21"/>
              </w:rPr>
            </w:pPr>
            <w:r>
              <w:rPr>
                <w:rFonts w:hint="eastAsia" w:hAnsi="宋体" w:cs="宋体"/>
                <w:color w:val="auto"/>
                <w:sz w:val="21"/>
                <w:szCs w:val="21"/>
              </w:rPr>
              <w:t>《金属非金属矿山安全规程》(GB16423-2020)</w:t>
            </w:r>
          </w:p>
          <w:p w14:paraId="7DF13513">
            <w:pPr>
              <w:keepNext w:val="0"/>
              <w:keepLines w:val="0"/>
              <w:suppressLineNumbers w:val="0"/>
              <w:tabs>
                <w:tab w:val="left" w:pos="7080"/>
              </w:tabs>
              <w:spacing w:before="0" w:beforeAutospacing="0" w:after="0" w:afterAutospacing="0" w:line="320" w:lineRule="exact"/>
              <w:ind w:left="0" w:right="0" w:firstLine="0" w:firstLineChars="0"/>
              <w:jc w:val="center"/>
              <w:rPr>
                <w:rFonts w:hint="default" w:hAnsi="宋体" w:cs="宋体"/>
                <w:color w:val="auto"/>
                <w:sz w:val="21"/>
                <w:szCs w:val="21"/>
              </w:rPr>
            </w:pPr>
            <w:r>
              <w:rPr>
                <w:rFonts w:hint="eastAsia" w:hAnsi="宋体" w:cs="宋体"/>
                <w:color w:val="auto"/>
                <w:sz w:val="21"/>
                <w:szCs w:val="21"/>
              </w:rPr>
              <w:t>第6.8.2.3条</w:t>
            </w:r>
          </w:p>
        </w:tc>
        <w:tc>
          <w:tcPr>
            <w:tcW w:w="1001" w:type="pct"/>
            <w:vMerge w:val="continue"/>
            <w:tcBorders>
              <w:tl2br w:val="nil"/>
              <w:tr2bl w:val="nil"/>
            </w:tcBorders>
          </w:tcPr>
          <w:p w14:paraId="7D35A073">
            <w:pPr>
              <w:keepNext w:val="0"/>
              <w:keepLines w:val="0"/>
              <w:suppressLineNumbers w:val="0"/>
              <w:spacing w:before="0" w:beforeAutospacing="0" w:after="0" w:afterAutospacing="0" w:line="320" w:lineRule="exact"/>
              <w:ind w:left="0" w:right="0" w:firstLine="0" w:firstLineChars="0"/>
              <w:jc w:val="center"/>
              <w:rPr>
                <w:rStyle w:val="30"/>
                <w:rFonts w:hint="default" w:hAnsi="宋体" w:cs="宋体"/>
                <w:color w:val="auto"/>
                <w:kern w:val="0"/>
              </w:rPr>
            </w:pPr>
          </w:p>
        </w:tc>
        <w:tc>
          <w:tcPr>
            <w:tcW w:w="354" w:type="pct"/>
            <w:vMerge w:val="continue"/>
            <w:tcBorders>
              <w:tl2br w:val="nil"/>
              <w:tr2bl w:val="nil"/>
            </w:tcBorders>
          </w:tcPr>
          <w:p w14:paraId="4E4412AE">
            <w:pPr>
              <w:keepNext w:val="0"/>
              <w:keepLines w:val="0"/>
              <w:suppressLineNumbers w:val="0"/>
              <w:spacing w:before="0" w:beforeAutospacing="0" w:after="0" w:afterAutospacing="0" w:line="320" w:lineRule="exact"/>
              <w:ind w:left="0" w:right="0" w:firstLine="0" w:firstLineChars="0"/>
              <w:jc w:val="center"/>
              <w:rPr>
                <w:rStyle w:val="30"/>
                <w:rFonts w:hint="default" w:hAnsi="宋体" w:cs="宋体"/>
                <w:color w:val="auto"/>
                <w:kern w:val="0"/>
              </w:rPr>
            </w:pPr>
          </w:p>
        </w:tc>
      </w:tr>
      <w:tr w14:paraId="6D3A7D7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c>
          <w:tcPr>
            <w:tcW w:w="338" w:type="pct"/>
            <w:tcBorders>
              <w:tl2br w:val="nil"/>
              <w:tr2bl w:val="nil"/>
            </w:tcBorders>
            <w:vAlign w:val="center"/>
          </w:tcPr>
          <w:p w14:paraId="3274B3E6">
            <w:pPr>
              <w:keepNext w:val="0"/>
              <w:keepLines w:val="0"/>
              <w:suppressLineNumbers w:val="0"/>
              <w:tabs>
                <w:tab w:val="left" w:pos="7080"/>
              </w:tabs>
              <w:spacing w:before="0" w:beforeAutospacing="0" w:after="0" w:afterAutospacing="0" w:line="320" w:lineRule="exact"/>
              <w:ind w:left="0" w:right="0" w:firstLine="0" w:firstLineChars="0"/>
              <w:jc w:val="center"/>
              <w:rPr>
                <w:rFonts w:hint="default" w:hAnsi="宋体" w:cs="宋体"/>
                <w:color w:val="auto"/>
                <w:sz w:val="21"/>
                <w:szCs w:val="21"/>
              </w:rPr>
            </w:pPr>
            <w:r>
              <w:rPr>
                <w:rFonts w:hint="eastAsia" w:hAnsi="宋体" w:cs="宋体"/>
                <w:color w:val="auto"/>
                <w:sz w:val="21"/>
                <w:szCs w:val="21"/>
              </w:rPr>
              <w:t>3</w:t>
            </w:r>
          </w:p>
        </w:tc>
        <w:tc>
          <w:tcPr>
            <w:tcW w:w="2418" w:type="pct"/>
            <w:tcBorders>
              <w:tl2br w:val="nil"/>
              <w:tr2bl w:val="nil"/>
            </w:tcBorders>
            <w:vAlign w:val="center"/>
          </w:tcPr>
          <w:p w14:paraId="71D9D1EC">
            <w:pPr>
              <w:pStyle w:val="34"/>
              <w:keepNext w:val="0"/>
              <w:keepLines w:val="0"/>
              <w:suppressLineNumbers w:val="0"/>
              <w:spacing w:before="0" w:beforeAutospacing="0" w:after="0" w:afterAutospacing="0"/>
              <w:ind w:left="0" w:right="0"/>
              <w:jc w:val="both"/>
              <w:rPr>
                <w:rFonts w:hint="default" w:hAnsi="宋体" w:cs="宋体"/>
                <w:color w:val="auto"/>
                <w:szCs w:val="21"/>
              </w:rPr>
            </w:pPr>
            <w:r>
              <w:rPr>
                <w:rFonts w:hint="eastAsia" w:hAnsi="宋体" w:cs="宋体"/>
                <w:color w:val="auto"/>
                <w:szCs w:val="21"/>
              </w:rPr>
              <w:t>矿区及其附近的地表水或大气降水有可能危及井下安全时，应根据具体情况采取设防洪堤、截水沟、封闭溶洞或报废的矿井和钻孔、留设防水矿柱等防范措施。</w:t>
            </w:r>
          </w:p>
        </w:tc>
        <w:tc>
          <w:tcPr>
            <w:tcW w:w="887" w:type="pct"/>
            <w:tcBorders>
              <w:tl2br w:val="nil"/>
              <w:tr2bl w:val="nil"/>
            </w:tcBorders>
            <w:vAlign w:val="center"/>
          </w:tcPr>
          <w:p w14:paraId="61989A6C">
            <w:pPr>
              <w:keepNext w:val="0"/>
              <w:keepLines w:val="0"/>
              <w:suppressLineNumbers w:val="0"/>
              <w:tabs>
                <w:tab w:val="left" w:pos="7080"/>
              </w:tabs>
              <w:spacing w:before="0" w:beforeAutospacing="0" w:after="0" w:afterAutospacing="0" w:line="320" w:lineRule="exact"/>
              <w:ind w:left="0" w:right="0" w:firstLine="0" w:firstLineChars="0"/>
              <w:jc w:val="center"/>
              <w:rPr>
                <w:rFonts w:hint="default" w:hAnsi="宋体" w:cs="宋体"/>
                <w:color w:val="auto"/>
                <w:sz w:val="21"/>
                <w:szCs w:val="21"/>
              </w:rPr>
            </w:pPr>
            <w:r>
              <w:rPr>
                <w:rFonts w:hint="eastAsia" w:hAnsi="宋体" w:cs="宋体"/>
                <w:color w:val="auto"/>
                <w:sz w:val="21"/>
                <w:szCs w:val="21"/>
              </w:rPr>
              <w:t>《金属非金属矿山安全规程》(GB16423-2020)</w:t>
            </w:r>
          </w:p>
          <w:p w14:paraId="065439EC">
            <w:pPr>
              <w:pStyle w:val="33"/>
              <w:keepNext w:val="0"/>
              <w:keepLines w:val="0"/>
              <w:suppressLineNumbers w:val="0"/>
              <w:spacing w:before="0" w:beforeAutospacing="0" w:after="0" w:afterAutospacing="0"/>
              <w:ind w:left="0" w:right="0"/>
              <w:jc w:val="center"/>
              <w:rPr>
                <w:rFonts w:hint="default" w:cs="宋体"/>
                <w:color w:val="auto"/>
              </w:rPr>
            </w:pPr>
            <w:r>
              <w:rPr>
                <w:rFonts w:hint="eastAsia" w:cs="宋体"/>
                <w:color w:val="auto"/>
              </w:rPr>
              <w:t>第6.8.2.5条</w:t>
            </w:r>
          </w:p>
        </w:tc>
        <w:tc>
          <w:tcPr>
            <w:tcW w:w="1001" w:type="pct"/>
            <w:tcBorders>
              <w:tl2br w:val="nil"/>
              <w:tr2bl w:val="nil"/>
            </w:tcBorders>
            <w:vAlign w:val="center"/>
          </w:tcPr>
          <w:p w14:paraId="13B62C46">
            <w:pPr>
              <w:pStyle w:val="33"/>
              <w:keepNext w:val="0"/>
              <w:keepLines w:val="0"/>
              <w:suppressLineNumbers w:val="0"/>
              <w:spacing w:before="0" w:beforeAutospacing="0" w:after="0" w:afterAutospacing="0"/>
              <w:ind w:left="0" w:right="0"/>
              <w:rPr>
                <w:rFonts w:hint="default" w:cs="宋体"/>
                <w:color w:val="auto"/>
              </w:rPr>
            </w:pPr>
            <w:r>
              <w:rPr>
                <w:rFonts w:hint="eastAsia" w:cs="宋体"/>
                <w:bCs/>
                <w:color w:val="auto"/>
                <w:sz w:val="21"/>
                <w:lang w:val="en-US" w:eastAsia="zh-CN"/>
              </w:rPr>
              <w:t>工业场地南侧边坡设置有截排水沟</w:t>
            </w:r>
            <w:r>
              <w:rPr>
                <w:rFonts w:hint="eastAsia" w:cs="宋体"/>
                <w:color w:val="auto"/>
              </w:rPr>
              <w:t>。</w:t>
            </w:r>
          </w:p>
        </w:tc>
        <w:tc>
          <w:tcPr>
            <w:tcW w:w="354" w:type="pct"/>
            <w:tcBorders>
              <w:tl2br w:val="nil"/>
              <w:tr2bl w:val="nil"/>
            </w:tcBorders>
            <w:vAlign w:val="center"/>
          </w:tcPr>
          <w:p w14:paraId="6E1ED730">
            <w:pPr>
              <w:pStyle w:val="33"/>
              <w:keepNext w:val="0"/>
              <w:keepLines w:val="0"/>
              <w:suppressLineNumbers w:val="0"/>
              <w:spacing w:before="0" w:beforeAutospacing="0" w:after="0" w:afterAutospacing="0"/>
              <w:ind w:left="0" w:right="0"/>
              <w:jc w:val="center"/>
              <w:rPr>
                <w:rFonts w:hint="default" w:cs="宋体"/>
                <w:color w:val="auto"/>
              </w:rPr>
            </w:pPr>
            <w:r>
              <w:rPr>
                <w:rFonts w:hint="eastAsia" w:cs="宋体"/>
                <w:color w:val="auto"/>
              </w:rPr>
              <w:t>符合</w:t>
            </w:r>
          </w:p>
        </w:tc>
      </w:tr>
      <w:tr w14:paraId="7814F48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c>
          <w:tcPr>
            <w:tcW w:w="338" w:type="pct"/>
            <w:tcBorders>
              <w:tl2br w:val="nil"/>
              <w:tr2bl w:val="nil"/>
            </w:tcBorders>
            <w:vAlign w:val="center"/>
          </w:tcPr>
          <w:p w14:paraId="6EEE74C8">
            <w:pPr>
              <w:keepNext w:val="0"/>
              <w:keepLines w:val="0"/>
              <w:suppressLineNumbers w:val="0"/>
              <w:tabs>
                <w:tab w:val="left" w:pos="7080"/>
              </w:tabs>
              <w:spacing w:before="0" w:beforeAutospacing="0" w:after="0" w:afterAutospacing="0" w:line="320" w:lineRule="exact"/>
              <w:ind w:left="0" w:right="0" w:firstLine="0" w:firstLineChars="0"/>
              <w:jc w:val="center"/>
              <w:rPr>
                <w:rFonts w:hint="default" w:hAnsi="宋体" w:cs="宋体"/>
                <w:color w:val="auto"/>
                <w:sz w:val="21"/>
                <w:szCs w:val="21"/>
              </w:rPr>
            </w:pPr>
            <w:r>
              <w:rPr>
                <w:rFonts w:hint="eastAsia" w:hAnsi="宋体" w:cs="宋体"/>
                <w:color w:val="auto"/>
                <w:sz w:val="21"/>
                <w:szCs w:val="21"/>
              </w:rPr>
              <w:t>4</w:t>
            </w:r>
          </w:p>
        </w:tc>
        <w:tc>
          <w:tcPr>
            <w:tcW w:w="2418" w:type="pct"/>
            <w:tcBorders>
              <w:tl2br w:val="nil"/>
              <w:tr2bl w:val="nil"/>
            </w:tcBorders>
            <w:vAlign w:val="center"/>
          </w:tcPr>
          <w:p w14:paraId="1FAF2DEB">
            <w:pPr>
              <w:pStyle w:val="34"/>
              <w:keepNext w:val="0"/>
              <w:keepLines w:val="0"/>
              <w:suppressLineNumbers w:val="0"/>
              <w:spacing w:before="0" w:beforeAutospacing="0" w:after="0" w:afterAutospacing="0"/>
              <w:ind w:left="0" w:right="0"/>
              <w:jc w:val="both"/>
              <w:rPr>
                <w:rFonts w:hint="default" w:hAnsi="宋体" w:cs="宋体"/>
                <w:color w:val="auto"/>
                <w:szCs w:val="21"/>
              </w:rPr>
            </w:pPr>
            <w:r>
              <w:rPr>
                <w:rFonts w:hint="eastAsia" w:hAnsi="宋体" w:cs="宋体"/>
                <w:color w:val="auto"/>
                <w:szCs w:val="21"/>
              </w:rPr>
              <w:t>矿石、废石和其他堆积物不应堵塞山洪通道，不应淤塞沟渠和河道。</w:t>
            </w:r>
          </w:p>
        </w:tc>
        <w:tc>
          <w:tcPr>
            <w:tcW w:w="887" w:type="pct"/>
            <w:tcBorders>
              <w:tl2br w:val="nil"/>
              <w:tr2bl w:val="nil"/>
            </w:tcBorders>
            <w:vAlign w:val="center"/>
          </w:tcPr>
          <w:p w14:paraId="01E9550C">
            <w:pPr>
              <w:keepNext w:val="0"/>
              <w:keepLines w:val="0"/>
              <w:suppressLineNumbers w:val="0"/>
              <w:tabs>
                <w:tab w:val="left" w:pos="7080"/>
              </w:tabs>
              <w:spacing w:before="0" w:beforeAutospacing="0" w:after="0" w:afterAutospacing="0" w:line="320" w:lineRule="exact"/>
              <w:ind w:left="0" w:right="0" w:firstLine="0" w:firstLineChars="0"/>
              <w:jc w:val="center"/>
              <w:rPr>
                <w:rFonts w:hint="default" w:hAnsi="宋体" w:cs="宋体"/>
                <w:color w:val="auto"/>
                <w:sz w:val="21"/>
                <w:szCs w:val="21"/>
              </w:rPr>
            </w:pPr>
            <w:r>
              <w:rPr>
                <w:rFonts w:hint="eastAsia" w:hAnsi="宋体" w:cs="宋体"/>
                <w:color w:val="auto"/>
                <w:sz w:val="21"/>
                <w:szCs w:val="21"/>
              </w:rPr>
              <w:t>《金属非金属矿山安全规程》(GB16423-2020)</w:t>
            </w:r>
          </w:p>
          <w:p w14:paraId="5DB8C112">
            <w:pPr>
              <w:keepNext w:val="0"/>
              <w:keepLines w:val="0"/>
              <w:suppressLineNumbers w:val="0"/>
              <w:tabs>
                <w:tab w:val="left" w:pos="7080"/>
              </w:tabs>
              <w:spacing w:before="0" w:beforeAutospacing="0" w:after="0" w:afterAutospacing="0" w:line="320" w:lineRule="exact"/>
              <w:ind w:left="0" w:right="0" w:firstLine="0" w:firstLineChars="0"/>
              <w:jc w:val="center"/>
              <w:rPr>
                <w:rFonts w:hint="default" w:hAnsi="宋体" w:cs="宋体"/>
                <w:color w:val="auto"/>
                <w:sz w:val="21"/>
                <w:szCs w:val="21"/>
              </w:rPr>
            </w:pPr>
            <w:r>
              <w:rPr>
                <w:rFonts w:hint="eastAsia" w:hAnsi="宋体" w:cs="宋体"/>
                <w:color w:val="auto"/>
                <w:sz w:val="21"/>
                <w:szCs w:val="21"/>
              </w:rPr>
              <w:t>第6.8.2.6条</w:t>
            </w:r>
          </w:p>
        </w:tc>
        <w:tc>
          <w:tcPr>
            <w:tcW w:w="1001" w:type="pct"/>
            <w:tcBorders>
              <w:tl2br w:val="nil"/>
              <w:tr2bl w:val="nil"/>
            </w:tcBorders>
            <w:vAlign w:val="center"/>
          </w:tcPr>
          <w:p w14:paraId="518D0585">
            <w:pPr>
              <w:keepNext w:val="0"/>
              <w:keepLines w:val="0"/>
              <w:suppressLineNumbers w:val="0"/>
              <w:tabs>
                <w:tab w:val="left" w:pos="7080"/>
              </w:tabs>
              <w:spacing w:before="0" w:beforeAutospacing="0" w:after="0" w:afterAutospacing="0" w:line="320" w:lineRule="exact"/>
              <w:ind w:left="0" w:right="0" w:firstLine="0" w:firstLineChars="0"/>
              <w:rPr>
                <w:rFonts w:hint="eastAsia" w:hAnsi="宋体" w:eastAsia="宋体" w:cs="宋体"/>
                <w:color w:val="auto"/>
                <w:sz w:val="21"/>
                <w:szCs w:val="21"/>
                <w:lang w:eastAsia="zh-CN"/>
              </w:rPr>
            </w:pPr>
            <w:r>
              <w:rPr>
                <w:rFonts w:hint="eastAsia" w:hAnsi="宋体" w:cs="宋体"/>
                <w:color w:val="auto"/>
                <w:sz w:val="21"/>
                <w:szCs w:val="21"/>
              </w:rPr>
              <w:t>该矿山生产的</w:t>
            </w:r>
            <w:r>
              <w:rPr>
                <w:rFonts w:hint="eastAsia" w:cs="宋体"/>
                <w:color w:val="auto"/>
                <w:sz w:val="21"/>
                <w:szCs w:val="21"/>
                <w:lang w:eastAsia="zh-CN"/>
              </w:rPr>
              <w:t>矿石废石</w:t>
            </w:r>
            <w:r>
              <w:rPr>
                <w:rFonts w:hint="eastAsia" w:cs="宋体"/>
                <w:color w:val="auto"/>
                <w:sz w:val="21"/>
                <w:szCs w:val="21"/>
                <w:lang w:val="en-US" w:eastAsia="zh-CN"/>
              </w:rPr>
              <w:t>堆放在工业场地后外运加工</w:t>
            </w:r>
            <w:r>
              <w:rPr>
                <w:rFonts w:hint="eastAsia" w:hAnsi="宋体" w:cs="宋体"/>
                <w:color w:val="auto"/>
                <w:sz w:val="21"/>
                <w:szCs w:val="21"/>
              </w:rPr>
              <w:t>。</w:t>
            </w:r>
            <w:r>
              <w:rPr>
                <w:rFonts w:hint="eastAsia" w:cs="宋体"/>
                <w:color w:val="auto"/>
                <w:sz w:val="21"/>
                <w:szCs w:val="21"/>
                <w:lang w:eastAsia="zh-CN"/>
              </w:rPr>
              <w:t>不在山洪通道堆存。</w:t>
            </w:r>
          </w:p>
        </w:tc>
        <w:tc>
          <w:tcPr>
            <w:tcW w:w="354" w:type="pct"/>
            <w:tcBorders>
              <w:tl2br w:val="nil"/>
              <w:tr2bl w:val="nil"/>
            </w:tcBorders>
            <w:vAlign w:val="center"/>
          </w:tcPr>
          <w:p w14:paraId="4264DDDF">
            <w:pPr>
              <w:keepNext w:val="0"/>
              <w:keepLines w:val="0"/>
              <w:suppressLineNumbers w:val="0"/>
              <w:tabs>
                <w:tab w:val="left" w:pos="7080"/>
              </w:tabs>
              <w:spacing w:before="0" w:beforeAutospacing="0" w:after="0" w:afterAutospacing="0" w:line="320" w:lineRule="exact"/>
              <w:ind w:left="0" w:right="0" w:firstLine="0" w:firstLineChars="0"/>
              <w:jc w:val="center"/>
              <w:rPr>
                <w:rFonts w:hint="default" w:hAnsi="宋体" w:cs="宋体"/>
                <w:color w:val="auto"/>
                <w:sz w:val="21"/>
                <w:szCs w:val="21"/>
              </w:rPr>
            </w:pPr>
            <w:r>
              <w:rPr>
                <w:rFonts w:hint="eastAsia" w:hAnsi="宋体" w:cs="宋体"/>
                <w:color w:val="auto"/>
                <w:sz w:val="21"/>
                <w:szCs w:val="21"/>
              </w:rPr>
              <w:t>符合</w:t>
            </w:r>
          </w:p>
        </w:tc>
      </w:tr>
    </w:tbl>
    <w:p w14:paraId="3D551B26">
      <w:pPr>
        <w:ind w:firstLine="560"/>
        <w:rPr>
          <w:rFonts w:hint="eastAsia"/>
          <w:color w:val="auto"/>
          <w:szCs w:val="28"/>
        </w:rPr>
      </w:pPr>
      <w:r>
        <w:rPr>
          <w:rFonts w:hint="eastAsia" w:hAnsi="宋体" w:cs="宋体"/>
          <w:color w:val="auto"/>
          <w:szCs w:val="28"/>
        </w:rPr>
        <w:t>本单元通过安全检查表法共检查</w:t>
      </w:r>
      <w:r>
        <w:rPr>
          <w:rFonts w:hint="eastAsia" w:cs="宋体"/>
          <w:color w:val="auto"/>
          <w:szCs w:val="28"/>
          <w:lang w:val="en-US" w:eastAsia="zh-CN"/>
        </w:rPr>
        <w:t>4</w:t>
      </w:r>
      <w:r>
        <w:rPr>
          <w:rFonts w:hint="eastAsia" w:hAnsi="宋体" w:cs="宋体"/>
          <w:color w:val="auto"/>
          <w:szCs w:val="28"/>
        </w:rPr>
        <w:t>项，</w:t>
      </w:r>
      <w:r>
        <w:rPr>
          <w:rFonts w:hint="eastAsia"/>
          <w:color w:val="auto"/>
          <w:lang w:val="en-US" w:eastAsia="zh-CN"/>
        </w:rPr>
        <w:t>均符合要求</w:t>
      </w:r>
      <w:r>
        <w:rPr>
          <w:rFonts w:hint="eastAsia"/>
          <w:color w:val="auto"/>
        </w:rPr>
        <w:t>。</w:t>
      </w:r>
    </w:p>
    <w:p w14:paraId="6246C11F">
      <w:pPr>
        <w:pStyle w:val="5"/>
        <w:keepNext/>
        <w:keepLines/>
        <w:pageBreakBefore w:val="0"/>
        <w:widowControl w:val="0"/>
        <w:kinsoku/>
        <w:wordWrap/>
        <w:overflowPunct/>
        <w:topLinePunct w:val="0"/>
        <w:autoSpaceDE/>
        <w:autoSpaceDN/>
        <w:bidi w:val="0"/>
        <w:adjustRightInd/>
        <w:snapToGrid/>
        <w:ind w:firstLine="560" w:firstLineChars="200"/>
        <w:textAlignment w:val="auto"/>
        <w:rPr>
          <w:b/>
          <w:bCs/>
          <w:color w:val="auto"/>
        </w:rPr>
      </w:pPr>
      <w:r>
        <w:rPr>
          <w:rFonts w:hint="eastAsia"/>
          <w:b/>
          <w:bCs/>
          <w:color w:val="auto"/>
        </w:rPr>
        <w:t>3.</w:t>
      </w:r>
      <w:r>
        <w:rPr>
          <w:rFonts w:hint="eastAsia"/>
          <w:b/>
          <w:bCs/>
          <w:color w:val="auto"/>
          <w:lang w:val="en-US" w:eastAsia="zh-CN"/>
        </w:rPr>
        <w:t>7</w:t>
      </w:r>
      <w:r>
        <w:rPr>
          <w:rFonts w:hint="eastAsia"/>
          <w:b/>
          <w:bCs/>
          <w:color w:val="auto"/>
        </w:rPr>
        <w:t>.1.3防排水评价单元总结</w:t>
      </w:r>
    </w:p>
    <w:p w14:paraId="7016C6A6">
      <w:pPr>
        <w:bidi w:val="0"/>
        <w:rPr>
          <w:color w:val="auto"/>
        </w:rPr>
      </w:pPr>
      <w:r>
        <w:rPr>
          <w:rFonts w:hint="eastAsia"/>
          <w:color w:val="auto"/>
        </w:rPr>
        <w:t>1、通过预先危险性分析，透水</w:t>
      </w:r>
      <w:r>
        <w:rPr>
          <w:rFonts w:hint="eastAsia"/>
          <w:color w:val="auto"/>
          <w:lang w:eastAsia="zh-CN"/>
        </w:rPr>
        <w:t>、</w:t>
      </w:r>
      <w:r>
        <w:rPr>
          <w:rFonts w:hint="eastAsia"/>
          <w:color w:val="auto"/>
        </w:rPr>
        <w:t>淹溺危险等级为Ⅲ级，会造成人员伤亡、停产，建设单位应在基建和生产过程中重点防范。</w:t>
      </w:r>
    </w:p>
    <w:p w14:paraId="6979A0CB">
      <w:pPr>
        <w:bidi w:val="0"/>
        <w:rPr>
          <w:rFonts w:hint="eastAsia"/>
          <w:color w:val="auto"/>
          <w:lang w:eastAsia="zh-CN"/>
        </w:rPr>
      </w:pPr>
      <w:r>
        <w:rPr>
          <w:rFonts w:hint="eastAsia"/>
          <w:color w:val="auto"/>
          <w:lang w:val="en-US" w:eastAsia="zh-CN"/>
        </w:rPr>
        <w:t>2</w:t>
      </w:r>
      <w:r>
        <w:rPr>
          <w:rFonts w:hint="eastAsia"/>
          <w:color w:val="auto"/>
        </w:rPr>
        <w:t>、经检查，该矿设计防排水方案总体可行。</w:t>
      </w:r>
    </w:p>
    <w:p w14:paraId="7C604D93">
      <w:pPr>
        <w:pStyle w:val="4"/>
        <w:tabs>
          <w:tab w:val="left" w:pos="8265"/>
        </w:tabs>
        <w:spacing w:before="120" w:beforeLines="0" w:after="120" w:afterLines="0"/>
        <w:rPr>
          <w:color w:val="auto"/>
        </w:rPr>
      </w:pPr>
      <w:r>
        <w:rPr>
          <w:rFonts w:hint="eastAsia" w:hAnsi="黑体"/>
          <w:bCs w:val="0"/>
          <w:color w:val="auto"/>
        </w:rPr>
        <w:t>3.</w:t>
      </w:r>
      <w:r>
        <w:rPr>
          <w:rFonts w:hint="eastAsia"/>
          <w:bCs w:val="0"/>
          <w:color w:val="auto"/>
          <w:lang w:val="en-US" w:eastAsia="zh-CN"/>
        </w:rPr>
        <w:t>7</w:t>
      </w:r>
      <w:r>
        <w:rPr>
          <w:rFonts w:hint="eastAsia" w:hAnsi="黑体"/>
          <w:bCs w:val="0"/>
          <w:color w:val="auto"/>
        </w:rPr>
        <w:t>.2 防</w:t>
      </w:r>
      <w:r>
        <w:rPr>
          <w:rFonts w:hint="eastAsia"/>
          <w:color w:val="auto"/>
        </w:rPr>
        <w:t>灭火评价</w:t>
      </w:r>
    </w:p>
    <w:p w14:paraId="557A4E17">
      <w:pPr>
        <w:pStyle w:val="5"/>
        <w:keepNext/>
        <w:keepLines/>
        <w:pageBreakBefore w:val="0"/>
        <w:widowControl w:val="0"/>
        <w:kinsoku/>
        <w:wordWrap/>
        <w:overflowPunct/>
        <w:topLinePunct w:val="0"/>
        <w:autoSpaceDE/>
        <w:autoSpaceDN/>
        <w:bidi w:val="0"/>
        <w:adjustRightInd/>
        <w:snapToGrid/>
        <w:spacing w:before="120" w:after="120"/>
        <w:ind w:firstLine="560" w:firstLineChars="200"/>
        <w:textAlignment w:val="auto"/>
        <w:rPr>
          <w:b/>
          <w:bCs/>
          <w:color w:val="auto"/>
        </w:rPr>
      </w:pPr>
      <w:r>
        <w:rPr>
          <w:rFonts w:hint="eastAsia"/>
          <w:b/>
          <w:bCs/>
          <w:color w:val="auto"/>
        </w:rPr>
        <w:t>3.</w:t>
      </w:r>
      <w:r>
        <w:rPr>
          <w:rFonts w:hint="eastAsia"/>
          <w:b/>
          <w:bCs/>
          <w:color w:val="auto"/>
          <w:lang w:val="en-US" w:eastAsia="zh-CN"/>
        </w:rPr>
        <w:t>7</w:t>
      </w:r>
      <w:r>
        <w:rPr>
          <w:rFonts w:hint="eastAsia"/>
          <w:b/>
          <w:bCs/>
          <w:color w:val="auto"/>
        </w:rPr>
        <w:t>.2.1 防灭火单元危险、有害因素评价</w:t>
      </w:r>
    </w:p>
    <w:p w14:paraId="30D6F490">
      <w:pPr>
        <w:ind w:firstLine="560"/>
        <w:rPr>
          <w:color w:val="auto"/>
        </w:rPr>
      </w:pPr>
      <w:r>
        <w:rPr>
          <w:rFonts w:hint="eastAsia"/>
          <w:color w:val="auto"/>
        </w:rPr>
        <w:t>井下火灾主要是易燃品被意外的火源点燃造成的。井下易燃品有凿岩机、局扇等用的润滑油，工作用的油棉纱、棉布、塑料和电缆等。另外，地面配电室、空压房、库房等也存在火灾危险。防灭火单元预先危险性分析见下表3.</w:t>
      </w:r>
      <w:r>
        <w:rPr>
          <w:rFonts w:hint="eastAsia"/>
          <w:color w:val="auto"/>
          <w:lang w:val="en-US" w:eastAsia="zh-CN"/>
        </w:rPr>
        <w:t>7</w:t>
      </w:r>
      <w:r>
        <w:rPr>
          <w:rFonts w:hint="eastAsia"/>
          <w:color w:val="auto"/>
        </w:rPr>
        <w:t>-3。</w:t>
      </w:r>
    </w:p>
    <w:p w14:paraId="148FFF7E">
      <w:pPr>
        <w:autoSpaceDE w:val="0"/>
        <w:autoSpaceDN w:val="0"/>
        <w:adjustRightInd w:val="0"/>
        <w:ind w:firstLine="0" w:firstLineChars="0"/>
        <w:jc w:val="center"/>
        <w:rPr>
          <w:rFonts w:cs="宋体"/>
          <w:b/>
          <w:color w:val="auto"/>
          <w:szCs w:val="28"/>
          <w:lang w:val="zh-CN"/>
        </w:rPr>
      </w:pPr>
      <w:r>
        <w:rPr>
          <w:rFonts w:hint="eastAsia" w:cs="宋体"/>
          <w:b/>
          <w:color w:val="auto"/>
          <w:szCs w:val="28"/>
          <w:lang w:val="zh-CN"/>
        </w:rPr>
        <w:t>表3.</w:t>
      </w:r>
      <w:r>
        <w:rPr>
          <w:rFonts w:hint="eastAsia" w:cs="宋体"/>
          <w:b/>
          <w:color w:val="auto"/>
          <w:szCs w:val="28"/>
          <w:lang w:val="en-US" w:eastAsia="zh-CN"/>
        </w:rPr>
        <w:t>7</w:t>
      </w:r>
      <w:r>
        <w:rPr>
          <w:rFonts w:hint="eastAsia" w:cs="宋体"/>
          <w:b/>
          <w:color w:val="auto"/>
          <w:szCs w:val="28"/>
        </w:rPr>
        <w:t xml:space="preserve">-3 </w:t>
      </w:r>
      <w:r>
        <w:rPr>
          <w:rFonts w:hint="eastAsia" w:cs="宋体"/>
          <w:b/>
          <w:color w:val="auto"/>
          <w:szCs w:val="28"/>
          <w:lang w:val="zh-CN"/>
        </w:rPr>
        <w:t>防灭火单元预先危险性分析</w:t>
      </w:r>
    </w:p>
    <w:tbl>
      <w:tblPr>
        <w:tblStyle w:val="24"/>
        <w:tblW w:w="4997"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873"/>
        <w:gridCol w:w="3968"/>
        <w:gridCol w:w="1756"/>
        <w:gridCol w:w="1353"/>
        <w:gridCol w:w="761"/>
        <w:gridCol w:w="797"/>
      </w:tblGrid>
      <w:tr w14:paraId="250B15B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blHeader/>
          <w:jc w:val="center"/>
        </w:trPr>
        <w:tc>
          <w:tcPr>
            <w:tcW w:w="459" w:type="pct"/>
            <w:tcBorders>
              <w:tl2br w:val="nil"/>
              <w:tr2bl w:val="nil"/>
            </w:tcBorders>
            <w:vAlign w:val="center"/>
          </w:tcPr>
          <w:p w14:paraId="783C0F2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0" w:lineRule="exact"/>
              <w:ind w:left="0" w:right="0" w:firstLine="0" w:firstLineChars="0"/>
              <w:jc w:val="center"/>
              <w:textAlignment w:val="auto"/>
              <w:rPr>
                <w:rFonts w:hint="default" w:hAnsi="宋体" w:cs="宋体"/>
                <w:b/>
                <w:color w:val="auto"/>
                <w:sz w:val="21"/>
                <w:szCs w:val="21"/>
              </w:rPr>
            </w:pPr>
            <w:r>
              <w:rPr>
                <w:rFonts w:hint="eastAsia" w:hAnsi="宋体" w:cs="宋体"/>
                <w:b/>
                <w:color w:val="auto"/>
                <w:sz w:val="21"/>
                <w:szCs w:val="21"/>
              </w:rPr>
              <w:t>危害</w:t>
            </w:r>
          </w:p>
          <w:p w14:paraId="1855BCF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0" w:lineRule="exact"/>
              <w:ind w:left="0" w:right="0" w:firstLine="0" w:firstLineChars="0"/>
              <w:jc w:val="center"/>
              <w:textAlignment w:val="auto"/>
              <w:rPr>
                <w:rFonts w:hint="default" w:hAnsi="宋体" w:cs="宋体"/>
                <w:b/>
                <w:color w:val="auto"/>
                <w:sz w:val="21"/>
                <w:szCs w:val="21"/>
              </w:rPr>
            </w:pPr>
            <w:r>
              <w:rPr>
                <w:rFonts w:hint="eastAsia" w:hAnsi="宋体" w:cs="宋体"/>
                <w:b/>
                <w:color w:val="auto"/>
                <w:sz w:val="21"/>
                <w:szCs w:val="21"/>
              </w:rPr>
              <w:t>因素</w:t>
            </w:r>
          </w:p>
        </w:tc>
        <w:tc>
          <w:tcPr>
            <w:tcW w:w="2086" w:type="pct"/>
            <w:tcBorders>
              <w:tl2br w:val="nil"/>
              <w:tr2bl w:val="nil"/>
            </w:tcBorders>
            <w:vAlign w:val="center"/>
          </w:tcPr>
          <w:p w14:paraId="45B48A2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0" w:lineRule="exact"/>
              <w:ind w:left="0" w:right="0" w:firstLine="0" w:firstLineChars="0"/>
              <w:jc w:val="center"/>
              <w:textAlignment w:val="auto"/>
              <w:rPr>
                <w:rFonts w:hint="default" w:hAnsi="宋体" w:cs="宋体"/>
                <w:b/>
                <w:color w:val="auto"/>
                <w:sz w:val="21"/>
                <w:szCs w:val="21"/>
              </w:rPr>
            </w:pPr>
            <w:r>
              <w:rPr>
                <w:rFonts w:hint="eastAsia" w:hAnsi="宋体" w:cs="宋体"/>
                <w:b/>
                <w:color w:val="auto"/>
                <w:sz w:val="21"/>
                <w:szCs w:val="21"/>
              </w:rPr>
              <w:t>触发事件及</w:t>
            </w:r>
          </w:p>
          <w:p w14:paraId="451AB73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0" w:lineRule="exact"/>
              <w:ind w:left="0" w:right="0" w:firstLine="0" w:firstLineChars="0"/>
              <w:jc w:val="center"/>
              <w:textAlignment w:val="auto"/>
              <w:rPr>
                <w:rFonts w:hint="default" w:hAnsi="宋体" w:cs="宋体"/>
                <w:b/>
                <w:color w:val="auto"/>
                <w:sz w:val="21"/>
                <w:szCs w:val="21"/>
              </w:rPr>
            </w:pPr>
            <w:r>
              <w:rPr>
                <w:rFonts w:hint="eastAsia" w:hAnsi="宋体" w:cs="宋体"/>
                <w:b/>
                <w:color w:val="auto"/>
                <w:sz w:val="21"/>
                <w:szCs w:val="21"/>
              </w:rPr>
              <w:t>原因分析</w:t>
            </w:r>
          </w:p>
        </w:tc>
        <w:tc>
          <w:tcPr>
            <w:tcW w:w="923" w:type="pct"/>
            <w:tcBorders>
              <w:tl2br w:val="nil"/>
              <w:tr2bl w:val="nil"/>
            </w:tcBorders>
            <w:vAlign w:val="center"/>
          </w:tcPr>
          <w:p w14:paraId="66F876E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0" w:lineRule="exact"/>
              <w:ind w:left="0" w:right="0" w:firstLine="0" w:firstLineChars="0"/>
              <w:jc w:val="center"/>
              <w:textAlignment w:val="auto"/>
              <w:rPr>
                <w:rFonts w:hint="default" w:hAnsi="宋体" w:cs="宋体"/>
                <w:b/>
                <w:color w:val="auto"/>
                <w:sz w:val="21"/>
                <w:szCs w:val="21"/>
              </w:rPr>
            </w:pPr>
            <w:r>
              <w:rPr>
                <w:rFonts w:hint="eastAsia" w:hAnsi="宋体" w:cs="宋体"/>
                <w:b/>
                <w:color w:val="auto"/>
                <w:sz w:val="21"/>
                <w:szCs w:val="21"/>
              </w:rPr>
              <w:t>表现</w:t>
            </w:r>
          </w:p>
          <w:p w14:paraId="34360B4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0" w:lineRule="exact"/>
              <w:ind w:left="0" w:right="0" w:firstLine="0" w:firstLineChars="0"/>
              <w:jc w:val="center"/>
              <w:textAlignment w:val="auto"/>
              <w:rPr>
                <w:rFonts w:hint="default" w:hAnsi="宋体" w:cs="宋体"/>
                <w:b/>
                <w:color w:val="auto"/>
                <w:sz w:val="21"/>
                <w:szCs w:val="21"/>
              </w:rPr>
            </w:pPr>
            <w:r>
              <w:rPr>
                <w:rFonts w:hint="eastAsia" w:hAnsi="宋体" w:cs="宋体"/>
                <w:b/>
                <w:color w:val="auto"/>
                <w:sz w:val="21"/>
                <w:szCs w:val="21"/>
              </w:rPr>
              <w:t>方式</w:t>
            </w:r>
          </w:p>
        </w:tc>
        <w:tc>
          <w:tcPr>
            <w:tcW w:w="711" w:type="pct"/>
            <w:tcBorders>
              <w:tl2br w:val="nil"/>
              <w:tr2bl w:val="nil"/>
            </w:tcBorders>
            <w:vAlign w:val="center"/>
          </w:tcPr>
          <w:p w14:paraId="0812E4A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0" w:lineRule="exact"/>
              <w:ind w:left="0" w:right="0" w:firstLine="0" w:firstLineChars="0"/>
              <w:jc w:val="center"/>
              <w:textAlignment w:val="auto"/>
              <w:rPr>
                <w:rFonts w:hint="default" w:hAnsi="宋体" w:cs="宋体"/>
                <w:b/>
                <w:color w:val="auto"/>
                <w:sz w:val="21"/>
                <w:szCs w:val="21"/>
              </w:rPr>
            </w:pPr>
            <w:r>
              <w:rPr>
                <w:rFonts w:hint="eastAsia" w:hAnsi="宋体" w:cs="宋体"/>
                <w:b/>
                <w:color w:val="auto"/>
                <w:sz w:val="21"/>
                <w:szCs w:val="21"/>
              </w:rPr>
              <w:t>事故后果</w:t>
            </w:r>
          </w:p>
          <w:p w14:paraId="3475AB9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0" w:lineRule="exact"/>
              <w:ind w:left="0" w:leftChars="0" w:right="0" w:rightChars="0" w:firstLine="0" w:firstLineChars="0"/>
              <w:jc w:val="center"/>
              <w:textAlignment w:val="auto"/>
              <w:rPr>
                <w:rFonts w:hint="eastAsia" w:ascii="宋体" w:hAnsi="宋体" w:eastAsia="宋体" w:cs="宋体"/>
                <w:b/>
                <w:color w:val="auto"/>
                <w:kern w:val="2"/>
                <w:sz w:val="21"/>
                <w:szCs w:val="21"/>
                <w:lang w:val="en-US" w:eastAsia="zh-CN" w:bidi="ar-SA"/>
              </w:rPr>
            </w:pPr>
            <w:r>
              <w:rPr>
                <w:rFonts w:hint="eastAsia" w:hAnsi="宋体" w:cs="宋体"/>
                <w:b/>
                <w:color w:val="auto"/>
                <w:sz w:val="21"/>
                <w:szCs w:val="21"/>
              </w:rPr>
              <w:t>及危害程度</w:t>
            </w:r>
          </w:p>
        </w:tc>
        <w:tc>
          <w:tcPr>
            <w:tcW w:w="400" w:type="pct"/>
            <w:tcBorders>
              <w:tl2br w:val="nil"/>
              <w:tr2bl w:val="nil"/>
            </w:tcBorders>
            <w:vAlign w:val="center"/>
          </w:tcPr>
          <w:p w14:paraId="4E73085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0" w:lineRule="exact"/>
              <w:ind w:left="0" w:right="0" w:firstLine="0" w:firstLineChars="0"/>
              <w:jc w:val="center"/>
              <w:textAlignment w:val="auto"/>
              <w:rPr>
                <w:rFonts w:hint="default" w:hAnsi="宋体" w:cs="宋体"/>
                <w:b/>
                <w:color w:val="auto"/>
                <w:sz w:val="21"/>
                <w:szCs w:val="21"/>
              </w:rPr>
            </w:pPr>
            <w:r>
              <w:rPr>
                <w:rFonts w:hint="eastAsia" w:hAnsi="宋体" w:cs="宋体"/>
                <w:b/>
                <w:color w:val="auto"/>
                <w:sz w:val="21"/>
                <w:szCs w:val="21"/>
              </w:rPr>
              <w:t>危险</w:t>
            </w:r>
          </w:p>
          <w:p w14:paraId="201447A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0" w:lineRule="exact"/>
              <w:ind w:left="0" w:right="0" w:firstLine="0" w:firstLineChars="0"/>
              <w:jc w:val="center"/>
              <w:textAlignment w:val="auto"/>
              <w:rPr>
                <w:rFonts w:hint="default" w:hAnsi="宋体" w:cs="宋体"/>
                <w:b/>
                <w:color w:val="auto"/>
                <w:sz w:val="21"/>
                <w:szCs w:val="21"/>
              </w:rPr>
            </w:pPr>
            <w:r>
              <w:rPr>
                <w:rFonts w:hint="eastAsia" w:hAnsi="宋体" w:cs="宋体"/>
                <w:b/>
                <w:color w:val="auto"/>
                <w:sz w:val="21"/>
                <w:szCs w:val="21"/>
              </w:rPr>
              <w:t>等级</w:t>
            </w:r>
          </w:p>
        </w:tc>
        <w:tc>
          <w:tcPr>
            <w:tcW w:w="419" w:type="pct"/>
            <w:tcBorders>
              <w:tl2br w:val="nil"/>
              <w:tr2bl w:val="nil"/>
            </w:tcBorders>
            <w:vAlign w:val="center"/>
          </w:tcPr>
          <w:p w14:paraId="3B0FB59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0" w:lineRule="exact"/>
              <w:ind w:left="0" w:right="0" w:firstLine="0" w:firstLineChars="0"/>
              <w:jc w:val="center"/>
              <w:textAlignment w:val="auto"/>
              <w:rPr>
                <w:rFonts w:hint="eastAsia" w:hAnsi="宋体" w:eastAsia="宋体" w:cs="宋体"/>
                <w:b/>
                <w:color w:val="auto"/>
                <w:sz w:val="21"/>
                <w:szCs w:val="21"/>
                <w:lang w:eastAsia="zh-CN"/>
              </w:rPr>
            </w:pPr>
            <w:r>
              <w:rPr>
                <w:rFonts w:hint="eastAsia" w:cs="宋体"/>
                <w:b/>
                <w:color w:val="auto"/>
                <w:sz w:val="21"/>
                <w:szCs w:val="21"/>
                <w:lang w:eastAsia="zh-CN"/>
              </w:rPr>
              <w:t>预防措施</w:t>
            </w:r>
          </w:p>
        </w:tc>
      </w:tr>
      <w:tr w14:paraId="1297624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815" w:hRule="atLeast"/>
          <w:jc w:val="center"/>
        </w:trPr>
        <w:tc>
          <w:tcPr>
            <w:tcW w:w="459" w:type="pct"/>
            <w:tcBorders>
              <w:tl2br w:val="nil"/>
              <w:tr2bl w:val="nil"/>
            </w:tcBorders>
            <w:vAlign w:val="center"/>
          </w:tcPr>
          <w:p w14:paraId="4584CAB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0" w:lineRule="exact"/>
              <w:ind w:left="0" w:right="0" w:firstLine="0" w:firstLineChars="0"/>
              <w:jc w:val="center"/>
              <w:textAlignment w:val="auto"/>
              <w:rPr>
                <w:rFonts w:hint="default" w:hAnsi="宋体" w:cs="宋体"/>
                <w:color w:val="auto"/>
                <w:sz w:val="21"/>
                <w:szCs w:val="21"/>
              </w:rPr>
            </w:pPr>
            <w:r>
              <w:rPr>
                <w:rFonts w:hint="eastAsia" w:hAnsi="宋体" w:cs="宋体"/>
                <w:color w:val="auto"/>
                <w:sz w:val="21"/>
                <w:szCs w:val="21"/>
              </w:rPr>
              <w:t>建筑总体布置不合理</w:t>
            </w:r>
          </w:p>
        </w:tc>
        <w:tc>
          <w:tcPr>
            <w:tcW w:w="2086" w:type="pct"/>
            <w:tcBorders>
              <w:tl2br w:val="nil"/>
              <w:tr2bl w:val="nil"/>
            </w:tcBorders>
            <w:vAlign w:val="center"/>
          </w:tcPr>
          <w:p w14:paraId="0206B51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0" w:lineRule="exact"/>
              <w:ind w:left="0" w:right="0" w:firstLine="0" w:firstLineChars="0"/>
              <w:jc w:val="left"/>
              <w:textAlignment w:val="auto"/>
              <w:rPr>
                <w:rFonts w:hint="default" w:hAnsi="宋体" w:cs="宋体"/>
                <w:color w:val="auto"/>
                <w:sz w:val="21"/>
                <w:szCs w:val="21"/>
              </w:rPr>
            </w:pPr>
            <w:r>
              <w:rPr>
                <w:rFonts w:hint="eastAsia" w:hAnsi="宋体" w:cs="宋体"/>
                <w:color w:val="auto"/>
                <w:sz w:val="21"/>
                <w:szCs w:val="21"/>
              </w:rPr>
              <w:t>①地面建筑设计和总体布局不符合《建筑设计防火规范》要求；②防火间距、消防通道、消防设施和器材不符合规定。</w:t>
            </w:r>
          </w:p>
        </w:tc>
        <w:tc>
          <w:tcPr>
            <w:tcW w:w="923" w:type="pct"/>
            <w:tcBorders>
              <w:tl2br w:val="nil"/>
              <w:tr2bl w:val="nil"/>
            </w:tcBorders>
            <w:vAlign w:val="center"/>
          </w:tcPr>
          <w:p w14:paraId="6C03186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0" w:lineRule="exact"/>
              <w:ind w:left="0" w:right="0" w:firstLine="0" w:firstLineChars="0"/>
              <w:jc w:val="left"/>
              <w:textAlignment w:val="auto"/>
              <w:rPr>
                <w:rFonts w:hint="default" w:hAnsi="宋体" w:cs="宋体"/>
                <w:color w:val="auto"/>
                <w:sz w:val="21"/>
                <w:szCs w:val="21"/>
              </w:rPr>
            </w:pPr>
            <w:r>
              <w:rPr>
                <w:rFonts w:hint="eastAsia" w:hAnsi="宋体" w:cs="宋体"/>
                <w:color w:val="auto"/>
                <w:sz w:val="21"/>
                <w:szCs w:val="21"/>
              </w:rPr>
              <w:t>局部火灾蔓延，灭火及救护困难。</w:t>
            </w:r>
          </w:p>
        </w:tc>
        <w:tc>
          <w:tcPr>
            <w:tcW w:w="711" w:type="pct"/>
            <w:tcBorders>
              <w:tl2br w:val="nil"/>
              <w:tr2bl w:val="nil"/>
            </w:tcBorders>
            <w:vAlign w:val="center"/>
          </w:tcPr>
          <w:p w14:paraId="55D3A93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0" w:lineRule="exact"/>
              <w:ind w:left="0" w:leftChars="0" w:right="0" w:rightChars="0" w:firstLine="0" w:firstLineChars="0"/>
              <w:textAlignment w:val="auto"/>
              <w:rPr>
                <w:rFonts w:hint="eastAsia" w:ascii="宋体" w:hAnsi="宋体" w:eastAsia="宋体" w:cs="宋体"/>
                <w:color w:val="auto"/>
                <w:kern w:val="2"/>
                <w:sz w:val="21"/>
                <w:szCs w:val="21"/>
                <w:lang w:val="en-US" w:eastAsia="zh-CN" w:bidi="ar-SA"/>
              </w:rPr>
            </w:pPr>
            <w:r>
              <w:rPr>
                <w:rFonts w:hint="eastAsia" w:hAnsi="宋体" w:cs="宋体"/>
                <w:color w:val="auto"/>
                <w:sz w:val="21"/>
                <w:szCs w:val="21"/>
              </w:rPr>
              <w:t>造成人员伤亡，财产损失。</w:t>
            </w:r>
          </w:p>
        </w:tc>
        <w:tc>
          <w:tcPr>
            <w:tcW w:w="400" w:type="pct"/>
            <w:tcBorders>
              <w:tl2br w:val="nil"/>
              <w:tr2bl w:val="nil"/>
            </w:tcBorders>
            <w:vAlign w:val="center"/>
          </w:tcPr>
          <w:p w14:paraId="5E9874E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0" w:lineRule="exact"/>
              <w:ind w:left="0" w:right="0" w:firstLine="0" w:firstLineChars="0"/>
              <w:jc w:val="center"/>
              <w:textAlignment w:val="auto"/>
              <w:rPr>
                <w:rFonts w:hint="default" w:hAnsi="宋体" w:cs="宋体"/>
                <w:color w:val="auto"/>
                <w:sz w:val="21"/>
                <w:szCs w:val="21"/>
              </w:rPr>
            </w:pPr>
            <w:r>
              <w:rPr>
                <w:rFonts w:hint="eastAsia" w:hAnsi="宋体" w:cs="宋体"/>
                <w:color w:val="auto"/>
                <w:sz w:val="21"/>
                <w:szCs w:val="21"/>
              </w:rPr>
              <w:t>Ⅲ级</w:t>
            </w:r>
          </w:p>
        </w:tc>
        <w:tc>
          <w:tcPr>
            <w:tcW w:w="419" w:type="pct"/>
            <w:vMerge w:val="restart"/>
            <w:tcBorders>
              <w:tl2br w:val="nil"/>
              <w:tr2bl w:val="nil"/>
            </w:tcBorders>
            <w:vAlign w:val="center"/>
          </w:tcPr>
          <w:p w14:paraId="59F6A1F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0" w:lineRule="exact"/>
              <w:ind w:left="0" w:right="0" w:firstLine="0" w:firstLineChars="0"/>
              <w:textAlignment w:val="auto"/>
              <w:rPr>
                <w:rFonts w:hint="default" w:hAnsi="宋体" w:cs="宋体"/>
                <w:color w:val="auto"/>
                <w:sz w:val="21"/>
                <w:szCs w:val="21"/>
              </w:rPr>
            </w:pPr>
            <w:r>
              <w:rPr>
                <w:rFonts w:hint="eastAsia" w:ascii="宋体" w:hAnsi="宋体" w:eastAsia="宋体" w:cs="宋体"/>
                <w:color w:val="auto"/>
                <w:sz w:val="21"/>
                <w:szCs w:val="21"/>
              </w:rPr>
              <w:t>见本报告4.2.</w:t>
            </w:r>
            <w:r>
              <w:rPr>
                <w:rFonts w:hint="eastAsia" w:ascii="宋体" w:hAnsi="宋体" w:eastAsia="宋体" w:cs="宋体"/>
                <w:color w:val="auto"/>
                <w:sz w:val="21"/>
                <w:szCs w:val="21"/>
                <w:lang w:val="en-US" w:eastAsia="zh-CN"/>
              </w:rPr>
              <w:t>7</w:t>
            </w:r>
            <w:r>
              <w:rPr>
                <w:rFonts w:hint="eastAsia" w:ascii="宋体" w:hAnsi="宋体" w:eastAsia="宋体" w:cs="宋体"/>
                <w:color w:val="auto"/>
                <w:sz w:val="21"/>
                <w:szCs w:val="21"/>
                <w:lang w:eastAsia="zh-CN"/>
              </w:rPr>
              <w:t>防排水与防灭火</w:t>
            </w:r>
            <w:r>
              <w:rPr>
                <w:rFonts w:hint="eastAsia" w:ascii="宋体" w:hAnsi="宋体" w:eastAsia="宋体" w:cs="宋体"/>
                <w:color w:val="auto"/>
                <w:sz w:val="21"/>
                <w:szCs w:val="21"/>
              </w:rPr>
              <w:t>单元安全对策措施</w:t>
            </w:r>
            <w:r>
              <w:rPr>
                <w:rFonts w:hint="eastAsia" w:ascii="宋体" w:hAnsi="宋体" w:eastAsia="宋体" w:cs="宋体"/>
                <w:color w:val="auto"/>
                <w:sz w:val="21"/>
                <w:szCs w:val="21"/>
                <w:lang w:eastAsia="zh-CN"/>
              </w:rPr>
              <w:t>。</w:t>
            </w:r>
          </w:p>
        </w:tc>
      </w:tr>
      <w:tr w14:paraId="413AD67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815" w:hRule="atLeast"/>
          <w:jc w:val="center"/>
        </w:trPr>
        <w:tc>
          <w:tcPr>
            <w:tcW w:w="459" w:type="pct"/>
            <w:tcBorders>
              <w:tl2br w:val="nil"/>
              <w:tr2bl w:val="nil"/>
            </w:tcBorders>
            <w:vAlign w:val="center"/>
          </w:tcPr>
          <w:p w14:paraId="3946484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0" w:lineRule="exact"/>
              <w:ind w:left="0" w:right="0" w:firstLine="0" w:firstLineChars="0"/>
              <w:jc w:val="center"/>
              <w:textAlignment w:val="auto"/>
              <w:rPr>
                <w:rFonts w:hint="default" w:hAnsi="宋体" w:cs="宋体"/>
                <w:color w:val="auto"/>
                <w:sz w:val="21"/>
                <w:szCs w:val="21"/>
              </w:rPr>
            </w:pPr>
            <w:r>
              <w:rPr>
                <w:rFonts w:hint="eastAsia" w:hAnsi="宋体" w:cs="宋体"/>
                <w:color w:val="auto"/>
                <w:sz w:val="21"/>
                <w:szCs w:val="21"/>
              </w:rPr>
              <w:t>通风系统不完善</w:t>
            </w:r>
          </w:p>
        </w:tc>
        <w:tc>
          <w:tcPr>
            <w:tcW w:w="2086" w:type="pct"/>
            <w:tcBorders>
              <w:tl2br w:val="nil"/>
              <w:tr2bl w:val="nil"/>
            </w:tcBorders>
            <w:vAlign w:val="center"/>
          </w:tcPr>
          <w:p w14:paraId="0556518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0" w:lineRule="exact"/>
              <w:ind w:left="0" w:right="0" w:firstLine="0" w:firstLineChars="0"/>
              <w:jc w:val="left"/>
              <w:textAlignment w:val="auto"/>
              <w:rPr>
                <w:rFonts w:hint="default" w:hAnsi="宋体" w:cs="宋体"/>
                <w:color w:val="auto"/>
                <w:sz w:val="21"/>
                <w:szCs w:val="21"/>
              </w:rPr>
            </w:pPr>
            <w:r>
              <w:rPr>
                <w:rFonts w:hint="eastAsia" w:hAnsi="宋体" w:cs="宋体"/>
                <w:color w:val="auto"/>
                <w:sz w:val="21"/>
                <w:szCs w:val="21"/>
              </w:rPr>
              <w:t>①未采用机械通风系统；②主扇风机无反风装置或反风装置失灵；③矿井通风设施不健全或失效。</w:t>
            </w:r>
          </w:p>
        </w:tc>
        <w:tc>
          <w:tcPr>
            <w:tcW w:w="923" w:type="pct"/>
            <w:tcBorders>
              <w:tl2br w:val="nil"/>
              <w:tr2bl w:val="nil"/>
            </w:tcBorders>
            <w:vAlign w:val="center"/>
          </w:tcPr>
          <w:p w14:paraId="043E796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0" w:lineRule="exact"/>
              <w:ind w:left="0" w:right="0" w:firstLine="0" w:firstLineChars="0"/>
              <w:jc w:val="left"/>
              <w:textAlignment w:val="auto"/>
              <w:rPr>
                <w:rFonts w:hint="default" w:hAnsi="宋体" w:cs="宋体"/>
                <w:color w:val="auto"/>
                <w:sz w:val="21"/>
                <w:szCs w:val="21"/>
              </w:rPr>
            </w:pPr>
            <w:r>
              <w:rPr>
                <w:rFonts w:hint="eastAsia" w:hAnsi="宋体" w:cs="宋体"/>
                <w:color w:val="auto"/>
                <w:sz w:val="21"/>
                <w:szCs w:val="21"/>
              </w:rPr>
              <w:t>井下风流紊乱火灾无法控制，人员撤离和救护困难。</w:t>
            </w:r>
          </w:p>
        </w:tc>
        <w:tc>
          <w:tcPr>
            <w:tcW w:w="711" w:type="pct"/>
            <w:tcBorders>
              <w:tl2br w:val="nil"/>
              <w:tr2bl w:val="nil"/>
            </w:tcBorders>
            <w:vAlign w:val="center"/>
          </w:tcPr>
          <w:p w14:paraId="509A00E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0" w:lineRule="exact"/>
              <w:ind w:left="0" w:leftChars="0" w:right="0" w:rightChars="0" w:firstLine="0" w:firstLineChars="0"/>
              <w:textAlignment w:val="auto"/>
              <w:rPr>
                <w:rFonts w:hint="eastAsia" w:ascii="宋体" w:hAnsi="宋体" w:eastAsia="宋体" w:cs="宋体"/>
                <w:color w:val="auto"/>
                <w:kern w:val="2"/>
                <w:sz w:val="21"/>
                <w:szCs w:val="21"/>
                <w:lang w:val="en-US" w:eastAsia="zh-CN" w:bidi="ar-SA"/>
              </w:rPr>
            </w:pPr>
            <w:r>
              <w:rPr>
                <w:rFonts w:hint="eastAsia" w:hAnsi="宋体" w:cs="宋体"/>
                <w:color w:val="auto"/>
                <w:sz w:val="21"/>
                <w:szCs w:val="21"/>
              </w:rPr>
              <w:t>加重灾情，酿成灾难。</w:t>
            </w:r>
          </w:p>
        </w:tc>
        <w:tc>
          <w:tcPr>
            <w:tcW w:w="400" w:type="pct"/>
            <w:tcBorders>
              <w:tl2br w:val="nil"/>
              <w:tr2bl w:val="nil"/>
            </w:tcBorders>
            <w:vAlign w:val="center"/>
          </w:tcPr>
          <w:p w14:paraId="6FBFAE8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0" w:lineRule="exact"/>
              <w:ind w:left="0" w:right="0" w:firstLine="0" w:firstLineChars="0"/>
              <w:jc w:val="center"/>
              <w:textAlignment w:val="auto"/>
              <w:rPr>
                <w:rFonts w:hint="default" w:hAnsi="宋体" w:cs="宋体"/>
                <w:color w:val="auto"/>
                <w:sz w:val="21"/>
                <w:szCs w:val="21"/>
              </w:rPr>
            </w:pPr>
            <w:r>
              <w:rPr>
                <w:rFonts w:hint="eastAsia" w:hAnsi="宋体" w:cs="宋体"/>
                <w:color w:val="auto"/>
                <w:sz w:val="21"/>
                <w:szCs w:val="21"/>
              </w:rPr>
              <w:t>Ⅲ级</w:t>
            </w:r>
          </w:p>
        </w:tc>
        <w:tc>
          <w:tcPr>
            <w:tcW w:w="419" w:type="pct"/>
            <w:vMerge w:val="continue"/>
            <w:tcBorders>
              <w:tl2br w:val="nil"/>
              <w:tr2bl w:val="nil"/>
            </w:tcBorders>
            <w:vAlign w:val="center"/>
          </w:tcPr>
          <w:p w14:paraId="45867AF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0" w:lineRule="exact"/>
              <w:ind w:left="0" w:right="0" w:firstLine="0" w:firstLineChars="0"/>
              <w:textAlignment w:val="auto"/>
              <w:rPr>
                <w:rFonts w:hint="default" w:hAnsi="宋体" w:cs="宋体"/>
                <w:color w:val="auto"/>
                <w:sz w:val="21"/>
                <w:szCs w:val="21"/>
              </w:rPr>
            </w:pPr>
          </w:p>
        </w:tc>
      </w:tr>
      <w:tr w14:paraId="2A931D6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1060" w:hRule="atLeast"/>
          <w:jc w:val="center"/>
        </w:trPr>
        <w:tc>
          <w:tcPr>
            <w:tcW w:w="459" w:type="pct"/>
            <w:tcBorders>
              <w:tl2br w:val="nil"/>
              <w:tr2bl w:val="nil"/>
            </w:tcBorders>
            <w:vAlign w:val="center"/>
          </w:tcPr>
          <w:p w14:paraId="39C21FFB">
            <w:pPr>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10" w:lineRule="exact"/>
              <w:ind w:left="0" w:right="0" w:firstLine="0" w:firstLineChars="0"/>
              <w:jc w:val="center"/>
              <w:textAlignment w:val="auto"/>
              <w:rPr>
                <w:rFonts w:hint="default" w:hAnsi="宋体" w:cs="宋体"/>
                <w:color w:val="auto"/>
                <w:sz w:val="21"/>
                <w:szCs w:val="21"/>
              </w:rPr>
            </w:pPr>
            <w:r>
              <w:rPr>
                <w:rFonts w:hint="eastAsia" w:hAnsi="宋体" w:cs="宋体"/>
                <w:color w:val="auto"/>
                <w:sz w:val="21"/>
                <w:szCs w:val="21"/>
              </w:rPr>
              <w:t>管理</w:t>
            </w:r>
          </w:p>
          <w:p w14:paraId="71386125">
            <w:pPr>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10" w:lineRule="exact"/>
              <w:ind w:left="0" w:right="0" w:firstLine="0" w:firstLineChars="0"/>
              <w:jc w:val="center"/>
              <w:textAlignment w:val="auto"/>
              <w:rPr>
                <w:rFonts w:hint="default" w:hAnsi="宋体" w:cs="宋体"/>
                <w:color w:val="auto"/>
                <w:sz w:val="21"/>
                <w:szCs w:val="21"/>
              </w:rPr>
            </w:pPr>
            <w:r>
              <w:rPr>
                <w:rFonts w:hint="eastAsia" w:hAnsi="宋体" w:cs="宋体"/>
                <w:color w:val="auto"/>
                <w:sz w:val="21"/>
                <w:szCs w:val="21"/>
              </w:rPr>
              <w:t>不善</w:t>
            </w:r>
          </w:p>
        </w:tc>
        <w:tc>
          <w:tcPr>
            <w:tcW w:w="2086" w:type="pct"/>
            <w:tcBorders>
              <w:tl2br w:val="nil"/>
              <w:tr2bl w:val="nil"/>
            </w:tcBorders>
            <w:vAlign w:val="center"/>
          </w:tcPr>
          <w:p w14:paraId="11ABC86F">
            <w:pPr>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10" w:lineRule="exact"/>
              <w:ind w:left="0" w:right="0" w:firstLine="0" w:firstLineChars="0"/>
              <w:jc w:val="left"/>
              <w:textAlignment w:val="auto"/>
              <w:rPr>
                <w:rFonts w:hint="default" w:hAnsi="宋体" w:cs="宋体"/>
                <w:color w:val="auto"/>
                <w:sz w:val="21"/>
                <w:szCs w:val="21"/>
              </w:rPr>
            </w:pPr>
            <w:r>
              <w:rPr>
                <w:rFonts w:hint="eastAsia" w:hAnsi="宋体" w:cs="宋体"/>
                <w:color w:val="auto"/>
                <w:sz w:val="21"/>
                <w:szCs w:val="21"/>
              </w:rPr>
              <w:t>①火炉或电炉取暖、电气焊等无严格的管理措施；②电器设备及缆线绝缘破损、老化，未及时更换，或根本无固定储存地点，随意堆放；③动火作业无安全措施。</w:t>
            </w:r>
          </w:p>
        </w:tc>
        <w:tc>
          <w:tcPr>
            <w:tcW w:w="923" w:type="pct"/>
            <w:tcBorders>
              <w:tl2br w:val="nil"/>
              <w:tr2bl w:val="nil"/>
            </w:tcBorders>
            <w:vAlign w:val="center"/>
          </w:tcPr>
          <w:p w14:paraId="7E490ACD">
            <w:pPr>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10" w:lineRule="exact"/>
              <w:ind w:left="0" w:right="0" w:firstLine="0" w:firstLineChars="0"/>
              <w:jc w:val="left"/>
              <w:textAlignment w:val="auto"/>
              <w:rPr>
                <w:rFonts w:hint="default" w:hAnsi="宋体" w:cs="宋体"/>
                <w:color w:val="auto"/>
                <w:sz w:val="21"/>
                <w:szCs w:val="21"/>
              </w:rPr>
            </w:pPr>
            <w:r>
              <w:rPr>
                <w:rFonts w:hint="eastAsia" w:hAnsi="宋体" w:cs="宋体"/>
                <w:color w:val="auto"/>
                <w:sz w:val="21"/>
                <w:szCs w:val="21"/>
              </w:rPr>
              <w:t>①诱发火灾；②消防救护困难；③发生火灾后延误灭火和救护时机。</w:t>
            </w:r>
          </w:p>
        </w:tc>
        <w:tc>
          <w:tcPr>
            <w:tcW w:w="711" w:type="pct"/>
            <w:tcBorders>
              <w:tl2br w:val="nil"/>
              <w:tr2bl w:val="nil"/>
            </w:tcBorders>
            <w:vAlign w:val="center"/>
          </w:tcPr>
          <w:p w14:paraId="3C5A439E">
            <w:pPr>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10" w:lineRule="exact"/>
              <w:ind w:left="0" w:leftChars="0" w:right="0" w:rightChars="0" w:firstLine="0" w:firstLineChars="0"/>
              <w:textAlignment w:val="auto"/>
              <w:rPr>
                <w:rFonts w:hint="eastAsia" w:ascii="宋体" w:hAnsi="宋体" w:eastAsia="宋体" w:cs="宋体"/>
                <w:color w:val="auto"/>
                <w:kern w:val="2"/>
                <w:sz w:val="21"/>
                <w:szCs w:val="21"/>
                <w:lang w:val="en-US" w:eastAsia="zh-CN" w:bidi="ar-SA"/>
              </w:rPr>
            </w:pPr>
            <w:r>
              <w:rPr>
                <w:rFonts w:hint="eastAsia" w:hAnsi="宋体" w:cs="宋体"/>
                <w:color w:val="auto"/>
                <w:sz w:val="21"/>
                <w:szCs w:val="21"/>
              </w:rPr>
              <w:t>造成人员伤亡和财产损失，加重事故后果。</w:t>
            </w:r>
          </w:p>
        </w:tc>
        <w:tc>
          <w:tcPr>
            <w:tcW w:w="400" w:type="pct"/>
            <w:tcBorders>
              <w:tl2br w:val="nil"/>
              <w:tr2bl w:val="nil"/>
            </w:tcBorders>
            <w:vAlign w:val="center"/>
          </w:tcPr>
          <w:p w14:paraId="7930B432">
            <w:pPr>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10" w:lineRule="exact"/>
              <w:ind w:left="0" w:right="0" w:firstLine="0" w:firstLineChars="0"/>
              <w:jc w:val="center"/>
              <w:textAlignment w:val="auto"/>
              <w:rPr>
                <w:rFonts w:hint="default" w:hAnsi="宋体" w:cs="宋体"/>
                <w:color w:val="auto"/>
                <w:sz w:val="21"/>
                <w:szCs w:val="21"/>
              </w:rPr>
            </w:pPr>
            <w:r>
              <w:rPr>
                <w:rFonts w:hint="eastAsia" w:hAnsi="宋体" w:cs="宋体"/>
                <w:color w:val="auto"/>
                <w:sz w:val="21"/>
                <w:szCs w:val="21"/>
              </w:rPr>
              <w:t>Ⅲ级</w:t>
            </w:r>
          </w:p>
        </w:tc>
        <w:tc>
          <w:tcPr>
            <w:tcW w:w="419" w:type="pct"/>
            <w:vMerge w:val="continue"/>
            <w:tcBorders>
              <w:tl2br w:val="nil"/>
              <w:tr2bl w:val="nil"/>
            </w:tcBorders>
            <w:vAlign w:val="center"/>
          </w:tcPr>
          <w:p w14:paraId="3E92394B">
            <w:pPr>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10" w:lineRule="exact"/>
              <w:ind w:left="0" w:right="0" w:firstLine="0" w:firstLineChars="0"/>
              <w:textAlignment w:val="auto"/>
              <w:rPr>
                <w:rFonts w:hint="default" w:hAnsi="宋体" w:cs="宋体"/>
                <w:color w:val="auto"/>
                <w:sz w:val="21"/>
                <w:szCs w:val="21"/>
              </w:rPr>
            </w:pPr>
          </w:p>
        </w:tc>
      </w:tr>
      <w:tr w14:paraId="12F8359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1024" w:hRule="atLeast"/>
          <w:jc w:val="center"/>
        </w:trPr>
        <w:tc>
          <w:tcPr>
            <w:tcW w:w="459" w:type="pct"/>
            <w:tcBorders>
              <w:tl2br w:val="nil"/>
              <w:tr2bl w:val="nil"/>
            </w:tcBorders>
            <w:vAlign w:val="center"/>
          </w:tcPr>
          <w:p w14:paraId="2741791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0" w:lineRule="exact"/>
              <w:ind w:left="0" w:right="0" w:firstLine="0" w:firstLineChars="0"/>
              <w:jc w:val="center"/>
              <w:textAlignment w:val="auto"/>
              <w:rPr>
                <w:rFonts w:hint="default" w:hAnsi="宋体" w:cs="宋体"/>
                <w:color w:val="auto"/>
                <w:sz w:val="21"/>
                <w:szCs w:val="21"/>
              </w:rPr>
            </w:pPr>
            <w:r>
              <w:rPr>
                <w:rFonts w:hint="eastAsia" w:hAnsi="宋体" w:cs="宋体"/>
                <w:color w:val="auto"/>
                <w:sz w:val="21"/>
                <w:szCs w:val="21"/>
              </w:rPr>
              <w:t>避灾路线不畅通</w:t>
            </w:r>
          </w:p>
        </w:tc>
        <w:tc>
          <w:tcPr>
            <w:tcW w:w="2086" w:type="pct"/>
            <w:tcBorders>
              <w:tl2br w:val="nil"/>
              <w:tr2bl w:val="nil"/>
            </w:tcBorders>
            <w:vAlign w:val="center"/>
          </w:tcPr>
          <w:p w14:paraId="2907755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0" w:lineRule="exact"/>
              <w:ind w:left="0" w:right="0" w:firstLine="0" w:firstLineChars="0"/>
              <w:jc w:val="left"/>
              <w:textAlignment w:val="auto"/>
              <w:rPr>
                <w:rFonts w:hint="default" w:hAnsi="宋体" w:cs="宋体"/>
                <w:color w:val="auto"/>
                <w:sz w:val="21"/>
                <w:szCs w:val="21"/>
              </w:rPr>
            </w:pPr>
            <w:r>
              <w:rPr>
                <w:rFonts w:hint="eastAsia" w:hAnsi="宋体" w:cs="宋体"/>
                <w:color w:val="auto"/>
                <w:sz w:val="21"/>
                <w:szCs w:val="21"/>
              </w:rPr>
              <w:t>①矿井和采区不具备两个以上符合规定的安全出口；②井下无明确的指示路标；③矿山未进行避灾演练，井下作业人员不熟悉避灾路线。</w:t>
            </w:r>
          </w:p>
        </w:tc>
        <w:tc>
          <w:tcPr>
            <w:tcW w:w="923" w:type="pct"/>
            <w:tcBorders>
              <w:tl2br w:val="nil"/>
              <w:tr2bl w:val="nil"/>
            </w:tcBorders>
            <w:vAlign w:val="center"/>
          </w:tcPr>
          <w:p w14:paraId="5DDA011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0" w:lineRule="exact"/>
              <w:ind w:left="0" w:right="0" w:firstLine="0" w:firstLineChars="0"/>
              <w:jc w:val="left"/>
              <w:textAlignment w:val="auto"/>
              <w:rPr>
                <w:rFonts w:hint="default" w:hAnsi="宋体" w:cs="宋体"/>
                <w:color w:val="auto"/>
                <w:sz w:val="21"/>
                <w:szCs w:val="21"/>
              </w:rPr>
            </w:pPr>
            <w:r>
              <w:rPr>
                <w:rFonts w:hint="eastAsia" w:hAnsi="宋体" w:cs="宋体"/>
                <w:color w:val="auto"/>
                <w:sz w:val="21"/>
                <w:szCs w:val="21"/>
              </w:rPr>
              <w:t>发生火灾后，人员撤离和救护困难。</w:t>
            </w:r>
          </w:p>
        </w:tc>
        <w:tc>
          <w:tcPr>
            <w:tcW w:w="711" w:type="pct"/>
            <w:tcBorders>
              <w:tl2br w:val="nil"/>
              <w:tr2bl w:val="nil"/>
            </w:tcBorders>
            <w:vAlign w:val="center"/>
          </w:tcPr>
          <w:p w14:paraId="76C9A67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0" w:lineRule="exact"/>
              <w:ind w:left="0" w:leftChars="0" w:right="0" w:rightChars="0" w:firstLine="0" w:firstLineChars="0"/>
              <w:textAlignment w:val="auto"/>
              <w:rPr>
                <w:rFonts w:hint="eastAsia" w:ascii="宋体" w:hAnsi="宋体" w:eastAsia="宋体" w:cs="宋体"/>
                <w:color w:val="auto"/>
                <w:kern w:val="2"/>
                <w:sz w:val="21"/>
                <w:szCs w:val="21"/>
                <w:lang w:val="en-US" w:eastAsia="zh-CN" w:bidi="ar-SA"/>
              </w:rPr>
            </w:pPr>
            <w:r>
              <w:rPr>
                <w:rFonts w:hint="eastAsia" w:hAnsi="宋体" w:cs="宋体"/>
                <w:color w:val="auto"/>
                <w:sz w:val="21"/>
                <w:szCs w:val="21"/>
              </w:rPr>
              <w:t>加重灾情。</w:t>
            </w:r>
          </w:p>
        </w:tc>
        <w:tc>
          <w:tcPr>
            <w:tcW w:w="400" w:type="pct"/>
            <w:tcBorders>
              <w:tl2br w:val="nil"/>
              <w:tr2bl w:val="nil"/>
            </w:tcBorders>
            <w:vAlign w:val="center"/>
          </w:tcPr>
          <w:p w14:paraId="1EF808F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0" w:lineRule="exact"/>
              <w:ind w:left="0" w:right="0" w:firstLine="0" w:firstLineChars="0"/>
              <w:jc w:val="center"/>
              <w:textAlignment w:val="auto"/>
              <w:rPr>
                <w:rFonts w:hint="default" w:hAnsi="宋体" w:cs="宋体"/>
                <w:color w:val="auto"/>
                <w:sz w:val="21"/>
                <w:szCs w:val="21"/>
              </w:rPr>
            </w:pPr>
            <w:r>
              <w:rPr>
                <w:rFonts w:hint="eastAsia" w:hAnsi="宋体" w:cs="宋体"/>
                <w:color w:val="auto"/>
                <w:sz w:val="21"/>
                <w:szCs w:val="21"/>
              </w:rPr>
              <w:t>Ⅲ级</w:t>
            </w:r>
          </w:p>
        </w:tc>
        <w:tc>
          <w:tcPr>
            <w:tcW w:w="419" w:type="pct"/>
            <w:vMerge w:val="continue"/>
            <w:tcBorders>
              <w:tl2br w:val="nil"/>
              <w:tr2bl w:val="nil"/>
            </w:tcBorders>
            <w:vAlign w:val="center"/>
          </w:tcPr>
          <w:p w14:paraId="14F8A37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0" w:lineRule="exact"/>
              <w:ind w:left="0" w:right="0" w:firstLine="0" w:firstLineChars="0"/>
              <w:textAlignment w:val="auto"/>
              <w:rPr>
                <w:rFonts w:hint="default" w:hAnsi="宋体" w:cs="宋体"/>
                <w:color w:val="auto"/>
                <w:sz w:val="21"/>
                <w:szCs w:val="21"/>
              </w:rPr>
            </w:pPr>
          </w:p>
        </w:tc>
      </w:tr>
      <w:tr w14:paraId="7C08AC2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816" w:hRule="atLeast"/>
          <w:jc w:val="center"/>
        </w:trPr>
        <w:tc>
          <w:tcPr>
            <w:tcW w:w="459" w:type="pct"/>
            <w:tcBorders>
              <w:tl2br w:val="nil"/>
              <w:tr2bl w:val="nil"/>
            </w:tcBorders>
            <w:vAlign w:val="center"/>
          </w:tcPr>
          <w:p w14:paraId="2C98961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0" w:lineRule="exact"/>
              <w:ind w:left="0" w:right="0" w:firstLine="0" w:firstLineChars="0"/>
              <w:jc w:val="center"/>
              <w:textAlignment w:val="auto"/>
              <w:rPr>
                <w:rFonts w:hint="default" w:hAnsi="宋体" w:cs="宋体"/>
                <w:color w:val="auto"/>
                <w:sz w:val="21"/>
                <w:szCs w:val="21"/>
              </w:rPr>
            </w:pPr>
            <w:r>
              <w:rPr>
                <w:rFonts w:hint="eastAsia" w:hAnsi="宋体" w:cs="宋体"/>
                <w:color w:val="auto"/>
                <w:sz w:val="21"/>
                <w:szCs w:val="21"/>
              </w:rPr>
              <w:t>安全防护不力</w:t>
            </w:r>
          </w:p>
        </w:tc>
        <w:tc>
          <w:tcPr>
            <w:tcW w:w="2086" w:type="pct"/>
            <w:tcBorders>
              <w:tl2br w:val="nil"/>
              <w:tr2bl w:val="nil"/>
            </w:tcBorders>
            <w:vAlign w:val="center"/>
          </w:tcPr>
          <w:p w14:paraId="5D87A2F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0" w:lineRule="exact"/>
              <w:ind w:left="0" w:right="0" w:firstLine="0" w:firstLineChars="0"/>
              <w:jc w:val="left"/>
              <w:textAlignment w:val="auto"/>
              <w:rPr>
                <w:rFonts w:hint="default" w:hAnsi="宋体" w:cs="宋体"/>
                <w:color w:val="auto"/>
                <w:sz w:val="21"/>
                <w:szCs w:val="21"/>
              </w:rPr>
            </w:pPr>
            <w:r>
              <w:rPr>
                <w:rFonts w:hint="eastAsia" w:hAnsi="宋体" w:cs="宋体"/>
                <w:color w:val="auto"/>
                <w:sz w:val="21"/>
                <w:szCs w:val="21"/>
              </w:rPr>
              <w:t>①井下作业人员不熟悉火灾避灾路线及防护自救知识；②作业人员佩戴的防护用品不符合标准。</w:t>
            </w:r>
          </w:p>
        </w:tc>
        <w:tc>
          <w:tcPr>
            <w:tcW w:w="923" w:type="pct"/>
            <w:tcBorders>
              <w:tl2br w:val="nil"/>
              <w:tr2bl w:val="nil"/>
            </w:tcBorders>
            <w:vAlign w:val="center"/>
          </w:tcPr>
          <w:p w14:paraId="3F1F4CF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0" w:lineRule="exact"/>
              <w:ind w:left="0" w:right="0" w:firstLine="0" w:firstLineChars="0"/>
              <w:jc w:val="left"/>
              <w:textAlignment w:val="auto"/>
              <w:rPr>
                <w:rFonts w:hint="default" w:hAnsi="宋体" w:cs="宋体"/>
                <w:color w:val="auto"/>
                <w:sz w:val="21"/>
                <w:szCs w:val="21"/>
              </w:rPr>
            </w:pPr>
            <w:r>
              <w:rPr>
                <w:rFonts w:hint="eastAsia" w:hAnsi="宋体" w:cs="宋体"/>
                <w:color w:val="auto"/>
                <w:sz w:val="21"/>
                <w:szCs w:val="21"/>
              </w:rPr>
              <w:t>发生火灾后，人员无自救能力。</w:t>
            </w:r>
          </w:p>
        </w:tc>
        <w:tc>
          <w:tcPr>
            <w:tcW w:w="711" w:type="pct"/>
            <w:tcBorders>
              <w:tl2br w:val="nil"/>
              <w:tr2bl w:val="nil"/>
            </w:tcBorders>
            <w:vAlign w:val="center"/>
          </w:tcPr>
          <w:p w14:paraId="16F629A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0" w:lineRule="exact"/>
              <w:ind w:left="0" w:leftChars="0" w:right="0" w:rightChars="0" w:firstLine="0" w:firstLineChars="0"/>
              <w:textAlignment w:val="auto"/>
              <w:rPr>
                <w:rFonts w:hint="eastAsia" w:ascii="宋体" w:hAnsi="宋体" w:eastAsia="宋体" w:cs="宋体"/>
                <w:color w:val="auto"/>
                <w:kern w:val="2"/>
                <w:sz w:val="21"/>
                <w:szCs w:val="21"/>
                <w:lang w:val="en-US" w:eastAsia="zh-CN" w:bidi="ar-SA"/>
              </w:rPr>
            </w:pPr>
            <w:r>
              <w:rPr>
                <w:rFonts w:hint="eastAsia" w:hAnsi="宋体" w:cs="宋体"/>
                <w:color w:val="auto"/>
                <w:sz w:val="21"/>
                <w:szCs w:val="21"/>
              </w:rPr>
              <w:t>造成人员伤亡。</w:t>
            </w:r>
          </w:p>
        </w:tc>
        <w:tc>
          <w:tcPr>
            <w:tcW w:w="400" w:type="pct"/>
            <w:tcBorders>
              <w:tl2br w:val="nil"/>
              <w:tr2bl w:val="nil"/>
            </w:tcBorders>
            <w:vAlign w:val="center"/>
          </w:tcPr>
          <w:p w14:paraId="40ED912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0" w:lineRule="exact"/>
              <w:ind w:left="0" w:right="0" w:firstLine="0" w:firstLineChars="0"/>
              <w:jc w:val="center"/>
              <w:textAlignment w:val="auto"/>
              <w:rPr>
                <w:rFonts w:hint="default" w:hAnsi="宋体" w:cs="宋体"/>
                <w:color w:val="auto"/>
                <w:sz w:val="21"/>
                <w:szCs w:val="21"/>
              </w:rPr>
            </w:pPr>
            <w:r>
              <w:rPr>
                <w:rFonts w:hint="eastAsia" w:hAnsi="宋体" w:cs="宋体"/>
                <w:color w:val="auto"/>
                <w:sz w:val="21"/>
                <w:szCs w:val="21"/>
              </w:rPr>
              <w:t>Ⅲ级</w:t>
            </w:r>
          </w:p>
        </w:tc>
        <w:tc>
          <w:tcPr>
            <w:tcW w:w="419" w:type="pct"/>
            <w:vMerge w:val="continue"/>
            <w:tcBorders>
              <w:tl2br w:val="nil"/>
              <w:tr2bl w:val="nil"/>
            </w:tcBorders>
            <w:vAlign w:val="center"/>
          </w:tcPr>
          <w:p w14:paraId="71E54B4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0" w:lineRule="exact"/>
              <w:ind w:left="0" w:right="0" w:firstLine="0" w:firstLineChars="0"/>
              <w:textAlignment w:val="auto"/>
              <w:rPr>
                <w:rFonts w:hint="default" w:hAnsi="宋体" w:cs="宋体"/>
                <w:color w:val="auto"/>
                <w:sz w:val="21"/>
                <w:szCs w:val="21"/>
              </w:rPr>
            </w:pPr>
          </w:p>
        </w:tc>
      </w:tr>
    </w:tbl>
    <w:p w14:paraId="16A100FC">
      <w:pPr>
        <w:ind w:firstLine="560"/>
        <w:rPr>
          <w:color w:val="auto"/>
        </w:rPr>
      </w:pPr>
      <w:r>
        <w:rPr>
          <w:rFonts w:hint="eastAsia"/>
          <w:color w:val="auto"/>
        </w:rPr>
        <w:t>通过预先危险性分析得知，防灭火单元各</w:t>
      </w:r>
      <w:r>
        <w:rPr>
          <w:color w:val="auto"/>
        </w:rPr>
        <w:t>危险因素</w:t>
      </w:r>
      <w:r>
        <w:rPr>
          <w:rFonts w:hint="eastAsia"/>
          <w:color w:val="auto"/>
        </w:rPr>
        <w:t>危险等级均属于Ⅲ级，是危险的，基建生产过程中需严加防范，避免矿山火灾的发生。</w:t>
      </w:r>
    </w:p>
    <w:p w14:paraId="336D5890">
      <w:pPr>
        <w:pStyle w:val="5"/>
        <w:keepNext/>
        <w:keepLines/>
        <w:pageBreakBefore w:val="0"/>
        <w:widowControl w:val="0"/>
        <w:kinsoku/>
        <w:wordWrap/>
        <w:overflowPunct/>
        <w:topLinePunct w:val="0"/>
        <w:autoSpaceDE/>
        <w:autoSpaceDN/>
        <w:bidi w:val="0"/>
        <w:adjustRightInd/>
        <w:snapToGrid/>
        <w:spacing w:before="120" w:after="120"/>
        <w:ind w:firstLine="560" w:firstLineChars="200"/>
        <w:textAlignment w:val="auto"/>
        <w:rPr>
          <w:b/>
          <w:bCs/>
          <w:color w:val="auto"/>
        </w:rPr>
      </w:pPr>
      <w:r>
        <w:rPr>
          <w:rFonts w:hint="eastAsia"/>
          <w:b/>
          <w:bCs/>
          <w:color w:val="auto"/>
        </w:rPr>
        <w:t>3.</w:t>
      </w:r>
      <w:r>
        <w:rPr>
          <w:rFonts w:hint="eastAsia"/>
          <w:b/>
          <w:bCs/>
          <w:color w:val="auto"/>
          <w:lang w:val="en-US" w:eastAsia="zh-CN"/>
        </w:rPr>
        <w:t>7</w:t>
      </w:r>
      <w:r>
        <w:rPr>
          <w:rFonts w:hint="eastAsia"/>
          <w:b/>
          <w:bCs/>
          <w:color w:val="auto"/>
        </w:rPr>
        <w:t>.2.2 防灭火单元符合性评价</w:t>
      </w:r>
    </w:p>
    <w:p w14:paraId="3C9E509F">
      <w:pPr>
        <w:autoSpaceDE w:val="0"/>
        <w:autoSpaceDN w:val="0"/>
        <w:adjustRightInd w:val="0"/>
        <w:ind w:firstLine="0" w:firstLineChars="0"/>
        <w:jc w:val="center"/>
        <w:rPr>
          <w:rFonts w:cs="宋体"/>
          <w:b/>
          <w:color w:val="auto"/>
          <w:szCs w:val="28"/>
        </w:rPr>
      </w:pPr>
      <w:r>
        <w:rPr>
          <w:rFonts w:hint="eastAsia" w:cs="宋体"/>
          <w:b/>
          <w:color w:val="auto"/>
          <w:szCs w:val="28"/>
          <w:lang w:val="zh-CN"/>
        </w:rPr>
        <w:t>表3.</w:t>
      </w:r>
      <w:r>
        <w:rPr>
          <w:rFonts w:hint="eastAsia" w:cs="宋体"/>
          <w:b/>
          <w:color w:val="auto"/>
          <w:szCs w:val="28"/>
          <w:lang w:val="en-US" w:eastAsia="zh-CN"/>
        </w:rPr>
        <w:t>7</w:t>
      </w:r>
      <w:r>
        <w:rPr>
          <w:rFonts w:hint="eastAsia" w:cs="宋体"/>
          <w:b/>
          <w:color w:val="auto"/>
          <w:szCs w:val="28"/>
        </w:rPr>
        <w:t xml:space="preserve">-4 </w:t>
      </w:r>
      <w:r>
        <w:rPr>
          <w:rFonts w:hint="eastAsia" w:cs="宋体"/>
          <w:b/>
          <w:color w:val="auto"/>
          <w:szCs w:val="28"/>
          <w:lang w:val="zh-CN"/>
        </w:rPr>
        <w:t>防灭火单元</w:t>
      </w:r>
      <w:r>
        <w:rPr>
          <w:rFonts w:hint="eastAsia" w:cs="宋体"/>
          <w:b/>
          <w:color w:val="auto"/>
          <w:szCs w:val="28"/>
        </w:rPr>
        <w:t>安全检查表</w:t>
      </w:r>
    </w:p>
    <w:tbl>
      <w:tblPr>
        <w:tblStyle w:val="25"/>
        <w:tblW w:w="4998"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672"/>
        <w:gridCol w:w="3362"/>
        <w:gridCol w:w="1834"/>
        <w:gridCol w:w="2921"/>
        <w:gridCol w:w="721"/>
      </w:tblGrid>
      <w:tr w14:paraId="0CA1C82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blHeader/>
          <w:jc w:val="center"/>
        </w:trPr>
        <w:tc>
          <w:tcPr>
            <w:tcW w:w="353" w:type="pct"/>
            <w:tcBorders>
              <w:tl2br w:val="nil"/>
              <w:tr2bl w:val="nil"/>
            </w:tcBorders>
            <w:vAlign w:val="center"/>
          </w:tcPr>
          <w:p w14:paraId="7125FF57">
            <w:pPr>
              <w:keepNext w:val="0"/>
              <w:keepLines w:val="0"/>
              <w:suppressLineNumbers w:val="0"/>
              <w:spacing w:before="0" w:beforeAutospacing="0" w:after="0" w:afterAutospacing="0" w:line="320" w:lineRule="exact"/>
              <w:ind w:left="0" w:right="0" w:firstLine="0" w:firstLineChars="0"/>
              <w:jc w:val="center"/>
              <w:rPr>
                <w:rFonts w:hint="default"/>
                <w:b/>
                <w:color w:val="auto"/>
                <w:sz w:val="21"/>
                <w:szCs w:val="21"/>
              </w:rPr>
            </w:pPr>
            <w:r>
              <w:rPr>
                <w:rFonts w:hint="eastAsia"/>
                <w:b/>
                <w:color w:val="auto"/>
                <w:sz w:val="21"/>
                <w:szCs w:val="21"/>
              </w:rPr>
              <w:t>序号</w:t>
            </w:r>
          </w:p>
        </w:tc>
        <w:tc>
          <w:tcPr>
            <w:tcW w:w="1767" w:type="pct"/>
            <w:tcBorders>
              <w:tl2br w:val="nil"/>
              <w:tr2bl w:val="nil"/>
            </w:tcBorders>
            <w:vAlign w:val="center"/>
          </w:tcPr>
          <w:p w14:paraId="35AE39C0">
            <w:pPr>
              <w:keepNext w:val="0"/>
              <w:keepLines w:val="0"/>
              <w:suppressLineNumbers w:val="0"/>
              <w:spacing w:before="0" w:beforeAutospacing="0" w:after="0" w:afterAutospacing="0" w:line="320" w:lineRule="exact"/>
              <w:ind w:left="0" w:right="0" w:firstLine="0" w:firstLineChars="0"/>
              <w:jc w:val="center"/>
              <w:rPr>
                <w:rFonts w:hint="default"/>
                <w:b/>
                <w:color w:val="auto"/>
                <w:sz w:val="21"/>
                <w:szCs w:val="21"/>
              </w:rPr>
            </w:pPr>
            <w:r>
              <w:rPr>
                <w:rFonts w:hint="eastAsia"/>
                <w:b/>
                <w:color w:val="auto"/>
                <w:sz w:val="21"/>
                <w:szCs w:val="21"/>
              </w:rPr>
              <w:t>检查内容</w:t>
            </w:r>
          </w:p>
        </w:tc>
        <w:tc>
          <w:tcPr>
            <w:tcW w:w="964" w:type="pct"/>
            <w:tcBorders>
              <w:tl2br w:val="nil"/>
              <w:tr2bl w:val="nil"/>
            </w:tcBorders>
            <w:vAlign w:val="center"/>
          </w:tcPr>
          <w:p w14:paraId="7ECA67B7">
            <w:pPr>
              <w:keepNext w:val="0"/>
              <w:keepLines w:val="0"/>
              <w:suppressLineNumbers w:val="0"/>
              <w:spacing w:before="0" w:beforeAutospacing="0" w:after="0" w:afterAutospacing="0" w:line="320" w:lineRule="exact"/>
              <w:ind w:left="0" w:right="0" w:firstLine="0" w:firstLineChars="0"/>
              <w:jc w:val="center"/>
              <w:rPr>
                <w:rFonts w:hint="default"/>
                <w:b/>
                <w:color w:val="auto"/>
                <w:sz w:val="21"/>
                <w:szCs w:val="21"/>
              </w:rPr>
            </w:pPr>
            <w:r>
              <w:rPr>
                <w:rFonts w:hint="eastAsia"/>
                <w:b/>
                <w:color w:val="auto"/>
                <w:sz w:val="21"/>
                <w:szCs w:val="21"/>
              </w:rPr>
              <w:t>依据</w:t>
            </w:r>
          </w:p>
        </w:tc>
        <w:tc>
          <w:tcPr>
            <w:tcW w:w="1535" w:type="pct"/>
            <w:tcBorders>
              <w:tl2br w:val="nil"/>
              <w:tr2bl w:val="nil"/>
            </w:tcBorders>
            <w:vAlign w:val="center"/>
          </w:tcPr>
          <w:p w14:paraId="25874B7B">
            <w:pPr>
              <w:keepNext w:val="0"/>
              <w:keepLines w:val="0"/>
              <w:suppressLineNumbers w:val="0"/>
              <w:spacing w:before="0" w:beforeAutospacing="0" w:after="0" w:afterAutospacing="0" w:line="320" w:lineRule="exact"/>
              <w:ind w:left="0" w:right="0" w:firstLine="0" w:firstLineChars="0"/>
              <w:jc w:val="center"/>
              <w:rPr>
                <w:rFonts w:hint="default"/>
                <w:b/>
                <w:color w:val="auto"/>
                <w:sz w:val="21"/>
                <w:szCs w:val="21"/>
              </w:rPr>
            </w:pPr>
            <w:r>
              <w:rPr>
                <w:rFonts w:hint="eastAsia"/>
                <w:b/>
                <w:color w:val="auto"/>
                <w:sz w:val="21"/>
                <w:szCs w:val="21"/>
              </w:rPr>
              <w:t>检查情况</w:t>
            </w:r>
          </w:p>
        </w:tc>
        <w:tc>
          <w:tcPr>
            <w:tcW w:w="379" w:type="pct"/>
            <w:tcBorders>
              <w:tl2br w:val="nil"/>
              <w:tr2bl w:val="nil"/>
            </w:tcBorders>
            <w:vAlign w:val="center"/>
          </w:tcPr>
          <w:p w14:paraId="1FA274A4">
            <w:pPr>
              <w:keepNext w:val="0"/>
              <w:keepLines w:val="0"/>
              <w:suppressLineNumbers w:val="0"/>
              <w:spacing w:before="0" w:beforeAutospacing="0" w:after="0" w:afterAutospacing="0" w:line="320" w:lineRule="exact"/>
              <w:ind w:left="0" w:right="0" w:firstLine="0" w:firstLineChars="0"/>
              <w:jc w:val="center"/>
              <w:rPr>
                <w:rFonts w:hint="default"/>
                <w:b/>
                <w:color w:val="auto"/>
                <w:sz w:val="21"/>
                <w:szCs w:val="21"/>
              </w:rPr>
            </w:pPr>
            <w:r>
              <w:rPr>
                <w:rFonts w:hint="eastAsia"/>
                <w:b/>
                <w:color w:val="auto"/>
                <w:sz w:val="21"/>
                <w:szCs w:val="21"/>
              </w:rPr>
              <w:t>检查结果</w:t>
            </w:r>
          </w:p>
        </w:tc>
      </w:tr>
      <w:tr w14:paraId="0418F8E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353" w:type="pct"/>
            <w:tcBorders>
              <w:tl2br w:val="nil"/>
              <w:tr2bl w:val="nil"/>
            </w:tcBorders>
            <w:vAlign w:val="center"/>
          </w:tcPr>
          <w:p w14:paraId="02B87947">
            <w:pPr>
              <w:keepNext w:val="0"/>
              <w:keepLines w:val="0"/>
              <w:suppressLineNumbers w:val="0"/>
              <w:autoSpaceDE w:val="0"/>
              <w:autoSpaceDN w:val="0"/>
              <w:adjustRightInd w:val="0"/>
              <w:spacing w:before="0" w:beforeAutospacing="0" w:after="0" w:afterAutospacing="0" w:line="320" w:lineRule="exact"/>
              <w:ind w:left="0" w:right="0" w:firstLine="0" w:firstLineChars="0"/>
              <w:jc w:val="center"/>
              <w:rPr>
                <w:rFonts w:hint="default"/>
                <w:color w:val="auto"/>
                <w:sz w:val="21"/>
                <w:szCs w:val="21"/>
              </w:rPr>
            </w:pPr>
            <w:r>
              <w:rPr>
                <w:rFonts w:hint="eastAsia"/>
                <w:color w:val="auto"/>
                <w:sz w:val="21"/>
                <w:szCs w:val="21"/>
              </w:rPr>
              <w:t>1</w:t>
            </w:r>
          </w:p>
        </w:tc>
        <w:tc>
          <w:tcPr>
            <w:tcW w:w="1767" w:type="pct"/>
            <w:tcBorders>
              <w:tl2br w:val="nil"/>
              <w:tr2bl w:val="nil"/>
            </w:tcBorders>
            <w:vAlign w:val="center"/>
          </w:tcPr>
          <w:p w14:paraId="3BCEFD26">
            <w:pPr>
              <w:keepNext w:val="0"/>
              <w:keepLines w:val="0"/>
              <w:suppressLineNumbers w:val="0"/>
              <w:autoSpaceDE w:val="0"/>
              <w:autoSpaceDN w:val="0"/>
              <w:adjustRightInd w:val="0"/>
              <w:spacing w:before="0" w:beforeAutospacing="0" w:after="0" w:afterAutospacing="0" w:line="320" w:lineRule="exact"/>
              <w:ind w:left="0" w:right="0" w:firstLine="0" w:firstLineChars="0"/>
              <w:rPr>
                <w:rFonts w:hint="default"/>
                <w:color w:val="auto"/>
                <w:sz w:val="21"/>
                <w:szCs w:val="21"/>
              </w:rPr>
            </w:pPr>
            <w:r>
              <w:rPr>
                <w:rFonts w:hint="eastAsia"/>
                <w:color w:val="auto"/>
                <w:sz w:val="21"/>
                <w:szCs w:val="21"/>
              </w:rPr>
              <w:t>地面防火应遵守5.7.2的相关规定。矿山建构筑物应建立消防设施，设置消防器材。</w:t>
            </w:r>
          </w:p>
        </w:tc>
        <w:tc>
          <w:tcPr>
            <w:tcW w:w="964" w:type="pct"/>
            <w:tcBorders>
              <w:tl2br w:val="nil"/>
              <w:tr2bl w:val="nil"/>
            </w:tcBorders>
            <w:vAlign w:val="center"/>
          </w:tcPr>
          <w:p w14:paraId="1ECBB5A6">
            <w:pPr>
              <w:keepNext w:val="0"/>
              <w:keepLines w:val="0"/>
              <w:suppressLineNumbers w:val="0"/>
              <w:spacing w:before="0" w:beforeAutospacing="0" w:after="0" w:afterAutospacing="0" w:line="320" w:lineRule="exact"/>
              <w:ind w:left="0" w:right="0" w:firstLine="0" w:firstLineChars="0"/>
              <w:jc w:val="center"/>
              <w:rPr>
                <w:rFonts w:hint="default"/>
                <w:color w:val="auto"/>
                <w:sz w:val="21"/>
                <w:szCs w:val="21"/>
              </w:rPr>
            </w:pPr>
            <w:r>
              <w:rPr>
                <w:rFonts w:hint="eastAsia"/>
                <w:color w:val="auto"/>
                <w:sz w:val="21"/>
                <w:szCs w:val="21"/>
              </w:rPr>
              <w:t>《金属非金属矿山安全规程》(</w:t>
            </w:r>
            <w:r>
              <w:rPr>
                <w:rFonts w:hint="eastAsia"/>
                <w:bCs/>
                <w:color w:val="auto"/>
                <w:sz w:val="21"/>
                <w:szCs w:val="21"/>
              </w:rPr>
              <w:t>GBl6423</w:t>
            </w:r>
            <w:r>
              <w:rPr>
                <w:rFonts w:hint="eastAsia"/>
                <w:color w:val="auto"/>
                <w:sz w:val="21"/>
                <w:szCs w:val="21"/>
              </w:rPr>
              <w:t>-</w:t>
            </w:r>
            <w:r>
              <w:rPr>
                <w:rFonts w:hint="eastAsia"/>
                <w:bCs/>
                <w:color w:val="auto"/>
                <w:sz w:val="21"/>
                <w:szCs w:val="21"/>
              </w:rPr>
              <w:t>2020</w:t>
            </w:r>
            <w:r>
              <w:rPr>
                <w:rFonts w:hint="eastAsia"/>
                <w:color w:val="auto"/>
                <w:sz w:val="21"/>
                <w:szCs w:val="21"/>
              </w:rPr>
              <w:t>)第6.9.1.1条</w:t>
            </w:r>
          </w:p>
        </w:tc>
        <w:tc>
          <w:tcPr>
            <w:tcW w:w="1535" w:type="pct"/>
            <w:tcBorders>
              <w:tl2br w:val="nil"/>
              <w:tr2bl w:val="nil"/>
            </w:tcBorders>
            <w:vAlign w:val="center"/>
          </w:tcPr>
          <w:p w14:paraId="7E1C46AF">
            <w:pPr>
              <w:keepNext w:val="0"/>
              <w:keepLines w:val="0"/>
              <w:suppressLineNumbers w:val="0"/>
              <w:autoSpaceDE w:val="0"/>
              <w:autoSpaceDN w:val="0"/>
              <w:adjustRightInd w:val="0"/>
              <w:spacing w:before="0" w:beforeAutospacing="0" w:after="0" w:afterAutospacing="0" w:line="320" w:lineRule="exact"/>
              <w:ind w:left="0" w:right="0" w:firstLine="0" w:firstLineChars="0"/>
              <w:rPr>
                <w:rFonts w:hint="eastAsia" w:eastAsia="宋体"/>
                <w:color w:val="auto"/>
                <w:sz w:val="21"/>
                <w:szCs w:val="21"/>
                <w:lang w:eastAsia="zh-CN"/>
              </w:rPr>
            </w:pPr>
            <w:r>
              <w:rPr>
                <w:rFonts w:hint="eastAsia"/>
                <w:color w:val="auto"/>
                <w:sz w:val="21"/>
                <w:szCs w:val="21"/>
                <w:lang w:eastAsia="zh-CN"/>
              </w:rPr>
              <w:t>根据可研报告，</w:t>
            </w:r>
            <w:r>
              <w:rPr>
                <w:rFonts w:hint="eastAsia"/>
                <w:color w:val="auto"/>
                <w:sz w:val="21"/>
                <w:szCs w:val="21"/>
                <w:lang w:val="en-US" w:eastAsia="zh-CN"/>
              </w:rPr>
              <w:t>空压机站、主通风房、维修机等配备灭火器</w:t>
            </w:r>
            <w:r>
              <w:rPr>
                <w:rFonts w:hint="eastAsia"/>
                <w:color w:val="auto"/>
                <w:sz w:val="21"/>
                <w:szCs w:val="21"/>
                <w:lang w:eastAsia="zh-CN"/>
              </w:rPr>
              <w:t>。</w:t>
            </w:r>
          </w:p>
        </w:tc>
        <w:tc>
          <w:tcPr>
            <w:tcW w:w="379" w:type="pct"/>
            <w:tcBorders>
              <w:tl2br w:val="nil"/>
              <w:tr2bl w:val="nil"/>
            </w:tcBorders>
            <w:vAlign w:val="center"/>
          </w:tcPr>
          <w:p w14:paraId="24B329F5">
            <w:pPr>
              <w:keepNext w:val="0"/>
              <w:keepLines w:val="0"/>
              <w:suppressLineNumbers w:val="0"/>
              <w:autoSpaceDE w:val="0"/>
              <w:autoSpaceDN w:val="0"/>
              <w:adjustRightInd w:val="0"/>
              <w:spacing w:before="0" w:beforeAutospacing="0" w:after="0" w:afterAutospacing="0" w:line="320" w:lineRule="exact"/>
              <w:ind w:left="0" w:right="0" w:firstLine="0" w:firstLineChars="0"/>
              <w:jc w:val="center"/>
              <w:rPr>
                <w:rFonts w:hint="default"/>
                <w:color w:val="auto"/>
                <w:sz w:val="21"/>
                <w:szCs w:val="21"/>
              </w:rPr>
            </w:pPr>
            <w:r>
              <w:rPr>
                <w:rFonts w:hint="eastAsia"/>
                <w:color w:val="auto"/>
                <w:sz w:val="21"/>
                <w:szCs w:val="21"/>
              </w:rPr>
              <w:t>符合</w:t>
            </w:r>
          </w:p>
        </w:tc>
      </w:tr>
      <w:tr w14:paraId="408B088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353" w:type="pct"/>
            <w:tcBorders>
              <w:tl2br w:val="nil"/>
              <w:tr2bl w:val="nil"/>
            </w:tcBorders>
            <w:vAlign w:val="center"/>
          </w:tcPr>
          <w:p w14:paraId="578643E9">
            <w:pPr>
              <w:keepNext w:val="0"/>
              <w:keepLines w:val="0"/>
              <w:suppressLineNumbers w:val="0"/>
              <w:autoSpaceDE w:val="0"/>
              <w:autoSpaceDN w:val="0"/>
              <w:adjustRightInd w:val="0"/>
              <w:spacing w:before="0" w:beforeAutospacing="0" w:after="0" w:afterAutospacing="0" w:line="320" w:lineRule="exact"/>
              <w:ind w:left="0" w:right="0" w:firstLine="0" w:firstLineChars="0"/>
              <w:jc w:val="center"/>
              <w:rPr>
                <w:rFonts w:hint="default"/>
                <w:color w:val="auto"/>
                <w:sz w:val="21"/>
                <w:szCs w:val="21"/>
              </w:rPr>
            </w:pPr>
            <w:r>
              <w:rPr>
                <w:rFonts w:hint="eastAsia"/>
                <w:color w:val="auto"/>
                <w:sz w:val="21"/>
                <w:szCs w:val="21"/>
              </w:rPr>
              <w:t>2</w:t>
            </w:r>
          </w:p>
        </w:tc>
        <w:tc>
          <w:tcPr>
            <w:tcW w:w="1767" w:type="pct"/>
            <w:tcBorders>
              <w:tl2br w:val="nil"/>
              <w:tr2bl w:val="nil"/>
            </w:tcBorders>
            <w:vAlign w:val="center"/>
          </w:tcPr>
          <w:p w14:paraId="0A5B8D6D">
            <w:pPr>
              <w:keepNext w:val="0"/>
              <w:keepLines w:val="0"/>
              <w:suppressLineNumbers w:val="0"/>
              <w:autoSpaceDE w:val="0"/>
              <w:autoSpaceDN w:val="0"/>
              <w:adjustRightInd w:val="0"/>
              <w:spacing w:before="0" w:beforeAutospacing="0" w:after="0" w:afterAutospacing="0" w:line="320" w:lineRule="exact"/>
              <w:ind w:left="0" w:right="0" w:firstLine="0" w:firstLineChars="0"/>
              <w:rPr>
                <w:rFonts w:hint="default"/>
                <w:color w:val="auto"/>
                <w:sz w:val="21"/>
                <w:szCs w:val="21"/>
              </w:rPr>
            </w:pPr>
            <w:r>
              <w:rPr>
                <w:rFonts w:hint="eastAsia"/>
                <w:color w:val="auto"/>
                <w:sz w:val="21"/>
                <w:szCs w:val="21"/>
              </w:rPr>
              <w:t>应结合井下供水系统设置井下消防管路。</w:t>
            </w:r>
          </w:p>
        </w:tc>
        <w:tc>
          <w:tcPr>
            <w:tcW w:w="964" w:type="pct"/>
            <w:tcBorders>
              <w:tl2br w:val="nil"/>
              <w:tr2bl w:val="nil"/>
            </w:tcBorders>
            <w:vAlign w:val="center"/>
          </w:tcPr>
          <w:p w14:paraId="2D34C19E">
            <w:pPr>
              <w:keepNext w:val="0"/>
              <w:keepLines w:val="0"/>
              <w:suppressLineNumbers w:val="0"/>
              <w:spacing w:before="0" w:beforeAutospacing="0" w:after="0" w:afterAutospacing="0" w:line="320" w:lineRule="exact"/>
              <w:ind w:left="0" w:right="0" w:firstLine="0" w:firstLineChars="0"/>
              <w:jc w:val="center"/>
              <w:rPr>
                <w:rFonts w:hint="default"/>
                <w:color w:val="auto"/>
                <w:sz w:val="21"/>
                <w:szCs w:val="21"/>
              </w:rPr>
            </w:pPr>
            <w:r>
              <w:rPr>
                <w:rFonts w:hint="eastAsia"/>
                <w:color w:val="auto"/>
                <w:sz w:val="21"/>
                <w:szCs w:val="21"/>
              </w:rPr>
              <w:t>《金属非金属矿山安全规程》(</w:t>
            </w:r>
            <w:r>
              <w:rPr>
                <w:rFonts w:hint="eastAsia"/>
                <w:bCs/>
                <w:color w:val="auto"/>
                <w:sz w:val="21"/>
                <w:szCs w:val="21"/>
              </w:rPr>
              <w:t>GBl6423</w:t>
            </w:r>
            <w:r>
              <w:rPr>
                <w:rFonts w:hint="eastAsia"/>
                <w:color w:val="auto"/>
                <w:sz w:val="21"/>
                <w:szCs w:val="21"/>
              </w:rPr>
              <w:t>-</w:t>
            </w:r>
            <w:r>
              <w:rPr>
                <w:rFonts w:hint="eastAsia"/>
                <w:bCs/>
                <w:color w:val="auto"/>
                <w:sz w:val="21"/>
                <w:szCs w:val="21"/>
              </w:rPr>
              <w:t>2020</w:t>
            </w:r>
            <w:r>
              <w:rPr>
                <w:rFonts w:hint="eastAsia"/>
                <w:color w:val="auto"/>
                <w:sz w:val="21"/>
                <w:szCs w:val="21"/>
              </w:rPr>
              <w:t>)第6.9.1.2条</w:t>
            </w:r>
          </w:p>
        </w:tc>
        <w:tc>
          <w:tcPr>
            <w:tcW w:w="1535" w:type="pct"/>
            <w:tcBorders>
              <w:tl2br w:val="nil"/>
              <w:tr2bl w:val="nil"/>
            </w:tcBorders>
            <w:vAlign w:val="center"/>
          </w:tcPr>
          <w:p w14:paraId="13564F21">
            <w:pPr>
              <w:keepNext w:val="0"/>
              <w:keepLines w:val="0"/>
              <w:suppressLineNumbers w:val="0"/>
              <w:autoSpaceDE w:val="0"/>
              <w:autoSpaceDN w:val="0"/>
              <w:adjustRightInd w:val="0"/>
              <w:spacing w:before="0" w:beforeAutospacing="0" w:after="0" w:afterAutospacing="0" w:line="320" w:lineRule="exact"/>
              <w:ind w:left="0" w:right="0" w:firstLine="0" w:firstLineChars="0"/>
              <w:rPr>
                <w:rFonts w:hint="eastAsia" w:eastAsia="宋体"/>
                <w:color w:val="auto"/>
                <w:sz w:val="21"/>
                <w:szCs w:val="21"/>
                <w:lang w:eastAsia="zh-CN"/>
              </w:rPr>
            </w:pPr>
            <w:r>
              <w:rPr>
                <w:rFonts w:hint="default"/>
                <w:color w:val="auto"/>
                <w:sz w:val="21"/>
                <w:szCs w:val="21"/>
              </w:rPr>
              <w:t>井下消防管网与井下生产供水管网合建</w:t>
            </w:r>
            <w:r>
              <w:rPr>
                <w:rFonts w:hint="eastAsia"/>
                <w:color w:val="auto"/>
                <w:sz w:val="21"/>
                <w:szCs w:val="21"/>
                <w:lang w:eastAsia="zh-CN"/>
              </w:rPr>
              <w:t>。</w:t>
            </w:r>
          </w:p>
        </w:tc>
        <w:tc>
          <w:tcPr>
            <w:tcW w:w="379" w:type="pct"/>
            <w:tcBorders>
              <w:tl2br w:val="nil"/>
              <w:tr2bl w:val="nil"/>
            </w:tcBorders>
            <w:vAlign w:val="center"/>
          </w:tcPr>
          <w:p w14:paraId="07252420">
            <w:pPr>
              <w:keepNext w:val="0"/>
              <w:keepLines w:val="0"/>
              <w:suppressLineNumbers w:val="0"/>
              <w:autoSpaceDE w:val="0"/>
              <w:autoSpaceDN w:val="0"/>
              <w:adjustRightInd w:val="0"/>
              <w:spacing w:before="0" w:beforeAutospacing="0" w:after="0" w:afterAutospacing="0" w:line="320" w:lineRule="exact"/>
              <w:ind w:left="0" w:right="0" w:firstLine="0" w:firstLineChars="0"/>
              <w:jc w:val="center"/>
              <w:rPr>
                <w:rFonts w:hint="default"/>
                <w:color w:val="auto"/>
                <w:sz w:val="21"/>
                <w:szCs w:val="21"/>
              </w:rPr>
            </w:pPr>
            <w:r>
              <w:rPr>
                <w:rFonts w:hint="eastAsia"/>
                <w:color w:val="auto"/>
                <w:sz w:val="21"/>
                <w:szCs w:val="21"/>
              </w:rPr>
              <w:t>符合</w:t>
            </w:r>
          </w:p>
        </w:tc>
      </w:tr>
      <w:tr w14:paraId="7D4B672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353" w:type="pct"/>
            <w:tcBorders>
              <w:tl2br w:val="nil"/>
              <w:tr2bl w:val="nil"/>
            </w:tcBorders>
            <w:vAlign w:val="center"/>
          </w:tcPr>
          <w:p w14:paraId="42431222">
            <w:pPr>
              <w:keepNext w:val="0"/>
              <w:keepLines w:val="0"/>
              <w:suppressLineNumbers w:val="0"/>
              <w:autoSpaceDE w:val="0"/>
              <w:autoSpaceDN w:val="0"/>
              <w:adjustRightInd w:val="0"/>
              <w:spacing w:before="0" w:beforeAutospacing="0" w:after="0" w:afterAutospacing="0" w:line="320" w:lineRule="exact"/>
              <w:ind w:left="0" w:right="0" w:firstLine="0" w:firstLineChars="0"/>
              <w:jc w:val="center"/>
              <w:rPr>
                <w:rFonts w:hint="eastAsia" w:eastAsia="宋体"/>
                <w:color w:val="auto"/>
                <w:sz w:val="21"/>
                <w:szCs w:val="21"/>
                <w:lang w:val="en-US" w:eastAsia="zh-CN"/>
              </w:rPr>
            </w:pPr>
            <w:r>
              <w:rPr>
                <w:rFonts w:hint="eastAsia"/>
                <w:color w:val="auto"/>
                <w:sz w:val="21"/>
                <w:szCs w:val="21"/>
                <w:lang w:val="en-US" w:eastAsia="zh-CN"/>
              </w:rPr>
              <w:t>3</w:t>
            </w:r>
          </w:p>
        </w:tc>
        <w:tc>
          <w:tcPr>
            <w:tcW w:w="1767" w:type="pct"/>
            <w:tcBorders>
              <w:tl2br w:val="nil"/>
              <w:tr2bl w:val="nil"/>
            </w:tcBorders>
            <w:vAlign w:val="center"/>
          </w:tcPr>
          <w:p w14:paraId="2B4F85D3">
            <w:pPr>
              <w:keepNext w:val="0"/>
              <w:keepLines w:val="0"/>
              <w:suppressLineNumbers w:val="0"/>
              <w:autoSpaceDE w:val="0"/>
              <w:autoSpaceDN w:val="0"/>
              <w:adjustRightInd w:val="0"/>
              <w:spacing w:before="0" w:beforeAutospacing="0" w:after="0" w:afterAutospacing="0" w:line="320" w:lineRule="exact"/>
              <w:ind w:left="0" w:right="0" w:firstLine="0" w:firstLineChars="0"/>
              <w:rPr>
                <w:rFonts w:hint="eastAsia"/>
                <w:color w:val="auto"/>
                <w:sz w:val="21"/>
                <w:szCs w:val="21"/>
              </w:rPr>
            </w:pPr>
            <w:r>
              <w:rPr>
                <w:rFonts w:hint="eastAsia"/>
                <w:color w:val="auto"/>
                <w:sz w:val="21"/>
                <w:szCs w:val="21"/>
              </w:rPr>
              <w:t>下列场所应设消火栓：</w:t>
            </w:r>
          </w:p>
          <w:p w14:paraId="102C9EBE">
            <w:pPr>
              <w:keepNext w:val="0"/>
              <w:keepLines w:val="0"/>
              <w:suppressLineNumbers w:val="0"/>
              <w:autoSpaceDE w:val="0"/>
              <w:autoSpaceDN w:val="0"/>
              <w:adjustRightInd w:val="0"/>
              <w:spacing w:before="0" w:beforeAutospacing="0" w:after="0" w:afterAutospacing="0" w:line="320" w:lineRule="exact"/>
              <w:ind w:left="0" w:right="0" w:firstLine="0" w:firstLineChars="0"/>
              <w:rPr>
                <w:rFonts w:hint="eastAsia"/>
                <w:color w:val="auto"/>
                <w:sz w:val="21"/>
                <w:szCs w:val="21"/>
              </w:rPr>
            </w:pPr>
            <w:r>
              <w:rPr>
                <w:rFonts w:hint="eastAsia"/>
                <w:color w:val="auto"/>
                <w:sz w:val="21"/>
                <w:szCs w:val="21"/>
              </w:rPr>
              <w:t>—— 内燃自行设备通行频繁的主要斜坡道和主要平硐；</w:t>
            </w:r>
          </w:p>
          <w:p w14:paraId="51A6CA2B">
            <w:pPr>
              <w:keepNext w:val="0"/>
              <w:keepLines w:val="0"/>
              <w:suppressLineNumbers w:val="0"/>
              <w:autoSpaceDE w:val="0"/>
              <w:autoSpaceDN w:val="0"/>
              <w:adjustRightInd w:val="0"/>
              <w:spacing w:before="0" w:beforeAutospacing="0" w:after="0" w:afterAutospacing="0" w:line="320" w:lineRule="exact"/>
              <w:ind w:left="0" w:right="0" w:firstLine="0" w:firstLineChars="0"/>
              <w:rPr>
                <w:rFonts w:hint="eastAsia"/>
                <w:color w:val="auto"/>
                <w:sz w:val="21"/>
                <w:szCs w:val="21"/>
              </w:rPr>
            </w:pPr>
            <w:r>
              <w:rPr>
                <w:rFonts w:hint="eastAsia"/>
                <w:color w:val="auto"/>
                <w:sz w:val="21"/>
                <w:szCs w:val="21"/>
              </w:rPr>
              <w:t>——燃油储存硐室和加油站；</w:t>
            </w:r>
          </w:p>
          <w:p w14:paraId="24E20A52">
            <w:pPr>
              <w:keepNext w:val="0"/>
              <w:keepLines w:val="0"/>
              <w:suppressLineNumbers w:val="0"/>
              <w:autoSpaceDE w:val="0"/>
              <w:autoSpaceDN w:val="0"/>
              <w:adjustRightInd w:val="0"/>
              <w:spacing w:before="0" w:beforeAutospacing="0" w:after="0" w:afterAutospacing="0" w:line="320" w:lineRule="exact"/>
              <w:ind w:left="0" w:right="0" w:firstLine="0" w:firstLineChars="0"/>
              <w:rPr>
                <w:rFonts w:hint="eastAsia"/>
                <w:color w:val="auto"/>
                <w:sz w:val="21"/>
                <w:szCs w:val="21"/>
              </w:rPr>
            </w:pPr>
            <w:r>
              <w:rPr>
                <w:rFonts w:hint="eastAsia"/>
                <w:color w:val="auto"/>
                <w:sz w:val="21"/>
                <w:szCs w:val="21"/>
              </w:rPr>
              <w:t>——主要中段井底车场和无轨设备维修硐室。</w:t>
            </w:r>
          </w:p>
        </w:tc>
        <w:tc>
          <w:tcPr>
            <w:tcW w:w="964" w:type="pct"/>
            <w:tcBorders>
              <w:tl2br w:val="nil"/>
              <w:tr2bl w:val="nil"/>
            </w:tcBorders>
            <w:vAlign w:val="center"/>
          </w:tcPr>
          <w:p w14:paraId="7AF7441A">
            <w:pPr>
              <w:keepNext w:val="0"/>
              <w:keepLines w:val="0"/>
              <w:suppressLineNumbers w:val="0"/>
              <w:spacing w:before="0" w:beforeAutospacing="0" w:after="0" w:afterAutospacing="0" w:line="320" w:lineRule="exact"/>
              <w:ind w:left="0" w:right="0" w:firstLine="0" w:firstLineChars="0"/>
              <w:jc w:val="center"/>
              <w:rPr>
                <w:rFonts w:hint="eastAsia"/>
                <w:color w:val="auto"/>
                <w:sz w:val="21"/>
                <w:szCs w:val="21"/>
              </w:rPr>
            </w:pPr>
            <w:r>
              <w:rPr>
                <w:rFonts w:hint="eastAsia"/>
                <w:color w:val="auto"/>
                <w:sz w:val="21"/>
                <w:szCs w:val="21"/>
              </w:rPr>
              <w:t>《金属非金属矿山安全规程》(</w:t>
            </w:r>
            <w:r>
              <w:rPr>
                <w:rFonts w:hint="eastAsia"/>
                <w:bCs/>
                <w:color w:val="auto"/>
                <w:sz w:val="21"/>
                <w:szCs w:val="21"/>
              </w:rPr>
              <w:t>GBl6423</w:t>
            </w:r>
            <w:r>
              <w:rPr>
                <w:rFonts w:hint="eastAsia"/>
                <w:color w:val="auto"/>
                <w:sz w:val="21"/>
                <w:szCs w:val="21"/>
              </w:rPr>
              <w:t>-</w:t>
            </w:r>
            <w:r>
              <w:rPr>
                <w:rFonts w:hint="eastAsia"/>
                <w:bCs/>
                <w:color w:val="auto"/>
                <w:sz w:val="21"/>
                <w:szCs w:val="21"/>
              </w:rPr>
              <w:t>2020</w:t>
            </w:r>
            <w:r>
              <w:rPr>
                <w:rFonts w:hint="eastAsia"/>
                <w:color w:val="auto"/>
                <w:sz w:val="21"/>
                <w:szCs w:val="21"/>
              </w:rPr>
              <w:t>)第6.9.1.</w:t>
            </w:r>
            <w:r>
              <w:rPr>
                <w:rFonts w:hint="eastAsia"/>
                <w:color w:val="auto"/>
                <w:sz w:val="21"/>
                <w:szCs w:val="21"/>
                <w:lang w:val="en-US" w:eastAsia="zh-CN"/>
              </w:rPr>
              <w:t>3</w:t>
            </w:r>
            <w:r>
              <w:rPr>
                <w:rFonts w:hint="eastAsia"/>
                <w:color w:val="auto"/>
                <w:sz w:val="21"/>
                <w:szCs w:val="21"/>
              </w:rPr>
              <w:t>条</w:t>
            </w:r>
          </w:p>
        </w:tc>
        <w:tc>
          <w:tcPr>
            <w:tcW w:w="1535" w:type="pct"/>
            <w:tcBorders>
              <w:tl2br w:val="nil"/>
              <w:tr2bl w:val="nil"/>
            </w:tcBorders>
            <w:vAlign w:val="center"/>
          </w:tcPr>
          <w:p w14:paraId="6F15D8F9">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320" w:lineRule="exact"/>
              <w:ind w:left="0" w:right="0" w:firstLine="0" w:firstLineChars="0"/>
              <w:textAlignment w:val="auto"/>
              <w:rPr>
                <w:rFonts w:hint="eastAsia" w:eastAsia="宋体"/>
                <w:color w:val="auto"/>
                <w:sz w:val="21"/>
                <w:szCs w:val="21"/>
                <w:lang w:eastAsia="zh-CN"/>
              </w:rPr>
            </w:pPr>
            <w:r>
              <w:rPr>
                <w:rFonts w:hint="eastAsia"/>
                <w:color w:val="auto"/>
                <w:sz w:val="21"/>
                <w:szCs w:val="21"/>
              </w:rPr>
              <w:t>在中段车场，斜坡道等区域设置消火栓,各主要生产中段的供水管道上每隔100m设消火栓(含水枪、水带)。</w:t>
            </w:r>
          </w:p>
        </w:tc>
        <w:tc>
          <w:tcPr>
            <w:tcW w:w="379" w:type="pct"/>
            <w:tcBorders>
              <w:tl2br w:val="nil"/>
              <w:tr2bl w:val="nil"/>
            </w:tcBorders>
            <w:vAlign w:val="center"/>
          </w:tcPr>
          <w:p w14:paraId="7C3CF435">
            <w:pPr>
              <w:keepNext w:val="0"/>
              <w:keepLines w:val="0"/>
              <w:suppressLineNumbers w:val="0"/>
              <w:autoSpaceDE w:val="0"/>
              <w:autoSpaceDN w:val="0"/>
              <w:adjustRightInd w:val="0"/>
              <w:spacing w:before="0" w:beforeAutospacing="0" w:after="0" w:afterAutospacing="0" w:line="320" w:lineRule="exact"/>
              <w:ind w:left="0" w:right="0" w:firstLine="0" w:firstLineChars="0"/>
              <w:jc w:val="center"/>
              <w:rPr>
                <w:rFonts w:hint="eastAsia"/>
                <w:color w:val="auto"/>
                <w:sz w:val="21"/>
                <w:szCs w:val="21"/>
              </w:rPr>
            </w:pPr>
            <w:r>
              <w:rPr>
                <w:rFonts w:hint="eastAsia"/>
                <w:color w:val="auto"/>
                <w:sz w:val="21"/>
                <w:szCs w:val="21"/>
              </w:rPr>
              <w:t>符合</w:t>
            </w:r>
          </w:p>
        </w:tc>
      </w:tr>
      <w:tr w14:paraId="6171486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353" w:type="pct"/>
            <w:tcBorders>
              <w:tl2br w:val="nil"/>
              <w:tr2bl w:val="nil"/>
            </w:tcBorders>
            <w:vAlign w:val="center"/>
          </w:tcPr>
          <w:p w14:paraId="21CCC220">
            <w:pPr>
              <w:keepNext w:val="0"/>
              <w:keepLines w:val="0"/>
              <w:suppressLineNumbers w:val="0"/>
              <w:autoSpaceDE w:val="0"/>
              <w:autoSpaceDN w:val="0"/>
              <w:adjustRightInd w:val="0"/>
              <w:spacing w:before="0" w:beforeAutospacing="0" w:after="0" w:afterAutospacing="0" w:line="320" w:lineRule="exact"/>
              <w:ind w:left="0" w:right="0" w:firstLine="0" w:firstLineChars="0"/>
              <w:jc w:val="center"/>
              <w:rPr>
                <w:rFonts w:hint="eastAsia" w:eastAsia="宋体"/>
                <w:color w:val="auto"/>
                <w:sz w:val="21"/>
                <w:szCs w:val="21"/>
                <w:lang w:eastAsia="zh-CN"/>
              </w:rPr>
            </w:pPr>
            <w:r>
              <w:rPr>
                <w:rFonts w:hint="eastAsia"/>
                <w:color w:val="auto"/>
                <w:sz w:val="21"/>
                <w:szCs w:val="21"/>
                <w:lang w:val="en-US" w:eastAsia="zh-CN"/>
              </w:rPr>
              <w:t>4</w:t>
            </w:r>
          </w:p>
        </w:tc>
        <w:tc>
          <w:tcPr>
            <w:tcW w:w="1767" w:type="pct"/>
            <w:tcBorders>
              <w:tl2br w:val="nil"/>
              <w:tr2bl w:val="nil"/>
            </w:tcBorders>
            <w:vAlign w:val="center"/>
          </w:tcPr>
          <w:p w14:paraId="50CF6B99">
            <w:pPr>
              <w:pStyle w:val="34"/>
              <w:keepNext w:val="0"/>
              <w:keepLines w:val="0"/>
              <w:suppressLineNumbers w:val="0"/>
              <w:spacing w:before="0" w:beforeAutospacing="0" w:after="0" w:afterAutospacing="0"/>
              <w:ind w:left="0" w:right="0"/>
              <w:rPr>
                <w:rFonts w:hint="eastAsia"/>
                <w:color w:val="auto"/>
              </w:rPr>
            </w:pPr>
            <w:r>
              <w:rPr>
                <w:rFonts w:hint="eastAsia"/>
                <w:color w:val="auto"/>
              </w:rPr>
              <w:t>在下列地点或</w:t>
            </w:r>
            <w:r>
              <w:rPr>
                <w:rFonts w:hint="eastAsia"/>
                <w:color w:val="auto"/>
                <w:lang w:eastAsia="zh-CN"/>
              </w:rPr>
              <w:t>区域</w:t>
            </w:r>
            <w:r>
              <w:rPr>
                <w:rFonts w:hint="eastAsia"/>
                <w:color w:val="auto"/>
              </w:rPr>
              <w:t>配置灭火器</w:t>
            </w:r>
            <w:r>
              <w:rPr>
                <w:rFonts w:hint="default"/>
                <w:color w:val="auto"/>
                <w:lang w:eastAsia="zh-CN"/>
              </w:rPr>
              <w:t>：</w:t>
            </w:r>
            <w:r>
              <w:rPr>
                <w:rFonts w:hint="eastAsia"/>
                <w:color w:val="auto"/>
              </w:rPr>
              <w:t>
</w:t>
            </w:r>
          </w:p>
          <w:p w14:paraId="5ABD0F44">
            <w:pPr>
              <w:pStyle w:val="34"/>
              <w:keepNext w:val="0"/>
              <w:keepLines w:val="0"/>
              <w:suppressLineNumbers w:val="0"/>
              <w:spacing w:before="0" w:beforeAutospacing="0" w:after="0" w:afterAutospacing="0"/>
              <w:ind w:left="0" w:right="0"/>
              <w:rPr>
                <w:rFonts w:hint="eastAsia"/>
                <w:color w:val="auto"/>
              </w:rPr>
            </w:pPr>
            <w:r>
              <w:rPr>
                <w:rFonts w:hint="eastAsia"/>
                <w:color w:val="auto"/>
                <w:lang w:val="en-US" w:eastAsia="zh-CN"/>
              </w:rPr>
              <w:t>——</w:t>
            </w:r>
            <w:r>
              <w:rPr>
                <w:rFonts w:hint="eastAsia"/>
                <w:color w:val="auto"/>
              </w:rPr>
              <w:t>有人员和设备通行的主要进风巷道、进风井井口建筑、主要通风机房和</w:t>
            </w:r>
            <w:r>
              <w:rPr>
                <w:rFonts w:hint="eastAsia"/>
                <w:color w:val="auto"/>
                <w:lang w:eastAsia="zh-CN"/>
              </w:rPr>
              <w:t>压入式</w:t>
            </w:r>
            <w:r>
              <w:rPr>
                <w:rFonts w:hint="eastAsia"/>
                <w:color w:val="auto"/>
              </w:rPr>
              <w:t>辅助通风机房、</w:t>
            </w:r>
            <w:r>
              <w:rPr>
                <w:rFonts w:hint="default"/>
                <w:color w:val="auto"/>
                <w:lang w:val="en-US" w:eastAsia="zh-CN"/>
              </w:rPr>
              <w:t>辅助通风机房、风硐</w:t>
            </w:r>
            <w:r>
              <w:rPr>
                <w:rFonts w:hint="eastAsia"/>
                <w:color w:val="auto"/>
              </w:rPr>
              <w:t>及风道</w:t>
            </w:r>
            <w:r>
              <w:rPr>
                <w:rFonts w:hint="default"/>
                <w:color w:val="auto"/>
                <w:lang w:eastAsia="zh-CN"/>
              </w:rPr>
              <w:t>；</w:t>
            </w:r>
            <w:r>
              <w:rPr>
                <w:rFonts w:hint="eastAsia"/>
                <w:color w:val="auto"/>
              </w:rPr>
              <w:t>
</w:t>
            </w:r>
          </w:p>
          <w:p w14:paraId="5914980C">
            <w:pPr>
              <w:pStyle w:val="34"/>
              <w:keepNext w:val="0"/>
              <w:keepLines w:val="0"/>
              <w:suppressLineNumbers w:val="0"/>
              <w:spacing w:before="0" w:beforeAutospacing="0" w:after="0" w:afterAutospacing="0"/>
              <w:ind w:left="0" w:right="0"/>
              <w:rPr>
                <w:rFonts w:hint="default"/>
                <w:color w:val="auto"/>
                <w:lang w:eastAsia="zh-CN"/>
              </w:rPr>
            </w:pPr>
            <w:r>
              <w:rPr>
                <w:rFonts w:hint="eastAsia"/>
                <w:color w:val="auto"/>
                <w:lang w:val="en-US" w:eastAsia="zh-CN"/>
              </w:rPr>
              <w:t>——</w:t>
            </w:r>
            <w:r>
              <w:rPr>
                <w:rFonts w:hint="eastAsia"/>
                <w:color w:val="auto"/>
              </w:rPr>
              <w:t>人员提升竖井的马头门、井底车场</w:t>
            </w:r>
            <w:r>
              <w:rPr>
                <w:rFonts w:hint="default"/>
                <w:color w:val="auto"/>
                <w:lang w:eastAsia="zh-CN"/>
              </w:rPr>
              <w:t>；</w:t>
            </w:r>
          </w:p>
          <w:p w14:paraId="08D63097">
            <w:pPr>
              <w:pStyle w:val="34"/>
              <w:keepNext w:val="0"/>
              <w:keepLines w:val="0"/>
              <w:suppressLineNumbers w:val="0"/>
              <w:spacing w:before="0" w:beforeAutospacing="0" w:after="0" w:afterAutospacing="0"/>
              <w:ind w:left="0" w:right="0"/>
              <w:rPr>
                <w:rFonts w:hint="default" w:ascii="宋体" w:hAnsi="宋体" w:eastAsia="宋体"/>
                <w:color w:val="auto"/>
                <w:lang w:eastAsia="zh-CN"/>
              </w:rPr>
            </w:pPr>
            <w:r>
              <w:rPr>
                <w:rFonts w:hint="eastAsia"/>
                <w:color w:val="auto"/>
                <w:lang w:val="en-US" w:eastAsia="zh-CN"/>
              </w:rPr>
              <w:t>——</w:t>
            </w:r>
            <w:r>
              <w:rPr>
                <w:rFonts w:hint="eastAsia"/>
                <w:color w:val="auto"/>
              </w:rPr>
              <w:t>变压器室、变配电所、电机车库、维修硐室、破碎硐室、带式输送机驱动站等主要机电设备</w:t>
            </w:r>
            <w:r>
              <w:rPr>
                <w:rFonts w:hint="default"/>
                <w:color w:val="auto"/>
                <w:lang w:val="en-US" w:eastAsia="zh-CN"/>
              </w:rPr>
              <w:t>硐</w:t>
            </w:r>
            <w:r>
              <w:rPr>
                <w:rFonts w:hint="eastAsia"/>
                <w:color w:val="auto"/>
              </w:rPr>
              <w:t>室、油库和加油站、爆破器材库、材料库、避灾</w:t>
            </w:r>
            <w:r>
              <w:rPr>
                <w:rFonts w:hint="default"/>
                <w:color w:val="auto"/>
                <w:lang w:val="en-US" w:eastAsia="zh-CN"/>
              </w:rPr>
              <w:t>硐</w:t>
            </w:r>
            <w:r>
              <w:rPr>
                <w:rFonts w:hint="eastAsia" w:ascii="宋体" w:hAnsi="宋体" w:eastAsia="宋体"/>
                <w:color w:val="auto"/>
              </w:rPr>
              <w:t>室、休息或排班室等</w:t>
            </w:r>
            <w:r>
              <w:rPr>
                <w:rFonts w:hint="default" w:ascii="宋体" w:hAnsi="宋体" w:eastAsia="宋体"/>
                <w:color w:val="auto"/>
                <w:lang w:eastAsia="zh-CN"/>
              </w:rPr>
              <w:t>；</w:t>
            </w:r>
          </w:p>
          <w:p w14:paraId="70C5B0A1">
            <w:pPr>
              <w:pStyle w:val="34"/>
              <w:keepNext w:val="0"/>
              <w:keepLines w:val="0"/>
              <w:suppressLineNumbers w:val="0"/>
              <w:spacing w:before="0" w:beforeAutospacing="0" w:after="0" w:afterAutospacing="0"/>
              <w:ind w:left="0" w:right="0"/>
              <w:rPr>
                <w:rFonts w:hint="default" w:ascii="宋体" w:hAnsi="宋体" w:eastAsia="宋体"/>
                <w:color w:val="auto"/>
                <w:lang w:val="en-US" w:eastAsia="zh-CN"/>
              </w:rPr>
            </w:pPr>
            <w:r>
              <w:rPr>
                <w:rFonts w:hint="eastAsia" w:ascii="宋体" w:hAnsi="宋体" w:eastAsia="宋体"/>
                <w:color w:val="auto"/>
                <w:lang w:val="en-US" w:eastAsia="zh-CN"/>
              </w:rPr>
              <w:t>——内燃自行设备通行繁的斜坡道和巷道，灭火器配置点间距不大于300m</w:t>
            </w:r>
            <w:r>
              <w:rPr>
                <w:rFonts w:hint="default" w:ascii="宋体" w:hAnsi="宋体" w:eastAsia="宋体"/>
                <w:color w:val="auto"/>
                <w:lang w:val="en-US" w:eastAsia="zh-CN"/>
              </w:rPr>
              <w:t>。</w:t>
            </w:r>
          </w:p>
          <w:p w14:paraId="470905A5">
            <w:pPr>
              <w:pStyle w:val="34"/>
              <w:keepNext w:val="0"/>
              <w:keepLines w:val="0"/>
              <w:suppressLineNumbers w:val="0"/>
              <w:spacing w:before="0" w:beforeAutospacing="0" w:after="0" w:afterAutospacing="0"/>
              <w:ind w:left="0" w:right="0"/>
              <w:rPr>
                <w:rFonts w:hint="default"/>
                <w:color w:val="auto"/>
              </w:rPr>
            </w:pPr>
            <w:r>
              <w:rPr>
                <w:rFonts w:hint="eastAsia" w:ascii="宋体" w:hAnsi="宋体" w:eastAsia="宋体"/>
                <w:color w:val="auto"/>
              </w:rPr>
              <w:t>每个灭火器配置点的灭火器数量不少于2具，灭火器应能扑灭150m范围内的初始火源。</w:t>
            </w:r>
          </w:p>
        </w:tc>
        <w:tc>
          <w:tcPr>
            <w:tcW w:w="964" w:type="pct"/>
            <w:tcBorders>
              <w:tl2br w:val="nil"/>
              <w:tr2bl w:val="nil"/>
            </w:tcBorders>
            <w:vAlign w:val="center"/>
          </w:tcPr>
          <w:p w14:paraId="4CF674D6">
            <w:pPr>
              <w:keepNext w:val="0"/>
              <w:keepLines w:val="0"/>
              <w:suppressLineNumbers w:val="0"/>
              <w:autoSpaceDE w:val="0"/>
              <w:autoSpaceDN w:val="0"/>
              <w:adjustRightInd w:val="0"/>
              <w:spacing w:before="0" w:beforeAutospacing="0" w:after="0" w:afterAutospacing="0" w:line="320" w:lineRule="exact"/>
              <w:ind w:left="0" w:right="0" w:firstLine="0" w:firstLineChars="0"/>
              <w:jc w:val="center"/>
              <w:rPr>
                <w:rFonts w:hint="default" w:eastAsia="宋体"/>
                <w:color w:val="auto"/>
                <w:sz w:val="21"/>
                <w:szCs w:val="21"/>
                <w:lang w:val="en-US" w:eastAsia="zh-CN"/>
              </w:rPr>
            </w:pPr>
            <w:r>
              <w:rPr>
                <w:rFonts w:hint="eastAsia"/>
                <w:color w:val="auto"/>
                <w:sz w:val="21"/>
                <w:szCs w:val="21"/>
              </w:rPr>
              <w:t>《金属非金属矿山安全规程》(</w:t>
            </w:r>
            <w:r>
              <w:rPr>
                <w:rFonts w:hint="eastAsia"/>
                <w:bCs/>
                <w:color w:val="auto"/>
                <w:sz w:val="21"/>
                <w:szCs w:val="21"/>
              </w:rPr>
              <w:t>GBl6423</w:t>
            </w:r>
            <w:r>
              <w:rPr>
                <w:rFonts w:hint="eastAsia"/>
                <w:color w:val="auto"/>
                <w:sz w:val="21"/>
                <w:szCs w:val="21"/>
              </w:rPr>
              <w:t>-</w:t>
            </w:r>
            <w:r>
              <w:rPr>
                <w:rFonts w:hint="eastAsia"/>
                <w:bCs/>
                <w:color w:val="auto"/>
                <w:sz w:val="21"/>
                <w:szCs w:val="21"/>
              </w:rPr>
              <w:t>2020</w:t>
            </w:r>
            <w:r>
              <w:rPr>
                <w:rFonts w:hint="eastAsia"/>
                <w:color w:val="auto"/>
                <w:sz w:val="21"/>
                <w:szCs w:val="21"/>
              </w:rPr>
              <w:t>)第6.9.1.7条</w:t>
            </w:r>
            <w:r>
              <w:rPr>
                <w:rFonts w:hint="eastAsia"/>
                <w:color w:val="auto"/>
                <w:sz w:val="21"/>
                <w:szCs w:val="21"/>
                <w:lang w:eastAsia="zh-CN"/>
              </w:rPr>
              <w:t>、</w:t>
            </w:r>
            <w:r>
              <w:rPr>
                <w:rFonts w:hint="eastAsia"/>
                <w:color w:val="auto"/>
                <w:sz w:val="21"/>
                <w:szCs w:val="21"/>
                <w:lang w:val="en-US" w:eastAsia="zh-CN"/>
              </w:rPr>
              <w:t>第6.9.1.8条</w:t>
            </w:r>
          </w:p>
        </w:tc>
        <w:tc>
          <w:tcPr>
            <w:tcW w:w="1535" w:type="pct"/>
            <w:tcBorders>
              <w:tl2br w:val="nil"/>
              <w:tr2bl w:val="nil"/>
            </w:tcBorders>
            <w:vAlign w:val="center"/>
          </w:tcPr>
          <w:p w14:paraId="0D96C96E">
            <w:pPr>
              <w:keepNext w:val="0"/>
              <w:keepLines w:val="0"/>
              <w:suppressLineNumbers w:val="0"/>
              <w:autoSpaceDE w:val="0"/>
              <w:autoSpaceDN w:val="0"/>
              <w:adjustRightInd w:val="0"/>
              <w:spacing w:before="0" w:beforeAutospacing="0" w:after="0" w:afterAutospacing="0" w:line="320" w:lineRule="exact"/>
              <w:ind w:left="0" w:right="0" w:firstLine="0" w:firstLineChars="0"/>
              <w:rPr>
                <w:rFonts w:hint="default"/>
                <w:color w:val="auto"/>
                <w:sz w:val="21"/>
                <w:szCs w:val="21"/>
              </w:rPr>
            </w:pPr>
            <w:r>
              <w:rPr>
                <w:rFonts w:hint="eastAsia" w:ascii="宋体" w:hAnsi="宋体" w:eastAsia="宋体" w:cstheme="minorBidi"/>
                <w:color w:val="auto"/>
                <w:kern w:val="2"/>
                <w:sz w:val="21"/>
                <w:szCs w:val="22"/>
                <w:lang w:val="en-US" w:eastAsia="zh-CN" w:bidi="ar-SA"/>
              </w:rPr>
              <w:t>每台运输设备配备灭火器，配电硐室设干粉灭火器。</w:t>
            </w:r>
            <w:r>
              <w:rPr>
                <w:rFonts w:hint="default" w:ascii="宋体" w:hAnsi="宋体" w:eastAsia="宋体" w:cstheme="minorBidi"/>
                <w:color w:val="auto"/>
                <w:kern w:val="2"/>
                <w:sz w:val="21"/>
                <w:szCs w:val="22"/>
                <w:lang w:val="en-US" w:eastAsia="zh-CN" w:bidi="ar-SA"/>
              </w:rPr>
              <w:t>未明确灭火器配置数量要求</w:t>
            </w:r>
            <w:r>
              <w:rPr>
                <w:rFonts w:hint="eastAsia" w:ascii="宋体" w:hAnsi="宋体" w:eastAsia="宋体" w:cstheme="minorBidi"/>
                <w:color w:val="auto"/>
                <w:kern w:val="2"/>
                <w:sz w:val="21"/>
                <w:szCs w:val="22"/>
                <w:lang w:val="en-US" w:eastAsia="zh-CN" w:bidi="ar-SA"/>
              </w:rPr>
              <w:t>。</w:t>
            </w:r>
          </w:p>
        </w:tc>
        <w:tc>
          <w:tcPr>
            <w:tcW w:w="379" w:type="pct"/>
            <w:tcBorders>
              <w:tl2br w:val="nil"/>
              <w:tr2bl w:val="nil"/>
            </w:tcBorders>
            <w:vAlign w:val="center"/>
          </w:tcPr>
          <w:p w14:paraId="3839BD59">
            <w:pPr>
              <w:keepNext w:val="0"/>
              <w:keepLines w:val="0"/>
              <w:suppressLineNumbers w:val="0"/>
              <w:autoSpaceDE w:val="0"/>
              <w:autoSpaceDN w:val="0"/>
              <w:adjustRightInd w:val="0"/>
              <w:spacing w:before="0" w:beforeAutospacing="0" w:after="0" w:afterAutospacing="0" w:line="320" w:lineRule="exact"/>
              <w:ind w:left="0" w:right="0" w:firstLine="0" w:firstLineChars="0"/>
              <w:jc w:val="center"/>
              <w:rPr>
                <w:rFonts w:hint="default"/>
                <w:color w:val="auto"/>
                <w:sz w:val="21"/>
                <w:szCs w:val="21"/>
              </w:rPr>
            </w:pPr>
            <w:r>
              <w:rPr>
                <w:rFonts w:hint="eastAsia"/>
                <w:color w:val="auto"/>
                <w:sz w:val="21"/>
                <w:szCs w:val="21"/>
                <w:lang w:val="en-US" w:eastAsia="zh-CN"/>
              </w:rPr>
              <w:t>不</w:t>
            </w:r>
            <w:r>
              <w:rPr>
                <w:rFonts w:hint="eastAsia"/>
                <w:color w:val="auto"/>
                <w:sz w:val="21"/>
                <w:szCs w:val="21"/>
              </w:rPr>
              <w:t>符合</w:t>
            </w:r>
          </w:p>
        </w:tc>
      </w:tr>
      <w:tr w14:paraId="252E026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353" w:type="pct"/>
            <w:tcBorders>
              <w:tl2br w:val="nil"/>
              <w:tr2bl w:val="nil"/>
            </w:tcBorders>
            <w:vAlign w:val="center"/>
          </w:tcPr>
          <w:p w14:paraId="45D2CD5E">
            <w:pPr>
              <w:keepNext w:val="0"/>
              <w:keepLines w:val="0"/>
              <w:suppressLineNumbers w:val="0"/>
              <w:autoSpaceDE w:val="0"/>
              <w:autoSpaceDN w:val="0"/>
              <w:adjustRightInd w:val="0"/>
              <w:spacing w:before="0" w:beforeAutospacing="0" w:after="0" w:afterAutospacing="0" w:line="320" w:lineRule="exact"/>
              <w:ind w:left="0" w:right="0" w:firstLine="0" w:firstLineChars="0"/>
              <w:jc w:val="center"/>
              <w:rPr>
                <w:rFonts w:hint="eastAsia" w:eastAsia="宋体"/>
                <w:color w:val="auto"/>
                <w:sz w:val="21"/>
                <w:szCs w:val="21"/>
                <w:lang w:eastAsia="zh-CN"/>
              </w:rPr>
            </w:pPr>
            <w:r>
              <w:rPr>
                <w:rFonts w:hint="eastAsia"/>
                <w:color w:val="auto"/>
                <w:sz w:val="21"/>
                <w:szCs w:val="21"/>
                <w:lang w:val="en-US" w:eastAsia="zh-CN"/>
              </w:rPr>
              <w:t>5</w:t>
            </w:r>
          </w:p>
        </w:tc>
        <w:tc>
          <w:tcPr>
            <w:tcW w:w="1767" w:type="pct"/>
            <w:tcBorders>
              <w:tl2br w:val="nil"/>
              <w:tr2bl w:val="nil"/>
            </w:tcBorders>
            <w:vAlign w:val="center"/>
          </w:tcPr>
          <w:p w14:paraId="19D500E1">
            <w:pPr>
              <w:pStyle w:val="21"/>
              <w:keepNext w:val="0"/>
              <w:keepLines w:val="0"/>
              <w:suppressLineNumbers w:val="0"/>
              <w:spacing w:before="0" w:beforeAutospacing="0" w:after="0" w:afterAutospacing="0" w:line="320" w:lineRule="exact"/>
              <w:ind w:left="0" w:right="0"/>
              <w:jc w:val="both"/>
              <w:rPr>
                <w:rFonts w:hint="default"/>
                <w:color w:val="auto"/>
                <w:sz w:val="21"/>
              </w:rPr>
            </w:pPr>
            <w:r>
              <w:rPr>
                <w:rFonts w:hint="default"/>
                <w:color w:val="auto"/>
                <w:sz w:val="21"/>
              </w:rPr>
              <w:t>井下消防系统应符合下列规定：</w:t>
            </w:r>
          </w:p>
          <w:p w14:paraId="6E68F9C4">
            <w:pPr>
              <w:pStyle w:val="21"/>
              <w:keepNext w:val="0"/>
              <w:keepLines w:val="0"/>
              <w:suppressLineNumbers w:val="0"/>
              <w:spacing w:before="0" w:beforeAutospacing="0" w:after="0" w:afterAutospacing="0" w:line="320" w:lineRule="exact"/>
              <w:ind w:left="0" w:right="0"/>
              <w:jc w:val="both"/>
              <w:rPr>
                <w:rFonts w:hint="default"/>
                <w:color w:val="auto"/>
                <w:sz w:val="21"/>
              </w:rPr>
            </w:pPr>
            <w:r>
              <w:rPr>
                <w:rFonts w:hint="default"/>
                <w:color w:val="auto"/>
                <w:sz w:val="21"/>
              </w:rPr>
              <w:t>——井下消防供水水池应能服务井下所有作业地点，水池容积不小于200m³。</w:t>
            </w:r>
          </w:p>
          <w:p w14:paraId="28094398">
            <w:pPr>
              <w:pStyle w:val="21"/>
              <w:keepNext w:val="0"/>
              <w:keepLines w:val="0"/>
              <w:suppressLineNumbers w:val="0"/>
              <w:spacing w:before="0" w:beforeAutospacing="0" w:after="0" w:afterAutospacing="0" w:line="320" w:lineRule="exact"/>
              <w:ind w:left="0" w:right="0"/>
              <w:jc w:val="both"/>
              <w:rPr>
                <w:rFonts w:hint="default"/>
                <w:color w:val="auto"/>
                <w:sz w:val="21"/>
              </w:rPr>
            </w:pPr>
            <w:r>
              <w:rPr>
                <w:rFonts w:hint="default"/>
                <w:color w:val="auto"/>
                <w:sz w:val="21"/>
              </w:rPr>
              <w:t>—消火栓栓口动压力应为0.25 MPa～0.5MPa供水系统压力过大时应采取减压措施。</w:t>
            </w:r>
          </w:p>
          <w:p w14:paraId="52E1ED00">
            <w:pPr>
              <w:pStyle w:val="21"/>
              <w:keepNext w:val="0"/>
              <w:keepLines w:val="0"/>
              <w:suppressLineNumbers w:val="0"/>
              <w:spacing w:before="0" w:beforeAutospacing="0" w:after="0" w:afterAutospacing="0" w:line="320" w:lineRule="exact"/>
              <w:ind w:left="0" w:right="0"/>
              <w:jc w:val="both"/>
              <w:rPr>
                <w:rFonts w:hint="default"/>
                <w:color w:val="auto"/>
                <w:sz w:val="21"/>
              </w:rPr>
            </w:pPr>
            <w:r>
              <w:rPr>
                <w:rFonts w:hint="default"/>
                <w:color w:val="auto"/>
                <w:sz w:val="21"/>
              </w:rPr>
              <w:t>——消火栓最不利点的水枪充实水柱不小于7m。</w:t>
            </w:r>
          </w:p>
          <w:p w14:paraId="497C9D8B">
            <w:pPr>
              <w:pStyle w:val="21"/>
              <w:keepNext w:val="0"/>
              <w:keepLines w:val="0"/>
              <w:suppressLineNumbers w:val="0"/>
              <w:spacing w:before="0" w:beforeAutospacing="0" w:after="0" w:afterAutospacing="0" w:line="320" w:lineRule="exact"/>
              <w:ind w:left="0" w:right="0"/>
              <w:jc w:val="both"/>
              <w:rPr>
                <w:rFonts w:hint="default"/>
                <w:color w:val="auto"/>
                <w:sz w:val="21"/>
              </w:rPr>
            </w:pPr>
            <w:r>
              <w:rPr>
                <w:rFonts w:hint="default"/>
                <w:color w:val="auto"/>
                <w:sz w:val="21"/>
              </w:rPr>
              <w:t>——消防主水管内径不小于80mm。</w:t>
            </w:r>
          </w:p>
          <w:p w14:paraId="1CAB8F98">
            <w:pPr>
              <w:pStyle w:val="21"/>
              <w:keepNext w:val="0"/>
              <w:keepLines w:val="0"/>
              <w:suppressLineNumbers w:val="0"/>
              <w:spacing w:before="0" w:beforeAutospacing="0" w:after="0" w:afterAutospacing="0" w:line="320" w:lineRule="exact"/>
              <w:ind w:left="0" w:right="0"/>
              <w:jc w:val="both"/>
              <w:rPr>
                <w:rFonts w:hint="default"/>
                <w:color w:val="auto"/>
                <w:sz w:val="21"/>
              </w:rPr>
            </w:pPr>
          </w:p>
        </w:tc>
        <w:tc>
          <w:tcPr>
            <w:tcW w:w="964" w:type="pct"/>
            <w:tcBorders>
              <w:tl2br w:val="nil"/>
              <w:tr2bl w:val="nil"/>
            </w:tcBorders>
            <w:vAlign w:val="center"/>
          </w:tcPr>
          <w:p w14:paraId="37C4A0C9">
            <w:pPr>
              <w:keepNext w:val="0"/>
              <w:keepLines w:val="0"/>
              <w:suppressLineNumbers w:val="0"/>
              <w:autoSpaceDE w:val="0"/>
              <w:autoSpaceDN w:val="0"/>
              <w:adjustRightInd w:val="0"/>
              <w:spacing w:before="0" w:beforeAutospacing="0" w:after="0" w:afterAutospacing="0" w:line="320" w:lineRule="exact"/>
              <w:ind w:left="0" w:right="0" w:firstLine="0" w:firstLineChars="0"/>
              <w:jc w:val="center"/>
              <w:rPr>
                <w:rFonts w:hint="default"/>
                <w:color w:val="auto"/>
                <w:sz w:val="21"/>
                <w:szCs w:val="21"/>
              </w:rPr>
            </w:pPr>
            <w:r>
              <w:rPr>
                <w:rFonts w:hint="eastAsia"/>
                <w:color w:val="auto"/>
                <w:sz w:val="21"/>
                <w:szCs w:val="21"/>
              </w:rPr>
              <w:t>《金属非金属矿山安全规程》(GB16423-2020)</w:t>
            </w:r>
          </w:p>
          <w:p w14:paraId="5F7B07E3">
            <w:pPr>
              <w:pStyle w:val="21"/>
              <w:keepNext w:val="0"/>
              <w:keepLines w:val="0"/>
              <w:suppressLineNumbers w:val="0"/>
              <w:adjustRightInd w:val="0"/>
              <w:snapToGrid w:val="0"/>
              <w:spacing w:before="0" w:beforeAutospacing="0" w:after="0" w:afterAutospacing="0" w:line="320" w:lineRule="exact"/>
              <w:ind w:left="0" w:right="0"/>
              <w:outlineLvl w:val="9"/>
              <w:rPr>
                <w:rFonts w:hint="default"/>
                <w:color w:val="auto"/>
                <w:sz w:val="21"/>
              </w:rPr>
            </w:pPr>
            <w:r>
              <w:rPr>
                <w:rFonts w:hint="eastAsia"/>
                <w:color w:val="auto"/>
                <w:sz w:val="21"/>
              </w:rPr>
              <w:t>第6.9.1.</w:t>
            </w:r>
            <w:r>
              <w:rPr>
                <w:rFonts w:hint="eastAsia"/>
                <w:color w:val="auto"/>
                <w:sz w:val="21"/>
                <w:lang w:val="en-US" w:eastAsia="zh-CN"/>
              </w:rPr>
              <w:t>5</w:t>
            </w:r>
            <w:r>
              <w:rPr>
                <w:rFonts w:hint="eastAsia"/>
                <w:color w:val="auto"/>
                <w:sz w:val="21"/>
              </w:rPr>
              <w:t>条</w:t>
            </w:r>
          </w:p>
        </w:tc>
        <w:tc>
          <w:tcPr>
            <w:tcW w:w="1535" w:type="pct"/>
            <w:tcBorders>
              <w:tl2br w:val="nil"/>
              <w:tr2bl w:val="nil"/>
            </w:tcBorders>
            <w:vAlign w:val="center"/>
          </w:tcPr>
          <w:p w14:paraId="6A2EB8F8">
            <w:pPr>
              <w:pStyle w:val="21"/>
              <w:keepNext w:val="0"/>
              <w:keepLines w:val="0"/>
              <w:suppressLineNumbers w:val="0"/>
              <w:spacing w:before="0" w:beforeAutospacing="0" w:after="0" w:afterAutospacing="0" w:line="320" w:lineRule="exact"/>
              <w:ind w:left="0" w:right="0"/>
              <w:jc w:val="both"/>
              <w:rPr>
                <w:rFonts w:hint="default" w:eastAsia="宋体" w:cs="宋体"/>
                <w:color w:val="auto"/>
                <w:sz w:val="21"/>
                <w:lang w:val="en-US" w:eastAsia="zh-CN"/>
              </w:rPr>
            </w:pPr>
            <w:r>
              <w:rPr>
                <w:rFonts w:hint="eastAsia" w:ascii="宋体" w:hAnsi="宋体" w:eastAsia="宋体" w:cs="宋体"/>
                <w:bCs w:val="0"/>
                <w:color w:val="auto"/>
                <w:kern w:val="2"/>
                <w:sz w:val="21"/>
                <w:szCs w:val="21"/>
                <w:lang w:val="en-US" w:eastAsia="zh-CN" w:bidi="ar-SA"/>
              </w:rPr>
              <w:t>井下消防用水储存在</w:t>
            </w:r>
            <w:r>
              <w:rPr>
                <w:rFonts w:hint="eastAsia" w:cs="宋体"/>
                <w:bCs w:val="0"/>
                <w:color w:val="auto"/>
                <w:kern w:val="2"/>
                <w:sz w:val="21"/>
                <w:szCs w:val="21"/>
                <w:lang w:val="en-US" w:eastAsia="zh-CN" w:bidi="ar-SA"/>
              </w:rPr>
              <w:t>高位</w:t>
            </w:r>
            <w:r>
              <w:rPr>
                <w:rFonts w:hint="eastAsia" w:ascii="宋体" w:hAnsi="宋体" w:eastAsia="宋体" w:cs="宋体"/>
                <w:bCs w:val="0"/>
                <w:color w:val="auto"/>
                <w:kern w:val="2"/>
                <w:sz w:val="21"/>
                <w:szCs w:val="21"/>
                <w:lang w:val="en-US" w:eastAsia="zh-CN" w:bidi="ar-SA"/>
              </w:rPr>
              <w:t>水池中，消火栓栓口</w:t>
            </w:r>
            <w:r>
              <w:rPr>
                <w:rFonts w:hint="eastAsia" w:cs="宋体"/>
                <w:bCs w:val="0"/>
                <w:color w:val="auto"/>
                <w:kern w:val="2"/>
                <w:sz w:val="21"/>
                <w:szCs w:val="21"/>
                <w:lang w:val="en-US" w:eastAsia="zh-CN" w:bidi="ar-SA"/>
              </w:rPr>
              <w:t>处出水压力不小于0.35</w:t>
            </w:r>
            <w:r>
              <w:rPr>
                <w:rFonts w:hint="eastAsia" w:ascii="宋体" w:hAnsi="宋体" w:eastAsia="宋体" w:cs="宋体"/>
                <w:bCs w:val="0"/>
                <w:color w:val="auto"/>
                <w:kern w:val="2"/>
                <w:sz w:val="21"/>
                <w:szCs w:val="21"/>
                <w:lang w:val="en-US" w:eastAsia="zh-CN" w:bidi="ar-SA"/>
              </w:rPr>
              <w:t>MPa。</w:t>
            </w:r>
            <w:r>
              <w:rPr>
                <w:rFonts w:hint="eastAsia"/>
                <w:color w:val="auto"/>
                <w:szCs w:val="28"/>
                <w:lang w:val="en-US" w:eastAsia="zh-CN"/>
              </w:rPr>
              <w:t>最大运行压力</w:t>
            </w:r>
            <w:r>
              <w:rPr>
                <w:rFonts w:hint="default"/>
                <w:color w:val="auto"/>
                <w:szCs w:val="28"/>
              </w:rPr>
              <w:t>0.5MPa时，采用</w:t>
            </w:r>
            <w:r>
              <w:rPr>
                <w:rFonts w:hint="eastAsia"/>
                <w:color w:val="auto"/>
                <w:szCs w:val="28"/>
                <w:lang w:val="en-US" w:eastAsia="zh-CN"/>
              </w:rPr>
              <w:t>常高</w:t>
            </w:r>
            <w:r>
              <w:rPr>
                <w:rFonts w:hint="default"/>
                <w:color w:val="auto"/>
                <w:szCs w:val="28"/>
              </w:rPr>
              <w:t>压</w:t>
            </w:r>
            <w:r>
              <w:rPr>
                <w:rFonts w:hint="eastAsia"/>
                <w:color w:val="auto"/>
                <w:szCs w:val="28"/>
                <w:lang w:val="en-US" w:eastAsia="zh-CN"/>
              </w:rPr>
              <w:t>供水系统</w:t>
            </w:r>
            <w:r>
              <w:rPr>
                <w:rFonts w:hint="eastAsia"/>
                <w:color w:val="auto"/>
                <w:szCs w:val="28"/>
                <w:lang w:eastAsia="zh-CN"/>
              </w:rPr>
              <w:t>。</w:t>
            </w:r>
            <w:r>
              <w:rPr>
                <w:rFonts w:hint="eastAsia"/>
                <w:color w:val="auto"/>
                <w:szCs w:val="28"/>
                <w:lang w:val="en-US" w:eastAsia="zh-CN"/>
              </w:rPr>
              <w:t>供水主管内径为108mm。未明确消防水池容积。</w:t>
            </w:r>
          </w:p>
        </w:tc>
        <w:tc>
          <w:tcPr>
            <w:tcW w:w="379" w:type="pct"/>
            <w:tcBorders>
              <w:tl2br w:val="nil"/>
              <w:tr2bl w:val="nil"/>
            </w:tcBorders>
            <w:vAlign w:val="center"/>
          </w:tcPr>
          <w:p w14:paraId="69AB10E6">
            <w:pPr>
              <w:pStyle w:val="21"/>
              <w:keepNext w:val="0"/>
              <w:keepLines w:val="0"/>
              <w:suppressLineNumbers w:val="0"/>
              <w:spacing w:before="0" w:beforeAutospacing="0" w:after="0" w:afterAutospacing="0" w:line="320" w:lineRule="exact"/>
              <w:ind w:left="0" w:right="0"/>
              <w:rPr>
                <w:rFonts w:hint="default"/>
                <w:color w:val="auto"/>
                <w:sz w:val="21"/>
              </w:rPr>
            </w:pPr>
            <w:r>
              <w:rPr>
                <w:rFonts w:hint="eastAsia" w:cs="宋体"/>
                <w:bCs/>
                <w:color w:val="auto"/>
                <w:kern w:val="2"/>
                <w:sz w:val="21"/>
                <w:lang w:val="en-US" w:eastAsia="zh-CN"/>
              </w:rPr>
              <w:t>不</w:t>
            </w:r>
            <w:r>
              <w:rPr>
                <w:rFonts w:hint="eastAsia" w:cs="宋体"/>
                <w:bCs/>
                <w:color w:val="auto"/>
                <w:kern w:val="2"/>
                <w:sz w:val="21"/>
              </w:rPr>
              <w:t>符合</w:t>
            </w:r>
          </w:p>
        </w:tc>
      </w:tr>
      <w:tr w14:paraId="4E3D69B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353" w:type="pct"/>
            <w:tcBorders>
              <w:tl2br w:val="nil"/>
              <w:tr2bl w:val="nil"/>
            </w:tcBorders>
            <w:vAlign w:val="center"/>
          </w:tcPr>
          <w:p w14:paraId="65AAD4A9">
            <w:pPr>
              <w:keepNext w:val="0"/>
              <w:keepLines w:val="0"/>
              <w:suppressLineNumbers w:val="0"/>
              <w:autoSpaceDE w:val="0"/>
              <w:autoSpaceDN w:val="0"/>
              <w:adjustRightInd w:val="0"/>
              <w:spacing w:before="0" w:beforeAutospacing="0" w:after="0" w:afterAutospacing="0" w:line="320" w:lineRule="exact"/>
              <w:ind w:left="0" w:right="0" w:firstLine="0" w:firstLineChars="0"/>
              <w:jc w:val="center"/>
              <w:rPr>
                <w:rFonts w:hint="eastAsia" w:eastAsia="宋体"/>
                <w:color w:val="auto"/>
                <w:sz w:val="21"/>
                <w:szCs w:val="21"/>
                <w:lang w:val="en-US" w:eastAsia="zh-CN"/>
              </w:rPr>
            </w:pPr>
            <w:r>
              <w:rPr>
                <w:rFonts w:hint="eastAsia"/>
                <w:color w:val="auto"/>
                <w:sz w:val="21"/>
                <w:szCs w:val="21"/>
                <w:lang w:val="en-US" w:eastAsia="zh-CN"/>
              </w:rPr>
              <w:t>6</w:t>
            </w:r>
          </w:p>
        </w:tc>
        <w:tc>
          <w:tcPr>
            <w:tcW w:w="1767" w:type="pct"/>
            <w:tcBorders>
              <w:tl2br w:val="nil"/>
              <w:tr2bl w:val="nil"/>
            </w:tcBorders>
            <w:vAlign w:val="center"/>
          </w:tcPr>
          <w:p w14:paraId="26852C47">
            <w:pPr>
              <w:pStyle w:val="21"/>
              <w:keepNext w:val="0"/>
              <w:keepLines w:val="0"/>
              <w:suppressLineNumbers w:val="0"/>
              <w:spacing w:before="0" w:beforeAutospacing="0" w:after="0" w:afterAutospacing="0" w:line="320" w:lineRule="exact"/>
              <w:ind w:left="0" w:right="0"/>
              <w:jc w:val="both"/>
              <w:rPr>
                <w:rFonts w:hint="default"/>
                <w:color w:val="auto"/>
                <w:sz w:val="21"/>
              </w:rPr>
            </w:pPr>
            <w:r>
              <w:rPr>
                <w:rFonts w:hint="eastAsia"/>
                <w:color w:val="auto"/>
              </w:rPr>
              <w:t>斜坡道或巷道中的消火</w:t>
            </w:r>
            <w:r>
              <w:rPr>
                <w:rFonts w:hint="default" w:eastAsia="宋体"/>
                <w:color w:val="auto"/>
                <w:lang w:eastAsia="zh-CN"/>
              </w:rPr>
              <w:t>栓</w:t>
            </w:r>
            <w:r>
              <w:rPr>
                <w:rFonts w:hint="eastAsia"/>
                <w:color w:val="auto"/>
              </w:rPr>
              <w:t>设置</w:t>
            </w:r>
            <w:r>
              <w:rPr>
                <w:rFonts w:hint="default" w:eastAsia="宋体"/>
                <w:color w:val="auto"/>
                <w:lang w:val="en-US" w:eastAsia="zh-CN"/>
              </w:rPr>
              <w:t>间</w:t>
            </w:r>
            <w:r>
              <w:rPr>
                <w:rFonts w:hint="eastAsia"/>
                <w:color w:val="auto"/>
              </w:rPr>
              <w:t>距不大于100m</w:t>
            </w:r>
            <w:r>
              <w:rPr>
                <w:rFonts w:hint="default" w:eastAsia="宋体"/>
                <w:color w:val="auto"/>
                <w:lang w:eastAsia="zh-CN"/>
              </w:rPr>
              <w:t>：</w:t>
            </w:r>
            <w:r>
              <w:rPr>
                <w:rFonts w:hint="eastAsia"/>
                <w:color w:val="auto"/>
              </w:rPr>
              <w:t>每个消火栓应配有水枪和水带，水带的长度应满足消火栓设置间距内的消防要求</w:t>
            </w:r>
            <w:r>
              <w:rPr>
                <w:rFonts w:hint="default"/>
                <w:color w:val="auto"/>
              </w:rPr>
              <w:t>。</w:t>
            </w:r>
          </w:p>
        </w:tc>
        <w:tc>
          <w:tcPr>
            <w:tcW w:w="964" w:type="pct"/>
            <w:tcBorders>
              <w:tl2br w:val="nil"/>
              <w:tr2bl w:val="nil"/>
            </w:tcBorders>
            <w:vAlign w:val="center"/>
          </w:tcPr>
          <w:p w14:paraId="094E63DD">
            <w:pPr>
              <w:keepNext w:val="0"/>
              <w:keepLines w:val="0"/>
              <w:suppressLineNumbers w:val="0"/>
              <w:autoSpaceDE w:val="0"/>
              <w:autoSpaceDN w:val="0"/>
              <w:adjustRightInd w:val="0"/>
              <w:spacing w:before="0" w:beforeAutospacing="0" w:after="0" w:afterAutospacing="0" w:line="320" w:lineRule="exact"/>
              <w:ind w:left="0" w:right="0" w:firstLine="0" w:firstLineChars="0"/>
              <w:jc w:val="center"/>
              <w:rPr>
                <w:rFonts w:hint="default"/>
                <w:color w:val="auto"/>
                <w:sz w:val="21"/>
                <w:szCs w:val="21"/>
              </w:rPr>
            </w:pPr>
            <w:r>
              <w:rPr>
                <w:rFonts w:hint="eastAsia"/>
                <w:color w:val="auto"/>
                <w:sz w:val="21"/>
                <w:szCs w:val="21"/>
              </w:rPr>
              <w:t>《金属非金属矿山安全规程》(GB16423-2020)</w:t>
            </w:r>
          </w:p>
          <w:p w14:paraId="7FE560E9">
            <w:pPr>
              <w:pStyle w:val="21"/>
              <w:keepNext w:val="0"/>
              <w:keepLines w:val="0"/>
              <w:suppressLineNumbers w:val="0"/>
              <w:adjustRightInd w:val="0"/>
              <w:snapToGrid w:val="0"/>
              <w:spacing w:before="0" w:beforeAutospacing="0" w:after="0" w:afterAutospacing="0" w:line="320" w:lineRule="exact"/>
              <w:ind w:left="0" w:right="0"/>
              <w:outlineLvl w:val="9"/>
              <w:rPr>
                <w:rFonts w:hint="eastAsia"/>
                <w:color w:val="auto"/>
                <w:sz w:val="21"/>
              </w:rPr>
            </w:pPr>
            <w:r>
              <w:rPr>
                <w:rFonts w:hint="eastAsia"/>
                <w:color w:val="auto"/>
                <w:sz w:val="21"/>
              </w:rPr>
              <w:t>第6.9.1</w:t>
            </w:r>
            <w:r>
              <w:rPr>
                <w:rFonts w:hint="eastAsia"/>
                <w:color w:val="auto"/>
                <w:sz w:val="21"/>
                <w:lang w:val="en-US" w:eastAsia="zh-CN"/>
              </w:rPr>
              <w:t>.4</w:t>
            </w:r>
            <w:r>
              <w:rPr>
                <w:rFonts w:hint="eastAsia"/>
                <w:color w:val="auto"/>
                <w:sz w:val="21"/>
              </w:rPr>
              <w:t>条</w:t>
            </w:r>
          </w:p>
        </w:tc>
        <w:tc>
          <w:tcPr>
            <w:tcW w:w="1535" w:type="pct"/>
            <w:tcBorders>
              <w:tl2br w:val="nil"/>
              <w:tr2bl w:val="nil"/>
            </w:tcBorders>
            <w:vAlign w:val="center"/>
          </w:tcPr>
          <w:p w14:paraId="3EDE9B46">
            <w:pPr>
              <w:pStyle w:val="21"/>
              <w:keepNext w:val="0"/>
              <w:keepLines w:val="0"/>
              <w:suppressLineNumbers w:val="0"/>
              <w:spacing w:before="0" w:beforeAutospacing="0" w:after="0" w:afterAutospacing="0" w:line="320" w:lineRule="exact"/>
              <w:ind w:left="0" w:right="0"/>
              <w:jc w:val="both"/>
              <w:rPr>
                <w:rFonts w:hint="eastAsia" w:ascii="宋体" w:hAnsi="宋体" w:eastAsia="宋体" w:cs="宋体"/>
                <w:bCs w:val="0"/>
                <w:color w:val="auto"/>
                <w:kern w:val="2"/>
                <w:sz w:val="21"/>
                <w:szCs w:val="21"/>
                <w:lang w:val="en-US" w:eastAsia="zh-CN" w:bidi="ar-SA"/>
              </w:rPr>
            </w:pPr>
            <w:r>
              <w:rPr>
                <w:rFonts w:hint="default"/>
                <w:color w:val="auto"/>
                <w:szCs w:val="28"/>
              </w:rPr>
              <w:t>消火栓间距为100m</w:t>
            </w:r>
            <w:r>
              <w:rPr>
                <w:rFonts w:hint="eastAsia" w:ascii="宋体" w:hAnsi="宋体" w:eastAsia="宋体" w:cs="宋体"/>
                <w:bCs w:val="0"/>
                <w:color w:val="auto"/>
                <w:kern w:val="2"/>
                <w:sz w:val="21"/>
                <w:szCs w:val="21"/>
                <w:lang w:val="en-US" w:eastAsia="zh-CN" w:bidi="ar-SA"/>
              </w:rPr>
              <w:t>，每个消火栓均配有水枪和水带。</w:t>
            </w:r>
          </w:p>
        </w:tc>
        <w:tc>
          <w:tcPr>
            <w:tcW w:w="379" w:type="pct"/>
            <w:tcBorders>
              <w:tl2br w:val="nil"/>
              <w:tr2bl w:val="nil"/>
            </w:tcBorders>
            <w:vAlign w:val="center"/>
          </w:tcPr>
          <w:p w14:paraId="17D5FC07">
            <w:pPr>
              <w:pStyle w:val="21"/>
              <w:keepNext w:val="0"/>
              <w:keepLines w:val="0"/>
              <w:suppressLineNumbers w:val="0"/>
              <w:spacing w:before="0" w:beforeAutospacing="0" w:after="0" w:afterAutospacing="0" w:line="320" w:lineRule="exact"/>
              <w:ind w:left="0" w:right="0"/>
              <w:rPr>
                <w:rFonts w:hint="eastAsia" w:cs="宋体"/>
                <w:bCs/>
                <w:color w:val="auto"/>
                <w:kern w:val="2"/>
                <w:sz w:val="21"/>
              </w:rPr>
            </w:pPr>
            <w:r>
              <w:rPr>
                <w:rFonts w:hint="eastAsia" w:cs="宋体"/>
                <w:bCs/>
                <w:color w:val="auto"/>
                <w:kern w:val="2"/>
                <w:sz w:val="21"/>
              </w:rPr>
              <w:t>符合</w:t>
            </w:r>
          </w:p>
        </w:tc>
      </w:tr>
    </w:tbl>
    <w:p w14:paraId="53874B03">
      <w:pPr>
        <w:ind w:firstLine="560"/>
        <w:rPr>
          <w:color w:val="auto"/>
        </w:rPr>
      </w:pPr>
      <w:r>
        <w:rPr>
          <w:rFonts w:hint="eastAsia"/>
          <w:color w:val="auto"/>
        </w:rPr>
        <w:t>本单元采用安全检查表法共设检查项</w:t>
      </w:r>
      <w:r>
        <w:rPr>
          <w:rFonts w:hint="eastAsia"/>
          <w:color w:val="auto"/>
          <w:lang w:val="en-US" w:eastAsia="zh-CN"/>
        </w:rPr>
        <w:t>6</w:t>
      </w:r>
      <w:r>
        <w:rPr>
          <w:rFonts w:hint="eastAsia"/>
          <w:color w:val="auto"/>
        </w:rPr>
        <w:t>项，</w:t>
      </w:r>
      <w:r>
        <w:rPr>
          <w:rFonts w:hint="eastAsia"/>
          <w:color w:val="auto"/>
          <w:lang w:val="en-US" w:eastAsia="zh-CN"/>
        </w:rPr>
        <w:t>其中2项不</w:t>
      </w:r>
      <w:r>
        <w:rPr>
          <w:color w:val="auto"/>
        </w:rPr>
        <w:t>符合</w:t>
      </w:r>
      <w:r>
        <w:rPr>
          <w:rFonts w:hint="eastAsia"/>
          <w:color w:val="auto"/>
        </w:rPr>
        <w:t>要求。</w:t>
      </w:r>
    </w:p>
    <w:p w14:paraId="109E9DF0">
      <w:pPr>
        <w:pStyle w:val="5"/>
        <w:keepNext/>
        <w:keepLines/>
        <w:pageBreakBefore w:val="0"/>
        <w:widowControl w:val="0"/>
        <w:tabs>
          <w:tab w:val="left" w:pos="8265"/>
        </w:tabs>
        <w:kinsoku/>
        <w:wordWrap/>
        <w:overflowPunct/>
        <w:topLinePunct w:val="0"/>
        <w:autoSpaceDE/>
        <w:autoSpaceDN/>
        <w:bidi w:val="0"/>
        <w:adjustRightInd/>
        <w:snapToGrid/>
        <w:spacing w:before="120" w:beforeLines="0" w:after="120" w:afterLines="0"/>
        <w:ind w:firstLine="560" w:firstLineChars="200"/>
        <w:textAlignment w:val="auto"/>
        <w:outlineLvl w:val="3"/>
        <w:rPr>
          <w:rFonts w:hint="eastAsia" w:ascii="宋体" w:hAnsi="宋体" w:eastAsia="宋体" w:cs="宋体"/>
          <w:b/>
          <w:bCs w:val="0"/>
          <w:color w:val="auto"/>
        </w:rPr>
      </w:pPr>
      <w:r>
        <w:rPr>
          <w:rFonts w:hint="eastAsia" w:ascii="宋体" w:hAnsi="宋体" w:eastAsia="宋体" w:cs="宋体"/>
          <w:b/>
          <w:bCs w:val="0"/>
          <w:color w:val="auto"/>
        </w:rPr>
        <w:t>3.</w:t>
      </w:r>
      <w:r>
        <w:rPr>
          <w:rFonts w:hint="eastAsia" w:ascii="宋体" w:hAnsi="宋体" w:eastAsia="宋体" w:cs="宋体"/>
          <w:b/>
          <w:bCs w:val="0"/>
          <w:color w:val="auto"/>
          <w:lang w:val="en-US" w:eastAsia="zh-CN"/>
        </w:rPr>
        <w:t>7</w:t>
      </w:r>
      <w:r>
        <w:rPr>
          <w:rFonts w:hint="eastAsia" w:ascii="宋体" w:hAnsi="宋体" w:eastAsia="宋体" w:cs="宋体"/>
          <w:b/>
          <w:bCs w:val="0"/>
          <w:color w:val="auto"/>
        </w:rPr>
        <w:t>.</w:t>
      </w:r>
      <w:r>
        <w:rPr>
          <w:rFonts w:hint="eastAsia" w:ascii="宋体" w:hAnsi="宋体" w:eastAsia="宋体" w:cs="宋体"/>
          <w:b/>
          <w:bCs w:val="0"/>
          <w:color w:val="auto"/>
          <w:lang w:val="en-US" w:eastAsia="zh-CN"/>
        </w:rPr>
        <w:t>2.3</w:t>
      </w:r>
      <w:r>
        <w:rPr>
          <w:rFonts w:hint="eastAsia" w:ascii="宋体" w:hAnsi="宋体" w:eastAsia="宋体" w:cs="宋体"/>
          <w:b/>
          <w:bCs w:val="0"/>
          <w:color w:val="auto"/>
        </w:rPr>
        <w:t xml:space="preserve"> 单元评价总结</w:t>
      </w:r>
    </w:p>
    <w:p w14:paraId="644B75B3">
      <w:pPr>
        <w:ind w:firstLine="560"/>
        <w:rPr>
          <w:rFonts w:hint="eastAsia"/>
          <w:color w:val="auto"/>
        </w:rPr>
      </w:pPr>
      <w:r>
        <w:rPr>
          <w:rFonts w:hint="eastAsia"/>
          <w:color w:val="auto"/>
        </w:rPr>
        <w:t>(</w:t>
      </w:r>
      <w:r>
        <w:rPr>
          <w:rFonts w:hint="eastAsia"/>
          <w:color w:val="auto"/>
          <w:lang w:val="en-US" w:eastAsia="zh-CN"/>
        </w:rPr>
        <w:t>1</w:t>
      </w:r>
      <w:r>
        <w:rPr>
          <w:rFonts w:hint="eastAsia"/>
          <w:color w:val="auto"/>
        </w:rPr>
        <w:t>)通过预先危险性分析得知，防灭火单元各</w:t>
      </w:r>
      <w:r>
        <w:rPr>
          <w:color w:val="auto"/>
        </w:rPr>
        <w:t>危险因素</w:t>
      </w:r>
      <w:r>
        <w:rPr>
          <w:rFonts w:hint="eastAsia"/>
          <w:color w:val="auto"/>
        </w:rPr>
        <w:t>危险等级均属于Ⅲ级，是危险的，基建生产过程中需严加防范，避免矿山火灾的发生。</w:t>
      </w:r>
    </w:p>
    <w:p w14:paraId="3669F542">
      <w:pPr>
        <w:ind w:firstLine="560"/>
        <w:rPr>
          <w:rFonts w:hint="eastAsia" w:ascii="宋体" w:hAnsi="宋体" w:eastAsia="宋体"/>
          <w:color w:val="auto"/>
        </w:rPr>
      </w:pPr>
      <w:r>
        <w:rPr>
          <w:rFonts w:hint="eastAsia" w:ascii="宋体" w:hAnsi="宋体" w:eastAsia="宋体"/>
          <w:color w:val="auto"/>
        </w:rPr>
        <w:t>经检查，该矿山消防设计方案总体满足有关要求。</w:t>
      </w:r>
    </w:p>
    <w:p w14:paraId="5203A8E4">
      <w:pPr>
        <w:ind w:firstLine="560"/>
        <w:rPr>
          <w:rFonts w:hint="eastAsia" w:ascii="宋体" w:hAnsi="宋体" w:eastAsia="宋体"/>
          <w:color w:val="auto"/>
        </w:rPr>
      </w:pPr>
      <w:r>
        <w:rPr>
          <w:rFonts w:hint="eastAsia" w:ascii="宋体" w:hAnsi="宋体" w:eastAsia="宋体"/>
          <w:color w:val="auto"/>
        </w:rPr>
        <w:t>(</w:t>
      </w:r>
      <w:r>
        <w:rPr>
          <w:rFonts w:hint="eastAsia" w:ascii="宋体" w:hAnsi="宋体" w:eastAsia="宋体"/>
          <w:color w:val="auto"/>
          <w:lang w:val="en-US" w:eastAsia="zh-CN"/>
        </w:rPr>
        <w:t>2</w:t>
      </w:r>
      <w:r>
        <w:rPr>
          <w:rFonts w:hint="eastAsia" w:ascii="宋体" w:hAnsi="宋体" w:eastAsia="宋体"/>
          <w:color w:val="auto"/>
        </w:rPr>
        <w:t>)下步安全设施设计时需完善的问题：</w:t>
      </w:r>
    </w:p>
    <w:p w14:paraId="368CC793">
      <w:pPr>
        <w:ind w:firstLine="560"/>
        <w:rPr>
          <w:rFonts w:hint="eastAsia" w:ascii="宋体" w:hAnsi="宋体" w:eastAsia="宋体"/>
          <w:color w:val="auto"/>
        </w:rPr>
      </w:pPr>
      <w:r>
        <w:rPr>
          <w:rFonts w:hint="eastAsia" w:ascii="宋体" w:hAnsi="宋体" w:eastAsia="宋体"/>
          <w:color w:val="auto"/>
          <w:lang w:val="en-US" w:eastAsia="zh-CN"/>
        </w:rPr>
        <w:t>1</w:t>
      </w:r>
      <w:r>
        <w:rPr>
          <w:rFonts w:hint="eastAsia" w:ascii="宋体" w:hAnsi="宋体" w:eastAsia="宋体"/>
          <w:color w:val="auto"/>
        </w:rPr>
        <w:t>)</w:t>
      </w:r>
      <w:r>
        <w:rPr>
          <w:rFonts w:hint="eastAsia" w:ascii="宋体" w:hAnsi="宋体" w:eastAsia="宋体"/>
          <w:color w:val="auto"/>
          <w:lang w:val="en-US" w:eastAsia="zh-CN"/>
        </w:rPr>
        <w:t>明确灭火器配置数量要求</w:t>
      </w:r>
      <w:r>
        <w:rPr>
          <w:rFonts w:hint="eastAsia" w:ascii="宋体" w:hAnsi="宋体" w:eastAsia="宋体"/>
          <w:color w:val="auto"/>
        </w:rPr>
        <w:t>。</w:t>
      </w:r>
    </w:p>
    <w:p w14:paraId="05B63349">
      <w:pPr>
        <w:ind w:firstLine="560"/>
        <w:rPr>
          <w:color w:val="auto"/>
        </w:rPr>
      </w:pPr>
      <w:r>
        <w:rPr>
          <w:rFonts w:hint="eastAsia" w:ascii="宋体" w:hAnsi="宋体" w:eastAsia="宋体"/>
          <w:color w:val="auto"/>
          <w:lang w:val="en-US" w:eastAsia="zh-CN"/>
        </w:rPr>
        <w:t>2</w:t>
      </w:r>
      <w:r>
        <w:rPr>
          <w:rFonts w:hint="eastAsia" w:ascii="宋体" w:hAnsi="宋体" w:eastAsia="宋体"/>
          <w:color w:val="auto"/>
        </w:rPr>
        <w:t>)</w:t>
      </w:r>
      <w:r>
        <w:rPr>
          <w:rFonts w:hint="eastAsia" w:ascii="宋体" w:hAnsi="宋体" w:eastAsia="宋体"/>
          <w:color w:val="auto"/>
          <w:lang w:val="en-US" w:eastAsia="zh-CN"/>
        </w:rPr>
        <w:t>明确消防水池容积。</w:t>
      </w:r>
      <w:bookmarkStart w:id="126" w:name="_Toc139081694"/>
      <w:bookmarkStart w:id="127" w:name="_Toc140422073"/>
    </w:p>
    <w:p w14:paraId="4272BBBE">
      <w:pPr>
        <w:pStyle w:val="3"/>
        <w:rPr>
          <w:color w:val="auto"/>
        </w:rPr>
      </w:pPr>
      <w:bookmarkStart w:id="128" w:name="_Toc26841"/>
      <w:r>
        <w:rPr>
          <w:rFonts w:hint="eastAsia"/>
          <w:color w:val="auto"/>
        </w:rPr>
        <w:t>3.</w:t>
      </w:r>
      <w:r>
        <w:rPr>
          <w:rFonts w:hint="eastAsia"/>
          <w:color w:val="auto"/>
          <w:lang w:val="en-US" w:eastAsia="zh-CN"/>
        </w:rPr>
        <w:t>8</w:t>
      </w:r>
      <w:r>
        <w:rPr>
          <w:rFonts w:hint="eastAsia"/>
          <w:color w:val="auto"/>
        </w:rPr>
        <w:t>安全避险“六大系统”单元</w:t>
      </w:r>
      <w:bookmarkEnd w:id="128"/>
    </w:p>
    <w:p w14:paraId="3137744D">
      <w:pPr>
        <w:ind w:firstLine="560"/>
        <w:rPr>
          <w:color w:val="auto"/>
        </w:rPr>
      </w:pPr>
      <w:r>
        <w:rPr>
          <w:rFonts w:hint="eastAsia"/>
          <w:color w:val="auto"/>
        </w:rPr>
        <w:t>本节采用安全检查表对矿山的安全避险“六大系统”进行评价。</w:t>
      </w:r>
    </w:p>
    <w:p w14:paraId="33634F07">
      <w:pPr>
        <w:pStyle w:val="36"/>
        <w:rPr>
          <w:color w:val="auto"/>
        </w:rPr>
      </w:pPr>
      <w:r>
        <w:rPr>
          <w:rFonts w:hint="eastAsia"/>
          <w:color w:val="auto"/>
        </w:rPr>
        <w:t>表3-</w:t>
      </w:r>
      <w:r>
        <w:rPr>
          <w:rFonts w:hint="eastAsia"/>
          <w:color w:val="auto"/>
          <w:lang w:val="en-US" w:eastAsia="zh-CN"/>
        </w:rPr>
        <w:t>8</w:t>
      </w:r>
      <w:r>
        <w:rPr>
          <w:rFonts w:hint="eastAsia"/>
          <w:color w:val="auto"/>
        </w:rPr>
        <w:t xml:space="preserve">  安全避险“六大系统”安全检查表</w:t>
      </w:r>
    </w:p>
    <w:tbl>
      <w:tblPr>
        <w:tblStyle w:val="24"/>
        <w:tblW w:w="9392"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684"/>
        <w:gridCol w:w="416"/>
        <w:gridCol w:w="4241"/>
        <w:gridCol w:w="1818"/>
        <w:gridCol w:w="1496"/>
        <w:gridCol w:w="737"/>
      </w:tblGrid>
      <w:tr w14:paraId="4CF7FDD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74" w:hRule="atLeast"/>
          <w:tblHeader/>
          <w:jc w:val="center"/>
        </w:trPr>
        <w:tc>
          <w:tcPr>
            <w:tcW w:w="684" w:type="dxa"/>
            <w:tcBorders>
              <w:tl2br w:val="nil"/>
              <w:tr2bl w:val="nil"/>
            </w:tcBorders>
            <w:vAlign w:val="center"/>
          </w:tcPr>
          <w:p w14:paraId="5CB6056D">
            <w:pPr>
              <w:pStyle w:val="34"/>
              <w:keepNext w:val="0"/>
              <w:keepLines w:val="0"/>
              <w:suppressLineNumbers w:val="0"/>
              <w:spacing w:before="0" w:beforeAutospacing="0" w:after="0" w:afterAutospacing="0"/>
              <w:ind w:left="0" w:right="0"/>
              <w:jc w:val="center"/>
              <w:rPr>
                <w:rFonts w:hint="default"/>
                <w:b/>
                <w:bCs/>
                <w:color w:val="auto"/>
              </w:rPr>
            </w:pPr>
            <w:r>
              <w:rPr>
                <w:rFonts w:hint="eastAsia"/>
                <w:b/>
                <w:bCs/>
                <w:color w:val="auto"/>
              </w:rPr>
              <w:t>序号</w:t>
            </w:r>
          </w:p>
        </w:tc>
        <w:tc>
          <w:tcPr>
            <w:tcW w:w="4657" w:type="dxa"/>
            <w:gridSpan w:val="2"/>
            <w:tcBorders>
              <w:tl2br w:val="nil"/>
              <w:tr2bl w:val="nil"/>
            </w:tcBorders>
            <w:vAlign w:val="center"/>
          </w:tcPr>
          <w:p w14:paraId="46F3FECC">
            <w:pPr>
              <w:pStyle w:val="34"/>
              <w:keepNext w:val="0"/>
              <w:keepLines w:val="0"/>
              <w:suppressLineNumbers w:val="0"/>
              <w:spacing w:before="0" w:beforeAutospacing="0" w:after="0" w:afterAutospacing="0"/>
              <w:ind w:left="0" w:right="0"/>
              <w:jc w:val="center"/>
              <w:rPr>
                <w:rFonts w:hint="default"/>
                <w:b/>
                <w:bCs/>
                <w:color w:val="auto"/>
              </w:rPr>
            </w:pPr>
            <w:r>
              <w:rPr>
                <w:rFonts w:hint="eastAsia"/>
                <w:b/>
                <w:bCs/>
                <w:color w:val="auto"/>
              </w:rPr>
              <w:t>检查内容</w:t>
            </w:r>
          </w:p>
        </w:tc>
        <w:tc>
          <w:tcPr>
            <w:tcW w:w="1818" w:type="dxa"/>
            <w:tcBorders>
              <w:tl2br w:val="nil"/>
              <w:tr2bl w:val="nil"/>
            </w:tcBorders>
            <w:vAlign w:val="center"/>
          </w:tcPr>
          <w:p w14:paraId="6F91588F">
            <w:pPr>
              <w:pStyle w:val="34"/>
              <w:keepNext w:val="0"/>
              <w:keepLines w:val="0"/>
              <w:suppressLineNumbers w:val="0"/>
              <w:spacing w:before="0" w:beforeAutospacing="0" w:after="0" w:afterAutospacing="0"/>
              <w:ind w:left="0" w:right="0"/>
              <w:jc w:val="center"/>
              <w:rPr>
                <w:rFonts w:hint="default"/>
                <w:b/>
                <w:bCs/>
                <w:color w:val="auto"/>
              </w:rPr>
            </w:pPr>
            <w:r>
              <w:rPr>
                <w:rFonts w:hint="eastAsia"/>
                <w:b/>
                <w:bCs/>
                <w:color w:val="auto"/>
              </w:rPr>
              <w:t>检查依据</w:t>
            </w:r>
          </w:p>
        </w:tc>
        <w:tc>
          <w:tcPr>
            <w:tcW w:w="1496" w:type="dxa"/>
            <w:tcBorders>
              <w:tl2br w:val="nil"/>
              <w:tr2bl w:val="nil"/>
            </w:tcBorders>
            <w:vAlign w:val="center"/>
          </w:tcPr>
          <w:p w14:paraId="34AF0F53">
            <w:pPr>
              <w:pStyle w:val="34"/>
              <w:keepNext w:val="0"/>
              <w:keepLines w:val="0"/>
              <w:suppressLineNumbers w:val="0"/>
              <w:spacing w:before="0" w:beforeAutospacing="0" w:after="0" w:afterAutospacing="0"/>
              <w:ind w:left="0" w:right="0"/>
              <w:jc w:val="center"/>
              <w:rPr>
                <w:rFonts w:hint="default"/>
                <w:b/>
                <w:bCs/>
                <w:color w:val="auto"/>
              </w:rPr>
            </w:pPr>
            <w:r>
              <w:rPr>
                <w:rFonts w:hint="eastAsia"/>
                <w:b/>
                <w:bCs/>
                <w:color w:val="auto"/>
              </w:rPr>
              <w:t>检查情况</w:t>
            </w:r>
          </w:p>
        </w:tc>
        <w:tc>
          <w:tcPr>
            <w:tcW w:w="737" w:type="dxa"/>
            <w:tcBorders>
              <w:tl2br w:val="nil"/>
              <w:tr2bl w:val="nil"/>
            </w:tcBorders>
            <w:vAlign w:val="center"/>
          </w:tcPr>
          <w:p w14:paraId="571CCDC1">
            <w:pPr>
              <w:pStyle w:val="34"/>
              <w:keepNext w:val="0"/>
              <w:keepLines w:val="0"/>
              <w:suppressLineNumbers w:val="0"/>
              <w:spacing w:before="0" w:beforeAutospacing="0" w:after="0" w:afterAutospacing="0"/>
              <w:ind w:left="0" w:right="0"/>
              <w:jc w:val="center"/>
              <w:rPr>
                <w:rFonts w:hint="default" w:eastAsia="宋体"/>
                <w:b/>
                <w:bCs/>
                <w:color w:val="auto"/>
                <w:lang w:val="en-US" w:eastAsia="zh-CN"/>
              </w:rPr>
            </w:pPr>
            <w:r>
              <w:rPr>
                <w:rFonts w:hint="eastAsia"/>
                <w:b/>
                <w:bCs/>
                <w:color w:val="auto"/>
                <w:lang w:val="en-US" w:eastAsia="zh-CN"/>
              </w:rPr>
              <w:t>检查结果</w:t>
            </w:r>
          </w:p>
        </w:tc>
      </w:tr>
      <w:tr w14:paraId="4FD4594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30" w:hRule="atLeast"/>
          <w:jc w:val="center"/>
        </w:trPr>
        <w:tc>
          <w:tcPr>
            <w:tcW w:w="684" w:type="dxa"/>
            <w:vMerge w:val="restart"/>
            <w:tcBorders>
              <w:tl2br w:val="nil"/>
              <w:tr2bl w:val="nil"/>
            </w:tcBorders>
            <w:vAlign w:val="center"/>
          </w:tcPr>
          <w:p w14:paraId="68DA96D5">
            <w:pPr>
              <w:pStyle w:val="34"/>
              <w:keepNext w:val="0"/>
              <w:keepLines w:val="0"/>
              <w:numPr>
                <w:ilvl w:val="0"/>
                <w:numId w:val="0"/>
              </w:numPr>
              <w:suppressLineNumbers w:val="0"/>
              <w:spacing w:before="0" w:beforeAutospacing="0" w:after="0" w:afterAutospacing="0"/>
              <w:ind w:left="0" w:leftChars="0" w:right="0" w:rightChars="0"/>
              <w:jc w:val="center"/>
              <w:rPr>
                <w:rFonts w:hint="eastAsia" w:eastAsia="宋体"/>
                <w:color w:val="auto"/>
                <w:lang w:val="en-US" w:eastAsia="zh-CN"/>
              </w:rPr>
            </w:pPr>
            <w:r>
              <w:rPr>
                <w:rFonts w:hint="eastAsia"/>
                <w:color w:val="auto"/>
                <w:lang w:val="en-US" w:eastAsia="zh-CN"/>
              </w:rPr>
              <w:t>1</w:t>
            </w:r>
          </w:p>
        </w:tc>
        <w:tc>
          <w:tcPr>
            <w:tcW w:w="416" w:type="dxa"/>
            <w:vMerge w:val="restart"/>
            <w:tcBorders>
              <w:tl2br w:val="nil"/>
              <w:tr2bl w:val="nil"/>
            </w:tcBorders>
            <w:vAlign w:val="center"/>
          </w:tcPr>
          <w:p w14:paraId="050D8CE9">
            <w:pPr>
              <w:pStyle w:val="34"/>
              <w:keepNext w:val="0"/>
              <w:keepLines w:val="0"/>
              <w:suppressLineNumbers w:val="0"/>
              <w:spacing w:before="0" w:beforeAutospacing="0" w:after="0" w:afterAutospacing="0"/>
              <w:ind w:left="0" w:right="0"/>
              <w:jc w:val="center"/>
              <w:rPr>
                <w:rFonts w:hint="default"/>
                <w:color w:val="auto"/>
              </w:rPr>
            </w:pPr>
            <w:r>
              <w:rPr>
                <w:rFonts w:hint="default"/>
                <w:color w:val="auto"/>
              </w:rPr>
              <w:t>监测监控系统</w:t>
            </w:r>
          </w:p>
        </w:tc>
        <w:tc>
          <w:tcPr>
            <w:tcW w:w="4241" w:type="dxa"/>
            <w:tcBorders>
              <w:tl2br w:val="nil"/>
              <w:tr2bl w:val="nil"/>
            </w:tcBorders>
            <w:vAlign w:val="center"/>
          </w:tcPr>
          <w:p w14:paraId="28544B17">
            <w:pPr>
              <w:pStyle w:val="34"/>
              <w:keepNext w:val="0"/>
              <w:keepLines w:val="0"/>
              <w:suppressLineNumbers w:val="0"/>
              <w:spacing w:before="0" w:beforeAutospacing="0" w:after="0" w:afterAutospacing="0"/>
              <w:ind w:left="0" w:right="0"/>
              <w:rPr>
                <w:rFonts w:hint="default"/>
                <w:color w:val="auto"/>
              </w:rPr>
            </w:pPr>
            <w:r>
              <w:rPr>
                <w:rFonts w:hint="eastAsia"/>
                <w:color w:val="auto"/>
              </w:rPr>
              <w:t>(1)</w:t>
            </w:r>
            <w:r>
              <w:rPr>
                <w:rFonts w:hint="default"/>
                <w:color w:val="auto"/>
              </w:rPr>
              <w:t>有毒有害气体监测</w:t>
            </w:r>
          </w:p>
          <w:p w14:paraId="6D1F73C5">
            <w:pPr>
              <w:pStyle w:val="34"/>
              <w:keepNext w:val="0"/>
              <w:keepLines w:val="0"/>
              <w:suppressLineNumbers w:val="0"/>
              <w:spacing w:before="0" w:beforeAutospacing="0" w:after="0" w:afterAutospacing="0"/>
              <w:ind w:left="0" w:right="0"/>
              <w:rPr>
                <w:rFonts w:hint="eastAsia" w:eastAsia="宋体"/>
                <w:color w:val="auto"/>
                <w:lang w:eastAsia="zh-CN"/>
              </w:rPr>
            </w:pPr>
            <w:r>
              <w:rPr>
                <w:rFonts w:hint="default"/>
                <w:color w:val="auto"/>
              </w:rPr>
              <w:t>地下矿山应配置足够的便携式气体检测报警仪。便携式气体检测报警仪应能测量一氧化碳、氧气、二氧化氮浓度，并具有报警参数设置和声光报警功能。每个生产中段和分段的进、回风巷靠近采场位置应设置一氧化碳或二氧化氮传感器</w:t>
            </w:r>
            <w:r>
              <w:rPr>
                <w:rFonts w:hint="eastAsia"/>
                <w:color w:val="auto"/>
                <w:lang w:eastAsia="zh-CN"/>
              </w:rPr>
              <w:t>。</w:t>
            </w:r>
          </w:p>
        </w:tc>
        <w:tc>
          <w:tcPr>
            <w:tcW w:w="1818" w:type="dxa"/>
            <w:tcBorders>
              <w:tl2br w:val="nil"/>
              <w:tr2bl w:val="nil"/>
            </w:tcBorders>
            <w:vAlign w:val="center"/>
          </w:tcPr>
          <w:p w14:paraId="03486DCF">
            <w:pPr>
              <w:pStyle w:val="34"/>
              <w:keepNext w:val="0"/>
              <w:keepLines w:val="0"/>
              <w:suppressLineNumbers w:val="0"/>
              <w:spacing w:before="0" w:beforeAutospacing="0" w:after="0" w:afterAutospacing="0"/>
              <w:ind w:left="0" w:right="0"/>
              <w:rPr>
                <w:rFonts w:hint="default"/>
                <w:color w:val="auto"/>
              </w:rPr>
            </w:pPr>
            <w:r>
              <w:rPr>
                <w:rFonts w:hint="eastAsia"/>
                <w:color w:val="auto"/>
              </w:rPr>
              <w:t>《金属非金属地下矿山监测监控系统建设规范》      (AQ2031-2011)</w:t>
            </w:r>
          </w:p>
        </w:tc>
        <w:tc>
          <w:tcPr>
            <w:tcW w:w="1496" w:type="dxa"/>
            <w:tcBorders>
              <w:tl2br w:val="nil"/>
              <w:tr2bl w:val="nil"/>
            </w:tcBorders>
            <w:vAlign w:val="center"/>
          </w:tcPr>
          <w:p w14:paraId="0470A3C2">
            <w:pPr>
              <w:pStyle w:val="34"/>
              <w:keepNext w:val="0"/>
              <w:keepLines w:val="0"/>
              <w:suppressLineNumbers w:val="0"/>
              <w:spacing w:before="0" w:beforeAutospacing="0" w:after="0" w:afterAutospacing="0"/>
              <w:ind w:left="0" w:right="0"/>
              <w:rPr>
                <w:rFonts w:hint="eastAsia" w:eastAsia="宋体"/>
                <w:color w:val="auto"/>
                <w:lang w:eastAsia="zh-CN"/>
              </w:rPr>
            </w:pPr>
            <w:r>
              <w:rPr>
                <w:rFonts w:hint="eastAsia"/>
                <w:color w:val="auto"/>
                <w:lang w:eastAsia="zh-CN"/>
              </w:rPr>
              <w:t>根据可研报告，拟配备</w:t>
            </w:r>
            <w:r>
              <w:rPr>
                <w:rFonts w:hint="default"/>
                <w:color w:val="auto"/>
                <w:szCs w:val="21"/>
              </w:rPr>
              <w:t>便携式</w:t>
            </w:r>
            <w:r>
              <w:rPr>
                <w:rFonts w:hint="eastAsia"/>
                <w:color w:val="auto"/>
                <w:szCs w:val="21"/>
                <w:lang w:val="en-US" w:eastAsia="zh-CN"/>
              </w:rPr>
              <w:t>三合一</w:t>
            </w:r>
            <w:r>
              <w:rPr>
                <w:rFonts w:hint="default"/>
                <w:color w:val="auto"/>
                <w:szCs w:val="21"/>
              </w:rPr>
              <w:t>气体检测</w:t>
            </w:r>
            <w:r>
              <w:rPr>
                <w:rFonts w:hint="eastAsia"/>
                <w:color w:val="auto"/>
                <w:szCs w:val="21"/>
                <w:lang w:val="en-US" w:eastAsia="zh-CN"/>
              </w:rPr>
              <w:t>报警</w:t>
            </w:r>
            <w:r>
              <w:rPr>
                <w:rFonts w:hint="default"/>
                <w:color w:val="auto"/>
                <w:szCs w:val="21"/>
              </w:rPr>
              <w:t>仪</w:t>
            </w:r>
            <w:r>
              <w:rPr>
                <w:rFonts w:hint="eastAsia"/>
                <w:color w:val="auto"/>
                <w:lang w:eastAsia="zh-CN"/>
              </w:rPr>
              <w:t>。在</w:t>
            </w:r>
            <w:r>
              <w:rPr>
                <w:rFonts w:hint="eastAsia"/>
                <w:color w:val="auto"/>
                <w:lang w:val="en-US" w:eastAsia="zh-CN"/>
              </w:rPr>
              <w:t>生产中段/分段、采掘工作面</w:t>
            </w:r>
            <w:r>
              <w:rPr>
                <w:rFonts w:hint="eastAsia"/>
                <w:color w:val="auto"/>
                <w:lang w:eastAsia="zh-CN"/>
              </w:rPr>
              <w:t>配备</w:t>
            </w:r>
            <w:r>
              <w:rPr>
                <w:rFonts w:hint="eastAsia"/>
                <w:color w:val="auto"/>
                <w:sz w:val="21"/>
                <w:szCs w:val="21"/>
                <w:lang w:val="en-US" w:eastAsia="zh-CN"/>
              </w:rPr>
              <w:t>5台矿用型一氧化碳传感器</w:t>
            </w:r>
            <w:r>
              <w:rPr>
                <w:rFonts w:hint="eastAsia"/>
                <w:color w:val="auto"/>
                <w:sz w:val="21"/>
                <w:szCs w:val="21"/>
                <w:lang w:eastAsia="zh-CN"/>
              </w:rPr>
              <w:t>。</w:t>
            </w:r>
          </w:p>
        </w:tc>
        <w:tc>
          <w:tcPr>
            <w:tcW w:w="737" w:type="dxa"/>
            <w:tcBorders>
              <w:tl2br w:val="nil"/>
              <w:tr2bl w:val="nil"/>
            </w:tcBorders>
            <w:vAlign w:val="center"/>
          </w:tcPr>
          <w:p w14:paraId="4A398046">
            <w:pPr>
              <w:pStyle w:val="34"/>
              <w:keepNext w:val="0"/>
              <w:keepLines w:val="0"/>
              <w:suppressLineNumbers w:val="0"/>
              <w:spacing w:before="0" w:beforeAutospacing="0" w:after="0" w:afterAutospacing="0"/>
              <w:ind w:left="0" w:right="0"/>
              <w:rPr>
                <w:rFonts w:hint="default"/>
                <w:color w:val="auto"/>
              </w:rPr>
            </w:pPr>
            <w:r>
              <w:rPr>
                <w:rFonts w:hint="eastAsia"/>
                <w:color w:val="auto"/>
              </w:rPr>
              <w:t>符合</w:t>
            </w:r>
          </w:p>
        </w:tc>
      </w:tr>
      <w:tr w14:paraId="0AD69F3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30" w:hRule="atLeast"/>
          <w:jc w:val="center"/>
        </w:trPr>
        <w:tc>
          <w:tcPr>
            <w:tcW w:w="684" w:type="dxa"/>
            <w:vMerge w:val="continue"/>
            <w:tcBorders>
              <w:tl2br w:val="nil"/>
              <w:tr2bl w:val="nil"/>
            </w:tcBorders>
            <w:vAlign w:val="center"/>
          </w:tcPr>
          <w:p w14:paraId="5D59E54B">
            <w:pPr>
              <w:pStyle w:val="34"/>
              <w:keepNext w:val="0"/>
              <w:keepLines w:val="0"/>
              <w:numPr>
                <w:ilvl w:val="0"/>
                <w:numId w:val="0"/>
              </w:numPr>
              <w:suppressLineNumbers w:val="0"/>
              <w:spacing w:before="0" w:beforeAutospacing="0" w:after="0" w:afterAutospacing="0"/>
              <w:ind w:left="0" w:leftChars="0" w:right="0" w:rightChars="0"/>
              <w:jc w:val="center"/>
              <w:rPr>
                <w:rFonts w:hint="eastAsia" w:eastAsia="宋体"/>
                <w:color w:val="auto"/>
                <w:lang w:val="en-US" w:eastAsia="zh-CN"/>
              </w:rPr>
            </w:pPr>
          </w:p>
        </w:tc>
        <w:tc>
          <w:tcPr>
            <w:tcW w:w="416" w:type="dxa"/>
            <w:vMerge w:val="continue"/>
            <w:tcBorders>
              <w:tl2br w:val="nil"/>
              <w:tr2bl w:val="nil"/>
            </w:tcBorders>
            <w:vAlign w:val="center"/>
          </w:tcPr>
          <w:p w14:paraId="17124AA7">
            <w:pPr>
              <w:pStyle w:val="34"/>
              <w:keepNext w:val="0"/>
              <w:keepLines w:val="0"/>
              <w:suppressLineNumbers w:val="0"/>
              <w:spacing w:before="0" w:beforeAutospacing="0" w:after="0" w:afterAutospacing="0"/>
              <w:ind w:left="0" w:right="0"/>
              <w:jc w:val="center"/>
              <w:rPr>
                <w:rFonts w:hint="default"/>
                <w:color w:val="auto"/>
              </w:rPr>
            </w:pPr>
          </w:p>
        </w:tc>
        <w:tc>
          <w:tcPr>
            <w:tcW w:w="4241" w:type="dxa"/>
            <w:tcBorders>
              <w:tl2br w:val="nil"/>
              <w:tr2bl w:val="nil"/>
            </w:tcBorders>
            <w:vAlign w:val="center"/>
          </w:tcPr>
          <w:p w14:paraId="1BF10222">
            <w:pPr>
              <w:pStyle w:val="34"/>
              <w:keepNext w:val="0"/>
              <w:keepLines w:val="0"/>
              <w:suppressLineNumbers w:val="0"/>
              <w:spacing w:before="0" w:beforeAutospacing="0" w:after="0" w:afterAutospacing="0"/>
              <w:ind w:left="0" w:right="0"/>
              <w:rPr>
                <w:rFonts w:hint="default"/>
                <w:color w:val="auto"/>
              </w:rPr>
            </w:pPr>
            <w:r>
              <w:rPr>
                <w:rFonts w:hint="eastAsia"/>
                <w:color w:val="auto"/>
              </w:rPr>
              <w:t>(2)</w:t>
            </w:r>
            <w:r>
              <w:rPr>
                <w:rFonts w:hint="default"/>
                <w:color w:val="auto"/>
              </w:rPr>
              <w:t>通风系统监测</w:t>
            </w:r>
          </w:p>
          <w:p w14:paraId="790205C1">
            <w:pPr>
              <w:pStyle w:val="34"/>
              <w:keepNext w:val="0"/>
              <w:keepLines w:val="0"/>
              <w:suppressLineNumbers w:val="0"/>
              <w:spacing w:before="0" w:beforeAutospacing="0" w:after="0" w:afterAutospacing="0"/>
              <w:ind w:left="0" w:right="0"/>
              <w:rPr>
                <w:rFonts w:hint="default"/>
                <w:color w:val="auto"/>
              </w:rPr>
            </w:pPr>
            <w:r>
              <w:rPr>
                <w:rFonts w:hint="default"/>
                <w:color w:val="auto"/>
              </w:rPr>
              <w:t>井下总回风巷、各个生产中段和分段的回风巷应设置风速传感器。主要通风机应设置风压传感器，风速传感器应设置在能准确计算风量的地点。主要通风机、辅助通风机、局部通风机应安装开停传感器。</w:t>
            </w:r>
          </w:p>
        </w:tc>
        <w:tc>
          <w:tcPr>
            <w:tcW w:w="1818" w:type="dxa"/>
            <w:tcBorders>
              <w:tl2br w:val="nil"/>
              <w:tr2bl w:val="nil"/>
            </w:tcBorders>
            <w:vAlign w:val="center"/>
          </w:tcPr>
          <w:p w14:paraId="05716AAC">
            <w:pPr>
              <w:pStyle w:val="34"/>
              <w:keepNext w:val="0"/>
              <w:keepLines w:val="0"/>
              <w:suppressLineNumbers w:val="0"/>
              <w:spacing w:before="0" w:beforeAutospacing="0" w:after="0" w:afterAutospacing="0"/>
              <w:ind w:left="0" w:right="0"/>
              <w:rPr>
                <w:rFonts w:hint="default"/>
                <w:color w:val="auto"/>
              </w:rPr>
            </w:pPr>
            <w:r>
              <w:rPr>
                <w:rFonts w:hint="eastAsia"/>
                <w:color w:val="auto"/>
              </w:rPr>
              <w:t>《金属非金属地下矿山监测监控系统建设规范》      (AQ2031-2011)</w:t>
            </w:r>
          </w:p>
        </w:tc>
        <w:tc>
          <w:tcPr>
            <w:tcW w:w="1496" w:type="dxa"/>
            <w:tcBorders>
              <w:tl2br w:val="nil"/>
              <w:tr2bl w:val="nil"/>
            </w:tcBorders>
            <w:vAlign w:val="center"/>
          </w:tcPr>
          <w:p w14:paraId="4E7E9189">
            <w:pPr>
              <w:pStyle w:val="34"/>
              <w:keepNext w:val="0"/>
              <w:keepLines w:val="0"/>
              <w:suppressLineNumbers w:val="0"/>
              <w:spacing w:before="0" w:beforeAutospacing="0" w:after="0" w:afterAutospacing="0"/>
              <w:ind w:left="0" w:right="0"/>
              <w:rPr>
                <w:rFonts w:hint="default" w:eastAsia="宋体"/>
                <w:color w:val="auto"/>
                <w:lang w:val="en-US" w:eastAsia="zh-CN"/>
              </w:rPr>
            </w:pPr>
            <w:r>
              <w:rPr>
                <w:rFonts w:hint="eastAsia"/>
                <w:color w:val="auto"/>
                <w:lang w:val="en-US" w:eastAsia="zh-CN"/>
              </w:rPr>
              <w:t>可研报告有相关要求。</w:t>
            </w:r>
          </w:p>
        </w:tc>
        <w:tc>
          <w:tcPr>
            <w:tcW w:w="737" w:type="dxa"/>
            <w:tcBorders>
              <w:tl2br w:val="nil"/>
              <w:tr2bl w:val="nil"/>
            </w:tcBorders>
            <w:vAlign w:val="center"/>
          </w:tcPr>
          <w:p w14:paraId="1EC50A18">
            <w:pPr>
              <w:pStyle w:val="34"/>
              <w:keepNext w:val="0"/>
              <w:keepLines w:val="0"/>
              <w:suppressLineNumbers w:val="0"/>
              <w:spacing w:before="0" w:beforeAutospacing="0" w:after="0" w:afterAutospacing="0"/>
              <w:ind w:left="0" w:right="0"/>
              <w:rPr>
                <w:rFonts w:hint="default"/>
                <w:color w:val="auto"/>
              </w:rPr>
            </w:pPr>
            <w:r>
              <w:rPr>
                <w:rFonts w:hint="eastAsia"/>
                <w:color w:val="auto"/>
              </w:rPr>
              <w:t>符合</w:t>
            </w:r>
          </w:p>
        </w:tc>
      </w:tr>
      <w:tr w14:paraId="686985D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30" w:hRule="atLeast"/>
          <w:jc w:val="center"/>
        </w:trPr>
        <w:tc>
          <w:tcPr>
            <w:tcW w:w="684" w:type="dxa"/>
            <w:vMerge w:val="continue"/>
            <w:tcBorders>
              <w:tl2br w:val="nil"/>
              <w:tr2bl w:val="nil"/>
            </w:tcBorders>
            <w:vAlign w:val="center"/>
          </w:tcPr>
          <w:p w14:paraId="32AD3A94">
            <w:pPr>
              <w:pStyle w:val="34"/>
              <w:keepNext w:val="0"/>
              <w:keepLines w:val="0"/>
              <w:numPr>
                <w:ilvl w:val="0"/>
                <w:numId w:val="0"/>
              </w:numPr>
              <w:suppressLineNumbers w:val="0"/>
              <w:spacing w:before="0" w:beforeAutospacing="0" w:after="0" w:afterAutospacing="0"/>
              <w:ind w:left="0" w:leftChars="0" w:right="0" w:rightChars="0"/>
              <w:jc w:val="center"/>
              <w:rPr>
                <w:rFonts w:hint="eastAsia" w:eastAsia="宋体"/>
                <w:color w:val="auto"/>
                <w:lang w:val="en-US" w:eastAsia="zh-CN"/>
              </w:rPr>
            </w:pPr>
          </w:p>
        </w:tc>
        <w:tc>
          <w:tcPr>
            <w:tcW w:w="416" w:type="dxa"/>
            <w:vMerge w:val="continue"/>
            <w:tcBorders>
              <w:tl2br w:val="nil"/>
              <w:tr2bl w:val="nil"/>
            </w:tcBorders>
            <w:vAlign w:val="center"/>
          </w:tcPr>
          <w:p w14:paraId="03AD3085">
            <w:pPr>
              <w:pStyle w:val="34"/>
              <w:keepNext w:val="0"/>
              <w:keepLines w:val="0"/>
              <w:suppressLineNumbers w:val="0"/>
              <w:spacing w:before="0" w:beforeAutospacing="0" w:after="0" w:afterAutospacing="0"/>
              <w:ind w:left="0" w:right="0"/>
              <w:jc w:val="center"/>
              <w:rPr>
                <w:rFonts w:hint="default"/>
                <w:color w:val="auto"/>
              </w:rPr>
            </w:pPr>
          </w:p>
        </w:tc>
        <w:tc>
          <w:tcPr>
            <w:tcW w:w="4241" w:type="dxa"/>
            <w:tcBorders>
              <w:tl2br w:val="nil"/>
              <w:tr2bl w:val="nil"/>
            </w:tcBorders>
            <w:vAlign w:val="center"/>
          </w:tcPr>
          <w:p w14:paraId="5A6C37D4">
            <w:pPr>
              <w:pStyle w:val="34"/>
              <w:keepNext w:val="0"/>
              <w:keepLines w:val="0"/>
              <w:suppressLineNumbers w:val="0"/>
              <w:spacing w:before="0" w:beforeAutospacing="0" w:after="0" w:afterAutospacing="0"/>
              <w:ind w:left="0" w:right="0"/>
              <w:rPr>
                <w:rFonts w:hint="default"/>
                <w:color w:val="auto"/>
              </w:rPr>
            </w:pPr>
            <w:r>
              <w:rPr>
                <w:rFonts w:hint="eastAsia"/>
                <w:color w:val="auto"/>
              </w:rPr>
              <w:t>(3)视频</w:t>
            </w:r>
            <w:r>
              <w:rPr>
                <w:rFonts w:hint="default"/>
                <w:color w:val="auto"/>
              </w:rPr>
              <w:t>监测</w:t>
            </w:r>
          </w:p>
          <w:p w14:paraId="1E90641E">
            <w:pPr>
              <w:pStyle w:val="34"/>
              <w:keepNext w:val="0"/>
              <w:keepLines w:val="0"/>
              <w:suppressLineNumbers w:val="0"/>
              <w:spacing w:before="0" w:beforeAutospacing="0" w:after="0" w:afterAutospacing="0"/>
              <w:ind w:left="0" w:right="0"/>
              <w:rPr>
                <w:rFonts w:hint="default"/>
                <w:color w:val="auto"/>
              </w:rPr>
            </w:pPr>
            <w:r>
              <w:rPr>
                <w:rFonts w:hint="default"/>
                <w:color w:val="auto"/>
              </w:rPr>
              <w:t>提升人员的井口信号房、提升机房，以及井口、马头门(调车场)等人员进出场所，应设视频监控</w:t>
            </w:r>
            <w:r>
              <w:rPr>
                <w:rFonts w:hint="eastAsia"/>
                <w:color w:val="auto"/>
              </w:rPr>
              <w:t>。</w:t>
            </w:r>
            <w:r>
              <w:rPr>
                <w:rFonts w:hint="default"/>
                <w:color w:val="auto"/>
              </w:rPr>
              <w:t>紧急避险设施及井下爆破器材库、油库、中央变电所等主要硐室，应设视频监控</w:t>
            </w:r>
            <w:r>
              <w:rPr>
                <w:rFonts w:hint="eastAsia"/>
                <w:color w:val="auto"/>
              </w:rPr>
              <w:t>。</w:t>
            </w:r>
          </w:p>
        </w:tc>
        <w:tc>
          <w:tcPr>
            <w:tcW w:w="1818" w:type="dxa"/>
            <w:tcBorders>
              <w:tl2br w:val="nil"/>
              <w:tr2bl w:val="nil"/>
            </w:tcBorders>
            <w:vAlign w:val="center"/>
          </w:tcPr>
          <w:p w14:paraId="0B0EC1F2">
            <w:pPr>
              <w:pStyle w:val="34"/>
              <w:keepNext w:val="0"/>
              <w:keepLines w:val="0"/>
              <w:suppressLineNumbers w:val="0"/>
              <w:spacing w:before="0" w:beforeAutospacing="0" w:after="0" w:afterAutospacing="0"/>
              <w:ind w:left="0" w:right="0"/>
              <w:rPr>
                <w:rFonts w:hint="default"/>
                <w:color w:val="auto"/>
              </w:rPr>
            </w:pPr>
            <w:r>
              <w:rPr>
                <w:rFonts w:hint="eastAsia"/>
                <w:color w:val="auto"/>
              </w:rPr>
              <w:t>《金属非金属地下矿山监测监控系统建设规范》      (AQ2031-2011)</w:t>
            </w:r>
          </w:p>
        </w:tc>
        <w:tc>
          <w:tcPr>
            <w:tcW w:w="1496" w:type="dxa"/>
            <w:tcBorders>
              <w:tl2br w:val="nil"/>
              <w:tr2bl w:val="nil"/>
            </w:tcBorders>
            <w:vAlign w:val="center"/>
          </w:tcPr>
          <w:p w14:paraId="1F72ED52">
            <w:pPr>
              <w:pStyle w:val="34"/>
              <w:keepNext w:val="0"/>
              <w:keepLines w:val="0"/>
              <w:suppressLineNumbers w:val="0"/>
              <w:spacing w:before="0" w:beforeAutospacing="0" w:after="0" w:afterAutospacing="0"/>
              <w:ind w:left="0" w:right="0"/>
              <w:rPr>
                <w:rFonts w:hint="default"/>
                <w:color w:val="auto"/>
              </w:rPr>
            </w:pPr>
            <w:r>
              <w:rPr>
                <w:rFonts w:hint="eastAsia"/>
                <w:color w:val="auto"/>
                <w:lang w:val="en-US" w:eastAsia="zh-CN"/>
              </w:rPr>
              <w:t>主风机、各中段出入口、变电硐室共安装7个视频监控。</w:t>
            </w:r>
          </w:p>
        </w:tc>
        <w:tc>
          <w:tcPr>
            <w:tcW w:w="737" w:type="dxa"/>
            <w:tcBorders>
              <w:tl2br w:val="nil"/>
              <w:tr2bl w:val="nil"/>
            </w:tcBorders>
            <w:vAlign w:val="center"/>
          </w:tcPr>
          <w:p w14:paraId="2827B7A6">
            <w:pPr>
              <w:pStyle w:val="34"/>
              <w:keepNext w:val="0"/>
              <w:keepLines w:val="0"/>
              <w:suppressLineNumbers w:val="0"/>
              <w:spacing w:before="0" w:beforeAutospacing="0" w:after="0" w:afterAutospacing="0"/>
              <w:ind w:left="0" w:right="0"/>
              <w:rPr>
                <w:rFonts w:hint="default"/>
                <w:color w:val="auto"/>
              </w:rPr>
            </w:pPr>
            <w:r>
              <w:rPr>
                <w:rFonts w:hint="eastAsia"/>
                <w:color w:val="auto"/>
              </w:rPr>
              <w:t>符合</w:t>
            </w:r>
          </w:p>
        </w:tc>
      </w:tr>
      <w:tr w14:paraId="5E577AC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30" w:hRule="atLeast"/>
          <w:jc w:val="center"/>
        </w:trPr>
        <w:tc>
          <w:tcPr>
            <w:tcW w:w="684" w:type="dxa"/>
            <w:tcBorders>
              <w:tl2br w:val="nil"/>
              <w:tr2bl w:val="nil"/>
            </w:tcBorders>
            <w:vAlign w:val="center"/>
          </w:tcPr>
          <w:p w14:paraId="47A5B297">
            <w:pPr>
              <w:pStyle w:val="34"/>
              <w:keepNext w:val="0"/>
              <w:keepLines w:val="0"/>
              <w:numPr>
                <w:ilvl w:val="0"/>
                <w:numId w:val="0"/>
              </w:numPr>
              <w:suppressLineNumbers w:val="0"/>
              <w:spacing w:before="0" w:beforeAutospacing="0" w:after="0" w:afterAutospacing="0"/>
              <w:ind w:left="0" w:leftChars="0" w:right="0" w:rightChars="0"/>
              <w:jc w:val="center"/>
              <w:rPr>
                <w:rFonts w:hint="default" w:eastAsia="宋体"/>
                <w:color w:val="auto"/>
                <w:lang w:val="en-US" w:eastAsia="zh-CN"/>
              </w:rPr>
            </w:pPr>
            <w:r>
              <w:rPr>
                <w:rFonts w:hint="eastAsia"/>
                <w:color w:val="auto"/>
                <w:lang w:val="en-US" w:eastAsia="zh-CN"/>
              </w:rPr>
              <w:t>2</w:t>
            </w:r>
          </w:p>
        </w:tc>
        <w:tc>
          <w:tcPr>
            <w:tcW w:w="416" w:type="dxa"/>
            <w:tcBorders>
              <w:tl2br w:val="nil"/>
              <w:tr2bl w:val="nil"/>
            </w:tcBorders>
            <w:vAlign w:val="center"/>
          </w:tcPr>
          <w:p w14:paraId="289F9C94">
            <w:pPr>
              <w:pStyle w:val="34"/>
              <w:keepNext w:val="0"/>
              <w:keepLines w:val="0"/>
              <w:suppressLineNumbers w:val="0"/>
              <w:spacing w:before="0" w:beforeAutospacing="0" w:after="0" w:afterAutospacing="0"/>
              <w:ind w:left="0" w:right="0"/>
              <w:jc w:val="center"/>
              <w:rPr>
                <w:rFonts w:hint="default"/>
                <w:color w:val="auto"/>
              </w:rPr>
            </w:pPr>
            <w:r>
              <w:rPr>
                <w:rFonts w:hint="default"/>
                <w:color w:val="auto"/>
              </w:rPr>
              <w:t>人员定位系统</w:t>
            </w:r>
          </w:p>
        </w:tc>
        <w:tc>
          <w:tcPr>
            <w:tcW w:w="4241" w:type="dxa"/>
            <w:tcBorders>
              <w:tl2br w:val="nil"/>
              <w:tr2bl w:val="nil"/>
            </w:tcBorders>
            <w:vAlign w:val="center"/>
          </w:tcPr>
          <w:p w14:paraId="5A779F44">
            <w:pPr>
              <w:pStyle w:val="34"/>
              <w:keepNext w:val="0"/>
              <w:keepLines w:val="0"/>
              <w:suppressLineNumbers w:val="0"/>
              <w:spacing w:before="0" w:beforeAutospacing="0" w:after="0" w:afterAutospacing="0"/>
              <w:ind w:left="0" w:right="0"/>
              <w:rPr>
                <w:rFonts w:hint="default"/>
                <w:color w:val="auto"/>
              </w:rPr>
            </w:pPr>
            <w:r>
              <w:rPr>
                <w:rFonts w:hint="default"/>
                <w:color w:val="auto"/>
              </w:rPr>
              <w:t>井下最多同时作业人数不少于30人的金属非金属地下矿山应建立完善人员定位系统；井下最多同时作业人数少于30人的金属非金属地下矿山应建立完善人员出入井信息管理制度，准确掌握井下各个区域作业人员的数量。</w:t>
            </w:r>
          </w:p>
        </w:tc>
        <w:tc>
          <w:tcPr>
            <w:tcW w:w="1818" w:type="dxa"/>
            <w:tcBorders>
              <w:tl2br w:val="nil"/>
              <w:tr2bl w:val="nil"/>
            </w:tcBorders>
            <w:vAlign w:val="center"/>
          </w:tcPr>
          <w:p w14:paraId="1BC62F50">
            <w:pPr>
              <w:pStyle w:val="34"/>
              <w:keepNext w:val="0"/>
              <w:keepLines w:val="0"/>
              <w:suppressLineNumbers w:val="0"/>
              <w:spacing w:before="0" w:beforeAutospacing="0" w:after="0" w:afterAutospacing="0"/>
              <w:ind w:left="0" w:right="0"/>
              <w:rPr>
                <w:rFonts w:hint="default"/>
                <w:color w:val="auto"/>
              </w:rPr>
            </w:pPr>
            <w:r>
              <w:rPr>
                <w:rFonts w:hint="eastAsia"/>
                <w:color w:val="auto"/>
              </w:rPr>
              <w:t>《金属非金属地下矿山人员定位系统建设规范》(AQ2032-2011)</w:t>
            </w:r>
          </w:p>
        </w:tc>
        <w:tc>
          <w:tcPr>
            <w:tcW w:w="1496" w:type="dxa"/>
            <w:tcBorders>
              <w:tl2br w:val="nil"/>
              <w:tr2bl w:val="nil"/>
            </w:tcBorders>
            <w:vAlign w:val="center"/>
          </w:tcPr>
          <w:p w14:paraId="0DFF1B7E">
            <w:pPr>
              <w:pStyle w:val="34"/>
              <w:keepNext w:val="0"/>
              <w:keepLines w:val="0"/>
              <w:suppressLineNumbers w:val="0"/>
              <w:spacing w:before="0" w:beforeAutospacing="0" w:after="0" w:afterAutospacing="0"/>
              <w:ind w:left="0" w:right="0"/>
              <w:rPr>
                <w:rFonts w:hint="default"/>
                <w:color w:val="auto"/>
              </w:rPr>
            </w:pPr>
            <w:r>
              <w:rPr>
                <w:rFonts w:hint="eastAsia"/>
                <w:color w:val="auto"/>
              </w:rPr>
              <w:t>在矿山</w:t>
            </w:r>
            <w:r>
              <w:rPr>
                <w:rFonts w:hint="eastAsia"/>
                <w:color w:val="auto"/>
                <w:lang w:val="en-US" w:eastAsia="zh-CN"/>
              </w:rPr>
              <w:t>拟</w:t>
            </w:r>
            <w:r>
              <w:rPr>
                <w:rFonts w:hint="eastAsia"/>
                <w:color w:val="auto"/>
              </w:rPr>
              <w:t>设置1套KJ349型井下人员定位系统。</w:t>
            </w:r>
          </w:p>
        </w:tc>
        <w:tc>
          <w:tcPr>
            <w:tcW w:w="737" w:type="dxa"/>
            <w:tcBorders>
              <w:tl2br w:val="nil"/>
              <w:tr2bl w:val="nil"/>
            </w:tcBorders>
            <w:vAlign w:val="center"/>
          </w:tcPr>
          <w:p w14:paraId="335DB635">
            <w:pPr>
              <w:pStyle w:val="34"/>
              <w:keepNext w:val="0"/>
              <w:keepLines w:val="0"/>
              <w:suppressLineNumbers w:val="0"/>
              <w:spacing w:before="0" w:beforeAutospacing="0" w:after="0" w:afterAutospacing="0"/>
              <w:ind w:left="0" w:right="0"/>
              <w:rPr>
                <w:rFonts w:hint="default"/>
                <w:color w:val="auto"/>
              </w:rPr>
            </w:pPr>
            <w:r>
              <w:rPr>
                <w:rFonts w:hint="eastAsia"/>
                <w:color w:val="auto"/>
              </w:rPr>
              <w:t>符合</w:t>
            </w:r>
          </w:p>
        </w:tc>
      </w:tr>
      <w:tr w14:paraId="3C19236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30" w:hRule="atLeast"/>
          <w:jc w:val="center"/>
        </w:trPr>
        <w:tc>
          <w:tcPr>
            <w:tcW w:w="684" w:type="dxa"/>
            <w:vMerge w:val="restart"/>
            <w:tcBorders>
              <w:tl2br w:val="nil"/>
              <w:tr2bl w:val="nil"/>
            </w:tcBorders>
            <w:vAlign w:val="center"/>
          </w:tcPr>
          <w:p w14:paraId="47A8700D">
            <w:pPr>
              <w:pStyle w:val="34"/>
              <w:keepNext w:val="0"/>
              <w:keepLines w:val="0"/>
              <w:numPr>
                <w:ilvl w:val="0"/>
                <w:numId w:val="0"/>
              </w:numPr>
              <w:suppressLineNumbers w:val="0"/>
              <w:spacing w:before="0" w:beforeAutospacing="0" w:after="0" w:afterAutospacing="0"/>
              <w:ind w:left="0" w:leftChars="0" w:right="0" w:rightChars="0"/>
              <w:jc w:val="center"/>
              <w:rPr>
                <w:rFonts w:hint="default" w:eastAsia="宋体"/>
                <w:color w:val="auto"/>
                <w:lang w:val="en-US" w:eastAsia="zh-CN"/>
              </w:rPr>
            </w:pPr>
            <w:r>
              <w:rPr>
                <w:rFonts w:hint="eastAsia"/>
                <w:color w:val="auto"/>
                <w:lang w:val="en-US" w:eastAsia="zh-CN"/>
              </w:rPr>
              <w:t>3</w:t>
            </w:r>
          </w:p>
        </w:tc>
        <w:tc>
          <w:tcPr>
            <w:tcW w:w="416" w:type="dxa"/>
            <w:vMerge w:val="restart"/>
            <w:tcBorders>
              <w:tl2br w:val="nil"/>
              <w:tr2bl w:val="nil"/>
            </w:tcBorders>
            <w:vAlign w:val="center"/>
          </w:tcPr>
          <w:p w14:paraId="2AE5753E">
            <w:pPr>
              <w:pStyle w:val="34"/>
              <w:keepNext w:val="0"/>
              <w:keepLines w:val="0"/>
              <w:suppressLineNumbers w:val="0"/>
              <w:spacing w:before="0" w:beforeAutospacing="0" w:after="0" w:afterAutospacing="0"/>
              <w:ind w:left="0" w:right="0"/>
              <w:jc w:val="center"/>
              <w:rPr>
                <w:rFonts w:hint="default"/>
                <w:color w:val="auto"/>
              </w:rPr>
            </w:pPr>
            <w:r>
              <w:rPr>
                <w:rFonts w:hint="default"/>
                <w:color w:val="auto"/>
              </w:rPr>
              <w:t>紧急避险系统</w:t>
            </w:r>
          </w:p>
        </w:tc>
        <w:tc>
          <w:tcPr>
            <w:tcW w:w="4241" w:type="dxa"/>
            <w:tcBorders>
              <w:tl2br w:val="nil"/>
              <w:tr2bl w:val="nil"/>
            </w:tcBorders>
            <w:vAlign w:val="center"/>
          </w:tcPr>
          <w:p w14:paraId="2E839609">
            <w:pPr>
              <w:pStyle w:val="34"/>
              <w:keepNext w:val="0"/>
              <w:keepLines w:val="0"/>
              <w:suppressLineNumbers w:val="0"/>
              <w:spacing w:before="0" w:beforeAutospacing="0" w:after="0" w:afterAutospacing="0"/>
              <w:ind w:left="0" w:right="0"/>
              <w:rPr>
                <w:rFonts w:hint="default"/>
                <w:color w:val="auto"/>
              </w:rPr>
            </w:pPr>
            <w:r>
              <w:rPr>
                <w:rFonts w:hint="default"/>
                <w:color w:val="auto"/>
              </w:rPr>
              <w:t>金属非金属地下矿山企业应按照14161-2008的规定，做好井下避灾路线的标识,并随井下生产系统进行及时调整,定期检查维护避灾路线，保持其通畅。</w:t>
            </w:r>
          </w:p>
        </w:tc>
        <w:tc>
          <w:tcPr>
            <w:tcW w:w="1818" w:type="dxa"/>
            <w:vMerge w:val="restart"/>
            <w:tcBorders>
              <w:tl2br w:val="nil"/>
              <w:tr2bl w:val="nil"/>
            </w:tcBorders>
            <w:vAlign w:val="center"/>
          </w:tcPr>
          <w:p w14:paraId="1B63EAD4">
            <w:pPr>
              <w:pStyle w:val="34"/>
              <w:keepNext w:val="0"/>
              <w:keepLines w:val="0"/>
              <w:suppressLineNumbers w:val="0"/>
              <w:spacing w:before="0" w:beforeAutospacing="0" w:after="0" w:afterAutospacing="0"/>
              <w:ind w:left="0" w:right="0"/>
              <w:rPr>
                <w:rFonts w:hint="default"/>
                <w:color w:val="auto"/>
              </w:rPr>
            </w:pPr>
            <w:r>
              <w:rPr>
                <w:rFonts w:hint="eastAsia"/>
                <w:color w:val="auto"/>
              </w:rPr>
              <w:t>《金属非金属地下矿山紧急避险系统建设规范》(</w:t>
            </w:r>
            <w:r>
              <w:rPr>
                <w:rFonts w:hint="eastAsia"/>
                <w:color w:val="auto"/>
                <w:lang w:val="en-US" w:eastAsia="zh-CN"/>
              </w:rPr>
              <w:t>KA/T</w:t>
            </w:r>
            <w:r>
              <w:rPr>
                <w:rFonts w:hint="eastAsia"/>
                <w:color w:val="auto"/>
              </w:rPr>
              <w:t>2033-20</w:t>
            </w:r>
            <w:r>
              <w:rPr>
                <w:rFonts w:hint="eastAsia"/>
                <w:color w:val="auto"/>
                <w:lang w:val="en-US" w:eastAsia="zh-CN"/>
              </w:rPr>
              <w:t>23</w:t>
            </w:r>
            <w:r>
              <w:rPr>
                <w:rFonts w:hint="eastAsia"/>
                <w:color w:val="auto"/>
              </w:rPr>
              <w:t>)</w:t>
            </w:r>
          </w:p>
        </w:tc>
        <w:tc>
          <w:tcPr>
            <w:tcW w:w="1496" w:type="dxa"/>
            <w:vMerge w:val="restart"/>
            <w:tcBorders>
              <w:tl2br w:val="nil"/>
              <w:tr2bl w:val="nil"/>
            </w:tcBorders>
            <w:vAlign w:val="center"/>
          </w:tcPr>
          <w:p w14:paraId="18B105C5">
            <w:pPr>
              <w:pStyle w:val="34"/>
              <w:keepNext w:val="0"/>
              <w:keepLines w:val="0"/>
              <w:suppressLineNumbers w:val="0"/>
              <w:spacing w:before="0" w:beforeAutospacing="0" w:after="0" w:afterAutospacing="0"/>
              <w:ind w:left="0" w:right="0"/>
              <w:rPr>
                <w:rFonts w:hint="default"/>
                <w:color w:val="auto"/>
              </w:rPr>
            </w:pPr>
            <w:r>
              <w:rPr>
                <w:rFonts w:hint="eastAsia"/>
                <w:color w:val="auto"/>
                <w:lang w:val="en-US" w:eastAsia="zh-CN"/>
              </w:rPr>
              <w:t>可研报告有</w:t>
            </w:r>
            <w:r>
              <w:rPr>
                <w:rFonts w:hint="eastAsia"/>
                <w:color w:val="auto"/>
              </w:rPr>
              <w:t>相关要求。</w:t>
            </w:r>
          </w:p>
        </w:tc>
        <w:tc>
          <w:tcPr>
            <w:tcW w:w="737" w:type="dxa"/>
            <w:vMerge w:val="restart"/>
            <w:tcBorders>
              <w:tl2br w:val="nil"/>
              <w:tr2bl w:val="nil"/>
            </w:tcBorders>
            <w:vAlign w:val="center"/>
          </w:tcPr>
          <w:p w14:paraId="6876C5C9">
            <w:pPr>
              <w:pStyle w:val="34"/>
              <w:keepNext w:val="0"/>
              <w:keepLines w:val="0"/>
              <w:suppressLineNumbers w:val="0"/>
              <w:spacing w:before="0" w:beforeAutospacing="0" w:after="0" w:afterAutospacing="0"/>
              <w:ind w:left="0" w:right="0"/>
              <w:rPr>
                <w:rFonts w:hint="default"/>
                <w:color w:val="auto"/>
              </w:rPr>
            </w:pPr>
            <w:r>
              <w:rPr>
                <w:rFonts w:hint="eastAsia"/>
                <w:color w:val="auto"/>
              </w:rPr>
              <w:t>符合</w:t>
            </w:r>
          </w:p>
        </w:tc>
      </w:tr>
      <w:tr w14:paraId="736C06A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30" w:hRule="atLeast"/>
          <w:jc w:val="center"/>
        </w:trPr>
        <w:tc>
          <w:tcPr>
            <w:tcW w:w="684" w:type="dxa"/>
            <w:vMerge w:val="continue"/>
            <w:tcBorders>
              <w:tl2br w:val="nil"/>
              <w:tr2bl w:val="nil"/>
            </w:tcBorders>
            <w:vAlign w:val="center"/>
          </w:tcPr>
          <w:p w14:paraId="578456F2">
            <w:pPr>
              <w:pStyle w:val="34"/>
              <w:keepNext w:val="0"/>
              <w:keepLines w:val="0"/>
              <w:numPr>
                <w:ilvl w:val="0"/>
                <w:numId w:val="0"/>
              </w:numPr>
              <w:suppressLineNumbers w:val="0"/>
              <w:spacing w:before="0" w:beforeAutospacing="0" w:after="0" w:afterAutospacing="0"/>
              <w:ind w:left="0" w:leftChars="0" w:right="0" w:rightChars="0"/>
              <w:jc w:val="center"/>
              <w:rPr>
                <w:rFonts w:hint="eastAsia"/>
                <w:color w:val="auto"/>
                <w:lang w:val="en-US" w:eastAsia="zh-CN"/>
              </w:rPr>
            </w:pPr>
          </w:p>
        </w:tc>
        <w:tc>
          <w:tcPr>
            <w:tcW w:w="416" w:type="dxa"/>
            <w:vMerge w:val="continue"/>
            <w:tcBorders>
              <w:tl2br w:val="nil"/>
              <w:tr2bl w:val="nil"/>
            </w:tcBorders>
            <w:vAlign w:val="center"/>
          </w:tcPr>
          <w:p w14:paraId="3FC475C8">
            <w:pPr>
              <w:pStyle w:val="34"/>
              <w:keepNext w:val="0"/>
              <w:keepLines w:val="0"/>
              <w:suppressLineNumbers w:val="0"/>
              <w:spacing w:before="0" w:beforeAutospacing="0" w:after="0" w:afterAutospacing="0"/>
              <w:ind w:left="0" w:right="0"/>
              <w:jc w:val="center"/>
              <w:rPr>
                <w:rFonts w:hint="default"/>
                <w:color w:val="auto"/>
              </w:rPr>
            </w:pPr>
          </w:p>
        </w:tc>
        <w:tc>
          <w:tcPr>
            <w:tcW w:w="4241" w:type="dxa"/>
            <w:tcBorders>
              <w:tl2br w:val="nil"/>
              <w:tr2bl w:val="nil"/>
            </w:tcBorders>
            <w:vAlign w:val="center"/>
          </w:tcPr>
          <w:p w14:paraId="3A788DC0">
            <w:pPr>
              <w:pStyle w:val="34"/>
              <w:keepNext w:val="0"/>
              <w:keepLines w:val="0"/>
              <w:suppressLineNumbers w:val="0"/>
              <w:spacing w:before="0" w:beforeAutospacing="0" w:after="0" w:afterAutospacing="0"/>
              <w:ind w:left="0" w:right="0"/>
              <w:rPr>
                <w:rFonts w:hint="default"/>
                <w:color w:val="auto"/>
              </w:rPr>
            </w:pPr>
            <w:r>
              <w:rPr>
                <w:rFonts w:hint="default"/>
                <w:color w:val="auto"/>
              </w:rPr>
              <w:t>金属非金属地下矿山应为入井人员配备额定防护时间不少于30min的自救器,并按入井总人数的10%配备备用自救器。</w:t>
            </w:r>
          </w:p>
        </w:tc>
        <w:tc>
          <w:tcPr>
            <w:tcW w:w="1818" w:type="dxa"/>
            <w:vMerge w:val="continue"/>
            <w:tcBorders>
              <w:tl2br w:val="nil"/>
              <w:tr2bl w:val="nil"/>
            </w:tcBorders>
            <w:vAlign w:val="center"/>
          </w:tcPr>
          <w:p w14:paraId="5E425E6A">
            <w:pPr>
              <w:pStyle w:val="34"/>
              <w:keepNext w:val="0"/>
              <w:keepLines w:val="0"/>
              <w:suppressLineNumbers w:val="0"/>
              <w:spacing w:before="0" w:beforeAutospacing="0" w:after="0" w:afterAutospacing="0"/>
              <w:ind w:left="0" w:right="0"/>
              <w:rPr>
                <w:rFonts w:hint="eastAsia"/>
                <w:color w:val="auto"/>
              </w:rPr>
            </w:pPr>
          </w:p>
        </w:tc>
        <w:tc>
          <w:tcPr>
            <w:tcW w:w="1496" w:type="dxa"/>
            <w:vMerge w:val="continue"/>
            <w:tcBorders>
              <w:tl2br w:val="nil"/>
              <w:tr2bl w:val="nil"/>
            </w:tcBorders>
            <w:vAlign w:val="center"/>
          </w:tcPr>
          <w:p w14:paraId="5CCE8C2F">
            <w:pPr>
              <w:pStyle w:val="34"/>
              <w:keepNext w:val="0"/>
              <w:keepLines w:val="0"/>
              <w:suppressLineNumbers w:val="0"/>
              <w:spacing w:before="0" w:beforeAutospacing="0" w:after="0" w:afterAutospacing="0"/>
              <w:ind w:left="0" w:right="0"/>
              <w:rPr>
                <w:rFonts w:hint="eastAsia"/>
                <w:color w:val="auto"/>
                <w:lang w:val="en-US" w:eastAsia="zh-CN"/>
              </w:rPr>
            </w:pPr>
          </w:p>
        </w:tc>
        <w:tc>
          <w:tcPr>
            <w:tcW w:w="737" w:type="dxa"/>
            <w:vMerge w:val="continue"/>
            <w:tcBorders>
              <w:tl2br w:val="nil"/>
              <w:tr2bl w:val="nil"/>
            </w:tcBorders>
            <w:vAlign w:val="center"/>
          </w:tcPr>
          <w:p w14:paraId="65FEFDBC">
            <w:pPr>
              <w:pStyle w:val="34"/>
              <w:keepNext w:val="0"/>
              <w:keepLines w:val="0"/>
              <w:suppressLineNumbers w:val="0"/>
              <w:spacing w:before="0" w:beforeAutospacing="0" w:after="0" w:afterAutospacing="0"/>
              <w:ind w:left="0" w:right="0"/>
              <w:rPr>
                <w:rFonts w:hint="eastAsia"/>
                <w:color w:val="auto"/>
              </w:rPr>
            </w:pPr>
          </w:p>
        </w:tc>
      </w:tr>
      <w:tr w14:paraId="21D48A7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30" w:hRule="atLeast"/>
          <w:jc w:val="center"/>
        </w:trPr>
        <w:tc>
          <w:tcPr>
            <w:tcW w:w="684" w:type="dxa"/>
            <w:vMerge w:val="continue"/>
            <w:tcBorders>
              <w:tl2br w:val="nil"/>
              <w:tr2bl w:val="nil"/>
            </w:tcBorders>
            <w:vAlign w:val="center"/>
          </w:tcPr>
          <w:p w14:paraId="03A3738F">
            <w:pPr>
              <w:pStyle w:val="34"/>
              <w:keepNext w:val="0"/>
              <w:keepLines w:val="0"/>
              <w:numPr>
                <w:ilvl w:val="0"/>
                <w:numId w:val="0"/>
              </w:numPr>
              <w:suppressLineNumbers w:val="0"/>
              <w:spacing w:before="0" w:beforeAutospacing="0" w:after="0" w:afterAutospacing="0"/>
              <w:ind w:left="0" w:leftChars="0" w:right="0" w:rightChars="0"/>
              <w:jc w:val="center"/>
              <w:rPr>
                <w:rFonts w:hint="eastAsia"/>
                <w:color w:val="auto"/>
                <w:lang w:val="en-US" w:eastAsia="zh-CN"/>
              </w:rPr>
            </w:pPr>
          </w:p>
        </w:tc>
        <w:tc>
          <w:tcPr>
            <w:tcW w:w="416" w:type="dxa"/>
            <w:vMerge w:val="continue"/>
            <w:tcBorders>
              <w:tl2br w:val="nil"/>
              <w:tr2bl w:val="nil"/>
            </w:tcBorders>
            <w:vAlign w:val="center"/>
          </w:tcPr>
          <w:p w14:paraId="6ED14B60">
            <w:pPr>
              <w:pStyle w:val="34"/>
              <w:keepNext w:val="0"/>
              <w:keepLines w:val="0"/>
              <w:suppressLineNumbers w:val="0"/>
              <w:spacing w:before="0" w:beforeAutospacing="0" w:after="0" w:afterAutospacing="0"/>
              <w:ind w:left="0" w:right="0"/>
              <w:jc w:val="center"/>
              <w:rPr>
                <w:rFonts w:hint="default"/>
                <w:color w:val="auto"/>
              </w:rPr>
            </w:pPr>
          </w:p>
        </w:tc>
        <w:tc>
          <w:tcPr>
            <w:tcW w:w="4241" w:type="dxa"/>
            <w:tcBorders>
              <w:tl2br w:val="nil"/>
              <w:tr2bl w:val="nil"/>
            </w:tcBorders>
            <w:vAlign w:val="center"/>
          </w:tcPr>
          <w:p w14:paraId="127D8372">
            <w:pPr>
              <w:pStyle w:val="34"/>
              <w:keepNext w:val="0"/>
              <w:keepLines w:val="0"/>
              <w:suppressLineNumbers w:val="0"/>
              <w:spacing w:before="0" w:beforeAutospacing="0" w:after="0" w:afterAutospacing="0"/>
              <w:ind w:left="0" w:right="0"/>
              <w:rPr>
                <w:rFonts w:hint="default"/>
                <w:color w:val="auto"/>
              </w:rPr>
            </w:pPr>
            <w:r>
              <w:rPr>
                <w:rFonts w:hint="default"/>
                <w:color w:val="auto"/>
              </w:rPr>
              <w:t>所有人井人员必须随身携带自救器。</w:t>
            </w:r>
          </w:p>
        </w:tc>
        <w:tc>
          <w:tcPr>
            <w:tcW w:w="1818" w:type="dxa"/>
            <w:vMerge w:val="continue"/>
            <w:tcBorders>
              <w:tl2br w:val="nil"/>
              <w:tr2bl w:val="nil"/>
            </w:tcBorders>
            <w:vAlign w:val="center"/>
          </w:tcPr>
          <w:p w14:paraId="771A0F9E">
            <w:pPr>
              <w:pStyle w:val="34"/>
              <w:keepNext w:val="0"/>
              <w:keepLines w:val="0"/>
              <w:suppressLineNumbers w:val="0"/>
              <w:spacing w:before="0" w:beforeAutospacing="0" w:after="0" w:afterAutospacing="0"/>
              <w:ind w:left="0" w:right="0"/>
              <w:rPr>
                <w:rFonts w:hint="eastAsia"/>
                <w:color w:val="auto"/>
              </w:rPr>
            </w:pPr>
          </w:p>
        </w:tc>
        <w:tc>
          <w:tcPr>
            <w:tcW w:w="1496" w:type="dxa"/>
            <w:vMerge w:val="continue"/>
            <w:tcBorders>
              <w:tl2br w:val="nil"/>
              <w:tr2bl w:val="nil"/>
            </w:tcBorders>
            <w:vAlign w:val="center"/>
          </w:tcPr>
          <w:p w14:paraId="5D794A75">
            <w:pPr>
              <w:pStyle w:val="34"/>
              <w:keepNext w:val="0"/>
              <w:keepLines w:val="0"/>
              <w:suppressLineNumbers w:val="0"/>
              <w:spacing w:before="0" w:beforeAutospacing="0" w:after="0" w:afterAutospacing="0"/>
              <w:ind w:left="0" w:right="0"/>
              <w:rPr>
                <w:rFonts w:hint="eastAsia"/>
                <w:color w:val="auto"/>
                <w:lang w:val="en-US" w:eastAsia="zh-CN"/>
              </w:rPr>
            </w:pPr>
          </w:p>
        </w:tc>
        <w:tc>
          <w:tcPr>
            <w:tcW w:w="737" w:type="dxa"/>
            <w:vMerge w:val="continue"/>
            <w:tcBorders>
              <w:tl2br w:val="nil"/>
              <w:tr2bl w:val="nil"/>
            </w:tcBorders>
            <w:vAlign w:val="center"/>
          </w:tcPr>
          <w:p w14:paraId="319AF912">
            <w:pPr>
              <w:pStyle w:val="34"/>
              <w:keepNext w:val="0"/>
              <w:keepLines w:val="0"/>
              <w:suppressLineNumbers w:val="0"/>
              <w:spacing w:before="0" w:beforeAutospacing="0" w:after="0" w:afterAutospacing="0"/>
              <w:ind w:left="0" w:right="0"/>
              <w:rPr>
                <w:rFonts w:hint="eastAsia"/>
                <w:color w:val="auto"/>
              </w:rPr>
            </w:pPr>
          </w:p>
        </w:tc>
      </w:tr>
      <w:tr w14:paraId="2BA992C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30" w:hRule="atLeast"/>
          <w:jc w:val="center"/>
        </w:trPr>
        <w:tc>
          <w:tcPr>
            <w:tcW w:w="684" w:type="dxa"/>
            <w:vMerge w:val="continue"/>
            <w:tcBorders>
              <w:tl2br w:val="nil"/>
              <w:tr2bl w:val="nil"/>
            </w:tcBorders>
            <w:vAlign w:val="center"/>
          </w:tcPr>
          <w:p w14:paraId="2816675E">
            <w:pPr>
              <w:pStyle w:val="34"/>
              <w:keepNext w:val="0"/>
              <w:keepLines w:val="0"/>
              <w:numPr>
                <w:ilvl w:val="0"/>
                <w:numId w:val="0"/>
              </w:numPr>
              <w:suppressLineNumbers w:val="0"/>
              <w:spacing w:before="0" w:beforeAutospacing="0" w:after="0" w:afterAutospacing="0"/>
              <w:ind w:left="0" w:leftChars="0" w:right="0" w:rightChars="0"/>
              <w:jc w:val="center"/>
              <w:rPr>
                <w:rFonts w:hint="eastAsia"/>
                <w:color w:val="auto"/>
                <w:lang w:val="en-US" w:eastAsia="zh-CN"/>
              </w:rPr>
            </w:pPr>
          </w:p>
        </w:tc>
        <w:tc>
          <w:tcPr>
            <w:tcW w:w="416" w:type="dxa"/>
            <w:vMerge w:val="continue"/>
            <w:tcBorders>
              <w:tl2br w:val="nil"/>
              <w:tr2bl w:val="nil"/>
            </w:tcBorders>
            <w:vAlign w:val="center"/>
          </w:tcPr>
          <w:p w14:paraId="6C249583">
            <w:pPr>
              <w:pStyle w:val="34"/>
              <w:keepNext w:val="0"/>
              <w:keepLines w:val="0"/>
              <w:suppressLineNumbers w:val="0"/>
              <w:spacing w:before="0" w:beforeAutospacing="0" w:after="0" w:afterAutospacing="0"/>
              <w:ind w:left="0" w:right="0"/>
              <w:jc w:val="center"/>
              <w:rPr>
                <w:rFonts w:hint="default"/>
                <w:color w:val="auto"/>
              </w:rPr>
            </w:pPr>
          </w:p>
        </w:tc>
        <w:tc>
          <w:tcPr>
            <w:tcW w:w="4241" w:type="dxa"/>
            <w:tcBorders>
              <w:tl2br w:val="nil"/>
              <w:tr2bl w:val="nil"/>
            </w:tcBorders>
            <w:vAlign w:val="center"/>
          </w:tcPr>
          <w:p w14:paraId="4CC784B7">
            <w:pPr>
              <w:pStyle w:val="34"/>
              <w:keepNext w:val="0"/>
              <w:keepLines w:val="0"/>
              <w:suppressLineNumbers w:val="0"/>
              <w:spacing w:before="0" w:beforeAutospacing="0" w:after="0" w:afterAutospacing="0"/>
              <w:ind w:left="0" w:right="0"/>
              <w:rPr>
                <w:rFonts w:hint="default"/>
                <w:color w:val="auto"/>
              </w:rPr>
            </w:pPr>
            <w:r>
              <w:rPr>
                <w:rFonts w:hint="default"/>
                <w:color w:val="auto"/>
              </w:rPr>
              <w:t>企业应根据井下生产作业实际,做好应急预案的培训和演练工作,确保井下作业人员熟练掌握紧急避险原则、路线和现场应急处置措施。</w:t>
            </w:r>
          </w:p>
        </w:tc>
        <w:tc>
          <w:tcPr>
            <w:tcW w:w="1818" w:type="dxa"/>
            <w:vMerge w:val="continue"/>
            <w:tcBorders>
              <w:tl2br w:val="nil"/>
              <w:tr2bl w:val="nil"/>
            </w:tcBorders>
            <w:vAlign w:val="center"/>
          </w:tcPr>
          <w:p w14:paraId="2382AEDB">
            <w:pPr>
              <w:pStyle w:val="34"/>
              <w:keepNext w:val="0"/>
              <w:keepLines w:val="0"/>
              <w:suppressLineNumbers w:val="0"/>
              <w:spacing w:before="0" w:beforeAutospacing="0" w:after="0" w:afterAutospacing="0"/>
              <w:ind w:left="0" w:right="0"/>
              <w:rPr>
                <w:rFonts w:hint="eastAsia"/>
                <w:color w:val="auto"/>
              </w:rPr>
            </w:pPr>
          </w:p>
        </w:tc>
        <w:tc>
          <w:tcPr>
            <w:tcW w:w="1496" w:type="dxa"/>
            <w:vMerge w:val="continue"/>
            <w:tcBorders>
              <w:tl2br w:val="nil"/>
              <w:tr2bl w:val="nil"/>
            </w:tcBorders>
            <w:vAlign w:val="center"/>
          </w:tcPr>
          <w:p w14:paraId="30DBECAE">
            <w:pPr>
              <w:pStyle w:val="34"/>
              <w:keepNext w:val="0"/>
              <w:keepLines w:val="0"/>
              <w:suppressLineNumbers w:val="0"/>
              <w:spacing w:before="0" w:beforeAutospacing="0" w:after="0" w:afterAutospacing="0"/>
              <w:ind w:left="0" w:right="0"/>
              <w:rPr>
                <w:rFonts w:hint="eastAsia"/>
                <w:color w:val="auto"/>
                <w:lang w:val="en-US" w:eastAsia="zh-CN"/>
              </w:rPr>
            </w:pPr>
          </w:p>
        </w:tc>
        <w:tc>
          <w:tcPr>
            <w:tcW w:w="737" w:type="dxa"/>
            <w:vMerge w:val="continue"/>
            <w:tcBorders>
              <w:tl2br w:val="nil"/>
              <w:tr2bl w:val="nil"/>
            </w:tcBorders>
            <w:vAlign w:val="center"/>
          </w:tcPr>
          <w:p w14:paraId="0998AAC4">
            <w:pPr>
              <w:pStyle w:val="34"/>
              <w:keepNext w:val="0"/>
              <w:keepLines w:val="0"/>
              <w:suppressLineNumbers w:val="0"/>
              <w:spacing w:before="0" w:beforeAutospacing="0" w:after="0" w:afterAutospacing="0"/>
              <w:ind w:left="0" w:right="0"/>
              <w:rPr>
                <w:rFonts w:hint="eastAsia"/>
                <w:color w:val="auto"/>
              </w:rPr>
            </w:pPr>
          </w:p>
        </w:tc>
      </w:tr>
      <w:tr w14:paraId="5FAB9F8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30" w:hRule="atLeast"/>
          <w:jc w:val="center"/>
        </w:trPr>
        <w:tc>
          <w:tcPr>
            <w:tcW w:w="684" w:type="dxa"/>
            <w:vMerge w:val="continue"/>
            <w:tcBorders>
              <w:tl2br w:val="nil"/>
              <w:tr2bl w:val="nil"/>
            </w:tcBorders>
            <w:vAlign w:val="center"/>
          </w:tcPr>
          <w:p w14:paraId="041EA4E9">
            <w:pPr>
              <w:pStyle w:val="34"/>
              <w:keepNext w:val="0"/>
              <w:keepLines w:val="0"/>
              <w:numPr>
                <w:ilvl w:val="0"/>
                <w:numId w:val="0"/>
              </w:numPr>
              <w:suppressLineNumbers w:val="0"/>
              <w:spacing w:before="0" w:beforeAutospacing="0" w:after="0" w:afterAutospacing="0"/>
              <w:ind w:left="0" w:leftChars="0" w:right="0" w:rightChars="0"/>
              <w:jc w:val="center"/>
              <w:rPr>
                <w:rFonts w:hint="eastAsia"/>
                <w:color w:val="auto"/>
                <w:lang w:val="en-US" w:eastAsia="zh-CN"/>
              </w:rPr>
            </w:pPr>
          </w:p>
        </w:tc>
        <w:tc>
          <w:tcPr>
            <w:tcW w:w="416" w:type="dxa"/>
            <w:vMerge w:val="continue"/>
            <w:tcBorders>
              <w:tl2br w:val="nil"/>
              <w:tr2bl w:val="nil"/>
            </w:tcBorders>
            <w:vAlign w:val="center"/>
          </w:tcPr>
          <w:p w14:paraId="3FEB42FE">
            <w:pPr>
              <w:pStyle w:val="34"/>
              <w:keepNext w:val="0"/>
              <w:keepLines w:val="0"/>
              <w:suppressLineNumbers w:val="0"/>
              <w:spacing w:before="0" w:beforeAutospacing="0" w:after="0" w:afterAutospacing="0"/>
              <w:ind w:left="0" w:right="0"/>
              <w:jc w:val="center"/>
              <w:rPr>
                <w:rFonts w:hint="default"/>
                <w:color w:val="auto"/>
              </w:rPr>
            </w:pPr>
          </w:p>
        </w:tc>
        <w:tc>
          <w:tcPr>
            <w:tcW w:w="4241" w:type="dxa"/>
            <w:tcBorders>
              <w:tl2br w:val="nil"/>
              <w:tr2bl w:val="nil"/>
            </w:tcBorders>
            <w:vAlign w:val="center"/>
          </w:tcPr>
          <w:p w14:paraId="4FBB1F9A">
            <w:pPr>
              <w:pStyle w:val="34"/>
              <w:keepNext w:val="0"/>
              <w:keepLines w:val="0"/>
              <w:suppressLineNumbers w:val="0"/>
              <w:spacing w:before="0" w:beforeAutospacing="0" w:after="0" w:afterAutospacing="0"/>
              <w:ind w:left="0" w:right="0"/>
              <w:rPr>
                <w:rFonts w:hint="default"/>
                <w:color w:val="auto"/>
              </w:rPr>
            </w:pPr>
            <w:r>
              <w:rPr>
                <w:rFonts w:hint="default"/>
                <w:color w:val="auto"/>
              </w:rPr>
              <w:t>每个矿井至少要有两个独立的直达地面的安全出口,安全出口间距不小于30m</w:t>
            </w:r>
            <w:r>
              <w:rPr>
                <w:rFonts w:hint="eastAsia"/>
                <w:color w:val="auto"/>
                <w:lang w:eastAsia="zh-CN"/>
              </w:rPr>
              <w:t>；</w:t>
            </w:r>
            <w:r>
              <w:rPr>
                <w:rFonts w:hint="default"/>
                <w:color w:val="auto"/>
              </w:rPr>
              <w:t>每个生产水平或中段至少应有两个便于行人的安全出口,并和通往地面的安全出口相通</w:t>
            </w:r>
            <w:r>
              <w:rPr>
                <w:rFonts w:hint="eastAsia"/>
                <w:color w:val="auto"/>
                <w:lang w:eastAsia="zh-CN"/>
              </w:rPr>
              <w:t>；</w:t>
            </w:r>
            <w:r>
              <w:rPr>
                <w:rFonts w:hint="default"/>
                <w:color w:val="auto"/>
              </w:rPr>
              <w:t>每个采区至少应有两个便于行人的安全出口,并经上、下巷道与通往地面的安全出口相通。安全出口设置的其他要求应符合GB16423的要求。</w:t>
            </w:r>
          </w:p>
        </w:tc>
        <w:tc>
          <w:tcPr>
            <w:tcW w:w="1818" w:type="dxa"/>
            <w:vMerge w:val="continue"/>
            <w:tcBorders>
              <w:tl2br w:val="nil"/>
              <w:tr2bl w:val="nil"/>
            </w:tcBorders>
            <w:vAlign w:val="center"/>
          </w:tcPr>
          <w:p w14:paraId="321E0870">
            <w:pPr>
              <w:pStyle w:val="34"/>
              <w:keepNext w:val="0"/>
              <w:keepLines w:val="0"/>
              <w:suppressLineNumbers w:val="0"/>
              <w:spacing w:before="0" w:beforeAutospacing="0" w:after="0" w:afterAutospacing="0"/>
              <w:ind w:left="0" w:right="0"/>
              <w:rPr>
                <w:rFonts w:hint="eastAsia"/>
                <w:color w:val="auto"/>
              </w:rPr>
            </w:pPr>
          </w:p>
        </w:tc>
        <w:tc>
          <w:tcPr>
            <w:tcW w:w="1496" w:type="dxa"/>
            <w:vMerge w:val="continue"/>
            <w:tcBorders>
              <w:tl2br w:val="nil"/>
              <w:tr2bl w:val="nil"/>
            </w:tcBorders>
            <w:vAlign w:val="center"/>
          </w:tcPr>
          <w:p w14:paraId="39B34ACD">
            <w:pPr>
              <w:pStyle w:val="34"/>
              <w:keepNext w:val="0"/>
              <w:keepLines w:val="0"/>
              <w:suppressLineNumbers w:val="0"/>
              <w:spacing w:before="0" w:beforeAutospacing="0" w:after="0" w:afterAutospacing="0"/>
              <w:ind w:left="0" w:right="0"/>
              <w:rPr>
                <w:rFonts w:hint="eastAsia"/>
                <w:color w:val="auto"/>
                <w:lang w:val="en-US" w:eastAsia="zh-CN"/>
              </w:rPr>
            </w:pPr>
          </w:p>
        </w:tc>
        <w:tc>
          <w:tcPr>
            <w:tcW w:w="737" w:type="dxa"/>
            <w:vMerge w:val="continue"/>
            <w:tcBorders>
              <w:tl2br w:val="nil"/>
              <w:tr2bl w:val="nil"/>
            </w:tcBorders>
            <w:vAlign w:val="center"/>
          </w:tcPr>
          <w:p w14:paraId="50B4BD91">
            <w:pPr>
              <w:pStyle w:val="34"/>
              <w:keepNext w:val="0"/>
              <w:keepLines w:val="0"/>
              <w:suppressLineNumbers w:val="0"/>
              <w:spacing w:before="0" w:beforeAutospacing="0" w:after="0" w:afterAutospacing="0"/>
              <w:ind w:left="0" w:right="0"/>
              <w:rPr>
                <w:rFonts w:hint="eastAsia"/>
                <w:color w:val="auto"/>
              </w:rPr>
            </w:pPr>
          </w:p>
        </w:tc>
      </w:tr>
      <w:tr w14:paraId="63ED25D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30" w:hRule="atLeast"/>
          <w:jc w:val="center"/>
        </w:trPr>
        <w:tc>
          <w:tcPr>
            <w:tcW w:w="684" w:type="dxa"/>
            <w:vMerge w:val="continue"/>
            <w:tcBorders>
              <w:tl2br w:val="nil"/>
              <w:tr2bl w:val="nil"/>
            </w:tcBorders>
            <w:vAlign w:val="center"/>
          </w:tcPr>
          <w:p w14:paraId="26E22F19">
            <w:pPr>
              <w:pStyle w:val="34"/>
              <w:keepNext w:val="0"/>
              <w:keepLines w:val="0"/>
              <w:numPr>
                <w:ilvl w:val="0"/>
                <w:numId w:val="0"/>
              </w:numPr>
              <w:suppressLineNumbers w:val="0"/>
              <w:spacing w:before="0" w:beforeAutospacing="0" w:after="0" w:afterAutospacing="0"/>
              <w:ind w:left="0" w:leftChars="0" w:right="0" w:rightChars="0"/>
              <w:jc w:val="center"/>
              <w:rPr>
                <w:rFonts w:hint="eastAsia"/>
                <w:color w:val="auto"/>
                <w:lang w:val="en-US" w:eastAsia="zh-CN"/>
              </w:rPr>
            </w:pPr>
          </w:p>
        </w:tc>
        <w:tc>
          <w:tcPr>
            <w:tcW w:w="416" w:type="dxa"/>
            <w:vMerge w:val="continue"/>
            <w:tcBorders>
              <w:tl2br w:val="nil"/>
              <w:tr2bl w:val="nil"/>
            </w:tcBorders>
            <w:vAlign w:val="center"/>
          </w:tcPr>
          <w:p w14:paraId="3ED1C6B2">
            <w:pPr>
              <w:pStyle w:val="34"/>
              <w:keepNext w:val="0"/>
              <w:keepLines w:val="0"/>
              <w:suppressLineNumbers w:val="0"/>
              <w:spacing w:before="0" w:beforeAutospacing="0" w:after="0" w:afterAutospacing="0"/>
              <w:ind w:left="0" w:right="0"/>
              <w:jc w:val="center"/>
              <w:rPr>
                <w:rFonts w:hint="default"/>
                <w:color w:val="auto"/>
              </w:rPr>
            </w:pPr>
          </w:p>
        </w:tc>
        <w:tc>
          <w:tcPr>
            <w:tcW w:w="4241" w:type="dxa"/>
            <w:tcBorders>
              <w:tl2br w:val="nil"/>
              <w:tr2bl w:val="nil"/>
            </w:tcBorders>
            <w:vAlign w:val="center"/>
          </w:tcPr>
          <w:p w14:paraId="38D5B213">
            <w:pPr>
              <w:pStyle w:val="34"/>
              <w:keepNext w:val="0"/>
              <w:keepLines w:val="0"/>
              <w:suppressLineNumbers w:val="0"/>
              <w:spacing w:before="0" w:beforeAutospacing="0" w:after="0" w:afterAutospacing="0"/>
              <w:ind w:left="0" w:right="0"/>
              <w:rPr>
                <w:rFonts w:hint="default"/>
                <w:color w:val="auto"/>
              </w:rPr>
            </w:pPr>
            <w:r>
              <w:rPr>
                <w:rFonts w:hint="default"/>
                <w:color w:val="auto"/>
              </w:rPr>
              <w:t>金属非金属地下矿山应编制事故应急预案,根据矿山事故风险辨识评估结论,制定相应灾害的避灾路线,绘制井下避灾线路图,并按照GB14161</w:t>
            </w:r>
            <w:r>
              <w:rPr>
                <w:rFonts w:hint="eastAsia"/>
                <w:color w:val="auto"/>
                <w:lang w:val="en-US" w:eastAsia="zh-CN"/>
              </w:rPr>
              <w:t>-</w:t>
            </w:r>
            <w:r>
              <w:rPr>
                <w:rFonts w:hint="default"/>
                <w:color w:val="auto"/>
              </w:rPr>
              <w:t>2008的规定做好井下避灾路线的标识。井巷的所有分道口要有醒目的路标，注明其所在地点及通往地面出口的方向，并定期检查维护避灾路线，保持其通畅。</w:t>
            </w:r>
          </w:p>
        </w:tc>
        <w:tc>
          <w:tcPr>
            <w:tcW w:w="1818" w:type="dxa"/>
            <w:vMerge w:val="continue"/>
            <w:tcBorders>
              <w:tl2br w:val="nil"/>
              <w:tr2bl w:val="nil"/>
            </w:tcBorders>
            <w:vAlign w:val="center"/>
          </w:tcPr>
          <w:p w14:paraId="09BE9F3D">
            <w:pPr>
              <w:pStyle w:val="34"/>
              <w:keepNext w:val="0"/>
              <w:keepLines w:val="0"/>
              <w:suppressLineNumbers w:val="0"/>
              <w:spacing w:before="0" w:beforeAutospacing="0" w:after="0" w:afterAutospacing="0"/>
              <w:ind w:left="0" w:right="0"/>
              <w:rPr>
                <w:rFonts w:hint="eastAsia"/>
                <w:color w:val="auto"/>
              </w:rPr>
            </w:pPr>
          </w:p>
        </w:tc>
        <w:tc>
          <w:tcPr>
            <w:tcW w:w="1496" w:type="dxa"/>
            <w:vMerge w:val="continue"/>
            <w:tcBorders>
              <w:tl2br w:val="nil"/>
              <w:tr2bl w:val="nil"/>
            </w:tcBorders>
            <w:vAlign w:val="center"/>
          </w:tcPr>
          <w:p w14:paraId="2BF984B1">
            <w:pPr>
              <w:pStyle w:val="34"/>
              <w:keepNext w:val="0"/>
              <w:keepLines w:val="0"/>
              <w:suppressLineNumbers w:val="0"/>
              <w:spacing w:before="0" w:beforeAutospacing="0" w:after="0" w:afterAutospacing="0"/>
              <w:ind w:left="0" w:right="0"/>
              <w:rPr>
                <w:rFonts w:hint="eastAsia"/>
                <w:color w:val="auto"/>
                <w:lang w:val="en-US" w:eastAsia="zh-CN"/>
              </w:rPr>
            </w:pPr>
          </w:p>
        </w:tc>
        <w:tc>
          <w:tcPr>
            <w:tcW w:w="737" w:type="dxa"/>
            <w:vMerge w:val="continue"/>
            <w:tcBorders>
              <w:tl2br w:val="nil"/>
              <w:tr2bl w:val="nil"/>
            </w:tcBorders>
            <w:vAlign w:val="center"/>
          </w:tcPr>
          <w:p w14:paraId="0A71311F">
            <w:pPr>
              <w:pStyle w:val="34"/>
              <w:keepNext w:val="0"/>
              <w:keepLines w:val="0"/>
              <w:suppressLineNumbers w:val="0"/>
              <w:spacing w:before="0" w:beforeAutospacing="0" w:after="0" w:afterAutospacing="0"/>
              <w:ind w:left="0" w:right="0"/>
              <w:rPr>
                <w:rFonts w:hint="eastAsia"/>
                <w:color w:val="auto"/>
              </w:rPr>
            </w:pPr>
          </w:p>
        </w:tc>
      </w:tr>
      <w:tr w14:paraId="063586C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30" w:hRule="atLeast"/>
          <w:jc w:val="center"/>
        </w:trPr>
        <w:tc>
          <w:tcPr>
            <w:tcW w:w="684" w:type="dxa"/>
            <w:vMerge w:val="restart"/>
            <w:tcBorders>
              <w:tl2br w:val="nil"/>
              <w:tr2bl w:val="nil"/>
            </w:tcBorders>
            <w:vAlign w:val="center"/>
          </w:tcPr>
          <w:p w14:paraId="29A2C3C1">
            <w:pPr>
              <w:pStyle w:val="34"/>
              <w:keepNext w:val="0"/>
              <w:keepLines w:val="0"/>
              <w:numPr>
                <w:ilvl w:val="0"/>
                <w:numId w:val="0"/>
              </w:numPr>
              <w:suppressLineNumbers w:val="0"/>
              <w:spacing w:before="0" w:beforeAutospacing="0" w:after="0" w:afterAutospacing="0"/>
              <w:ind w:left="0" w:leftChars="0" w:right="0" w:rightChars="0"/>
              <w:jc w:val="center"/>
              <w:rPr>
                <w:rFonts w:hint="default" w:eastAsia="宋体"/>
                <w:color w:val="auto"/>
                <w:lang w:val="en-US" w:eastAsia="zh-CN"/>
              </w:rPr>
            </w:pPr>
            <w:r>
              <w:rPr>
                <w:rFonts w:hint="eastAsia"/>
                <w:color w:val="auto"/>
                <w:lang w:val="en-US" w:eastAsia="zh-CN"/>
              </w:rPr>
              <w:t>4</w:t>
            </w:r>
          </w:p>
        </w:tc>
        <w:tc>
          <w:tcPr>
            <w:tcW w:w="416" w:type="dxa"/>
            <w:vMerge w:val="restart"/>
            <w:tcBorders>
              <w:tl2br w:val="nil"/>
              <w:tr2bl w:val="nil"/>
            </w:tcBorders>
            <w:vAlign w:val="center"/>
          </w:tcPr>
          <w:p w14:paraId="6FD24859">
            <w:pPr>
              <w:pStyle w:val="34"/>
              <w:keepNext w:val="0"/>
              <w:keepLines w:val="0"/>
              <w:suppressLineNumbers w:val="0"/>
              <w:spacing w:before="0" w:beforeAutospacing="0" w:after="0" w:afterAutospacing="0"/>
              <w:ind w:left="0" w:right="0"/>
              <w:jc w:val="center"/>
              <w:rPr>
                <w:rFonts w:hint="default"/>
                <w:color w:val="auto"/>
              </w:rPr>
            </w:pPr>
            <w:r>
              <w:rPr>
                <w:rFonts w:hint="default"/>
                <w:color w:val="auto"/>
              </w:rPr>
              <w:t>压风自救系统</w:t>
            </w:r>
          </w:p>
        </w:tc>
        <w:tc>
          <w:tcPr>
            <w:tcW w:w="4241" w:type="dxa"/>
            <w:tcBorders>
              <w:tl2br w:val="nil"/>
              <w:tr2bl w:val="nil"/>
            </w:tcBorders>
          </w:tcPr>
          <w:p w14:paraId="440C3989">
            <w:pPr>
              <w:pStyle w:val="34"/>
              <w:keepNext w:val="0"/>
              <w:keepLines w:val="0"/>
              <w:suppressLineNumbers w:val="0"/>
              <w:spacing w:before="0" w:beforeAutospacing="0" w:after="0" w:afterAutospacing="0"/>
              <w:ind w:left="0" w:right="0"/>
              <w:rPr>
                <w:rFonts w:hint="eastAsia" w:eastAsia="宋体"/>
                <w:color w:val="auto"/>
                <w:lang w:eastAsia="zh-CN"/>
              </w:rPr>
            </w:pPr>
            <w:r>
              <w:rPr>
                <w:rFonts w:hint="default"/>
                <w:color w:val="auto"/>
              </w:rPr>
              <w:t>压风自救系统的空气压缩机应安装在地面，并能在10min内启动。空气压缩机安装在地面难以保证对井下作业地点有效供风时,安装在井下。安全设施设计中应明确井下安装空气压缩机碉室位置，并与矿井通风系统和安全出口统筹规划设计</w:t>
            </w:r>
            <w:r>
              <w:rPr>
                <w:rFonts w:hint="eastAsia"/>
                <w:color w:val="auto"/>
                <w:lang w:eastAsia="zh-CN"/>
              </w:rPr>
              <w:t>。</w:t>
            </w:r>
          </w:p>
        </w:tc>
        <w:tc>
          <w:tcPr>
            <w:tcW w:w="1818" w:type="dxa"/>
            <w:vMerge w:val="restart"/>
            <w:tcBorders>
              <w:tl2br w:val="nil"/>
              <w:tr2bl w:val="nil"/>
            </w:tcBorders>
            <w:vAlign w:val="center"/>
          </w:tcPr>
          <w:p w14:paraId="00B380A5">
            <w:pPr>
              <w:pStyle w:val="34"/>
              <w:keepNext w:val="0"/>
              <w:keepLines w:val="0"/>
              <w:suppressLineNumbers w:val="0"/>
              <w:spacing w:before="0" w:beforeAutospacing="0" w:after="0" w:afterAutospacing="0"/>
              <w:ind w:left="0" w:right="0"/>
              <w:jc w:val="center"/>
              <w:rPr>
                <w:rFonts w:hint="default"/>
                <w:color w:val="auto"/>
              </w:rPr>
            </w:pPr>
            <w:r>
              <w:rPr>
                <w:rFonts w:hint="eastAsia"/>
                <w:color w:val="auto"/>
              </w:rPr>
              <w:t>《金属非金属地下矿山压风自救系统建设规范》 (</w:t>
            </w:r>
            <w:r>
              <w:rPr>
                <w:rFonts w:hint="eastAsia"/>
                <w:color w:val="auto"/>
                <w:lang w:val="en-US" w:eastAsia="zh-CN"/>
              </w:rPr>
              <w:t>KA/T</w:t>
            </w:r>
            <w:r>
              <w:rPr>
                <w:rFonts w:hint="eastAsia"/>
                <w:color w:val="auto"/>
              </w:rPr>
              <w:t>2034-20</w:t>
            </w:r>
            <w:r>
              <w:rPr>
                <w:rFonts w:hint="eastAsia"/>
                <w:color w:val="auto"/>
                <w:lang w:val="en-US" w:eastAsia="zh-CN"/>
              </w:rPr>
              <w:t>23</w:t>
            </w:r>
            <w:r>
              <w:rPr>
                <w:rFonts w:hint="eastAsia"/>
                <w:color w:val="auto"/>
              </w:rPr>
              <w:t>)</w:t>
            </w:r>
          </w:p>
        </w:tc>
        <w:tc>
          <w:tcPr>
            <w:tcW w:w="1496" w:type="dxa"/>
            <w:vMerge w:val="restart"/>
            <w:tcBorders>
              <w:tl2br w:val="nil"/>
              <w:tr2bl w:val="nil"/>
            </w:tcBorders>
            <w:vAlign w:val="center"/>
          </w:tcPr>
          <w:p w14:paraId="29ACEA8D">
            <w:pPr>
              <w:pStyle w:val="34"/>
              <w:keepNext w:val="0"/>
              <w:keepLines w:val="0"/>
              <w:suppressLineNumbers w:val="0"/>
              <w:spacing w:before="0" w:beforeAutospacing="0" w:after="0" w:afterAutospacing="0"/>
              <w:ind w:left="0" w:right="0"/>
              <w:jc w:val="center"/>
              <w:rPr>
                <w:rFonts w:hint="default" w:eastAsia="宋体"/>
                <w:color w:val="auto"/>
                <w:lang w:val="en-US" w:eastAsia="zh-CN"/>
              </w:rPr>
            </w:pPr>
            <w:r>
              <w:rPr>
                <w:rFonts w:hint="eastAsia"/>
                <w:color w:val="auto"/>
                <w:lang w:val="en-US" w:eastAsia="zh-CN"/>
              </w:rPr>
              <w:t>可研报告</w:t>
            </w:r>
            <w:r>
              <w:rPr>
                <w:rFonts w:hint="eastAsia"/>
                <w:color w:val="auto"/>
              </w:rPr>
              <w:t>中提出了压风自救系统建设方案、要求。</w:t>
            </w:r>
            <w:r>
              <w:rPr>
                <w:rFonts w:hint="eastAsia"/>
                <w:color w:val="auto"/>
                <w:lang w:val="en-US" w:eastAsia="zh-CN"/>
              </w:rPr>
              <w:t>未明确空压机设备保护的具体要求和压风管路设置要求。</w:t>
            </w:r>
          </w:p>
        </w:tc>
        <w:tc>
          <w:tcPr>
            <w:tcW w:w="737" w:type="dxa"/>
            <w:vMerge w:val="restart"/>
            <w:tcBorders>
              <w:tl2br w:val="nil"/>
              <w:tr2bl w:val="nil"/>
            </w:tcBorders>
            <w:vAlign w:val="center"/>
          </w:tcPr>
          <w:p w14:paraId="1D9236CC">
            <w:pPr>
              <w:pStyle w:val="34"/>
              <w:keepNext w:val="0"/>
              <w:keepLines w:val="0"/>
              <w:suppressLineNumbers w:val="0"/>
              <w:spacing w:before="0" w:beforeAutospacing="0" w:after="0" w:afterAutospacing="0"/>
              <w:ind w:left="0" w:right="0"/>
              <w:jc w:val="center"/>
              <w:rPr>
                <w:rFonts w:hint="default"/>
                <w:color w:val="auto"/>
              </w:rPr>
            </w:pPr>
            <w:r>
              <w:rPr>
                <w:rFonts w:hint="eastAsia"/>
                <w:color w:val="auto"/>
                <w:lang w:val="en-US" w:eastAsia="zh-CN"/>
              </w:rPr>
              <w:t>不</w:t>
            </w:r>
            <w:r>
              <w:rPr>
                <w:rFonts w:hint="eastAsia"/>
                <w:color w:val="auto"/>
              </w:rPr>
              <w:t>符合</w:t>
            </w:r>
          </w:p>
        </w:tc>
      </w:tr>
      <w:tr w14:paraId="342F812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30" w:hRule="atLeast"/>
          <w:jc w:val="center"/>
        </w:trPr>
        <w:tc>
          <w:tcPr>
            <w:tcW w:w="684" w:type="dxa"/>
            <w:vMerge w:val="continue"/>
            <w:tcBorders>
              <w:tl2br w:val="nil"/>
              <w:tr2bl w:val="nil"/>
            </w:tcBorders>
            <w:vAlign w:val="center"/>
          </w:tcPr>
          <w:p w14:paraId="34287DD4">
            <w:pPr>
              <w:pStyle w:val="34"/>
              <w:keepNext w:val="0"/>
              <w:keepLines w:val="0"/>
              <w:numPr>
                <w:ilvl w:val="0"/>
                <w:numId w:val="0"/>
              </w:numPr>
              <w:suppressLineNumbers w:val="0"/>
              <w:spacing w:before="0" w:beforeAutospacing="0" w:after="0" w:afterAutospacing="0"/>
              <w:ind w:left="0" w:leftChars="0" w:right="0" w:rightChars="0"/>
              <w:jc w:val="center"/>
              <w:rPr>
                <w:rFonts w:hint="eastAsia"/>
                <w:color w:val="auto"/>
                <w:lang w:val="en-US" w:eastAsia="zh-CN"/>
              </w:rPr>
            </w:pPr>
          </w:p>
        </w:tc>
        <w:tc>
          <w:tcPr>
            <w:tcW w:w="416" w:type="dxa"/>
            <w:vMerge w:val="continue"/>
            <w:tcBorders>
              <w:tl2br w:val="nil"/>
              <w:tr2bl w:val="nil"/>
            </w:tcBorders>
            <w:vAlign w:val="center"/>
          </w:tcPr>
          <w:p w14:paraId="7A68880F">
            <w:pPr>
              <w:pStyle w:val="34"/>
              <w:keepNext w:val="0"/>
              <w:keepLines w:val="0"/>
              <w:suppressLineNumbers w:val="0"/>
              <w:spacing w:before="0" w:beforeAutospacing="0" w:after="0" w:afterAutospacing="0"/>
              <w:ind w:left="0" w:right="0"/>
              <w:jc w:val="center"/>
              <w:rPr>
                <w:rFonts w:hint="default"/>
                <w:color w:val="auto"/>
              </w:rPr>
            </w:pPr>
          </w:p>
        </w:tc>
        <w:tc>
          <w:tcPr>
            <w:tcW w:w="4241" w:type="dxa"/>
            <w:tcBorders>
              <w:tl2br w:val="nil"/>
              <w:tr2bl w:val="nil"/>
            </w:tcBorders>
          </w:tcPr>
          <w:p w14:paraId="2264C5C9">
            <w:pPr>
              <w:pStyle w:val="34"/>
              <w:keepNext w:val="0"/>
              <w:keepLines w:val="0"/>
              <w:suppressLineNumbers w:val="0"/>
              <w:spacing w:before="0" w:beforeAutospacing="0" w:after="0" w:afterAutospacing="0"/>
              <w:ind w:left="0" w:right="0"/>
              <w:rPr>
                <w:rFonts w:hint="eastAsia" w:eastAsia="宋体"/>
                <w:color w:val="auto"/>
                <w:lang w:eastAsia="zh-CN"/>
              </w:rPr>
            </w:pPr>
            <w:r>
              <w:rPr>
                <w:rFonts w:hint="default"/>
                <w:color w:val="auto"/>
              </w:rPr>
              <w:t>空气压缩机站设备应符合下列规定</w:t>
            </w:r>
            <w:r>
              <w:rPr>
                <w:rFonts w:hint="eastAsia"/>
                <w:color w:val="auto"/>
                <w:lang w:eastAsia="zh-CN"/>
              </w:rPr>
              <w:t>：</w:t>
            </w:r>
          </w:p>
          <w:p w14:paraId="25AA9284">
            <w:pPr>
              <w:pStyle w:val="34"/>
              <w:keepNext w:val="0"/>
              <w:keepLines w:val="0"/>
              <w:suppressLineNumbers w:val="0"/>
              <w:spacing w:before="0" w:beforeAutospacing="0" w:after="0" w:afterAutospacing="0"/>
              <w:ind w:left="0" w:right="0"/>
              <w:rPr>
                <w:rFonts w:hint="eastAsia" w:eastAsia="宋体"/>
                <w:color w:val="auto"/>
                <w:lang w:eastAsia="zh-CN"/>
              </w:rPr>
            </w:pPr>
            <w:r>
              <w:rPr>
                <w:rFonts w:hint="default"/>
                <w:color w:val="auto"/>
              </w:rPr>
              <w:t>应设有压力表和安全阀</w:t>
            </w:r>
            <w:r>
              <w:rPr>
                <w:rFonts w:hint="eastAsia"/>
                <w:color w:val="auto"/>
                <w:lang w:eastAsia="zh-CN"/>
              </w:rPr>
              <w:t>：</w:t>
            </w:r>
          </w:p>
          <w:p w14:paraId="0476B6DE">
            <w:pPr>
              <w:pStyle w:val="34"/>
              <w:keepNext w:val="0"/>
              <w:keepLines w:val="0"/>
              <w:suppressLineNumbers w:val="0"/>
              <w:spacing w:before="0" w:beforeAutospacing="0" w:after="0" w:afterAutospacing="0"/>
              <w:ind w:left="0" w:right="0"/>
              <w:rPr>
                <w:rFonts w:hint="eastAsia" w:eastAsia="宋体"/>
                <w:color w:val="auto"/>
                <w:lang w:eastAsia="zh-CN"/>
              </w:rPr>
            </w:pPr>
            <w:r>
              <w:rPr>
                <w:rFonts w:hint="default"/>
                <w:color w:val="auto"/>
              </w:rPr>
              <w:t>压力表和安全</w:t>
            </w:r>
            <w:r>
              <w:rPr>
                <w:rFonts w:hint="eastAsia"/>
                <w:color w:val="auto"/>
                <w:lang w:val="en-US" w:eastAsia="zh-CN"/>
              </w:rPr>
              <w:t>阀</w:t>
            </w:r>
            <w:r>
              <w:rPr>
                <w:rFonts w:hint="default"/>
                <w:color w:val="auto"/>
              </w:rPr>
              <w:t>应定期校准</w:t>
            </w:r>
            <w:r>
              <w:rPr>
                <w:rFonts w:hint="eastAsia"/>
                <w:color w:val="auto"/>
                <w:lang w:eastAsia="zh-CN"/>
              </w:rPr>
              <w:t>：</w:t>
            </w:r>
          </w:p>
          <w:p w14:paraId="6F46E853">
            <w:pPr>
              <w:pStyle w:val="34"/>
              <w:keepNext w:val="0"/>
              <w:keepLines w:val="0"/>
              <w:suppressLineNumbers w:val="0"/>
              <w:spacing w:before="0" w:beforeAutospacing="0" w:after="0" w:afterAutospacing="0"/>
              <w:ind w:left="0" w:right="0"/>
              <w:rPr>
                <w:rFonts w:hint="eastAsia" w:eastAsia="宋体"/>
                <w:color w:val="auto"/>
                <w:lang w:eastAsia="zh-CN"/>
              </w:rPr>
            </w:pPr>
            <w:r>
              <w:rPr>
                <w:rFonts w:hint="default"/>
                <w:color w:val="auto"/>
              </w:rPr>
              <w:t>安全阀和压力调节器应动作可,安全阀动作压力应不超过额定压力的1.1倍</w:t>
            </w:r>
            <w:r>
              <w:rPr>
                <w:rFonts w:hint="eastAsia"/>
                <w:color w:val="auto"/>
                <w:lang w:eastAsia="zh-CN"/>
              </w:rPr>
              <w:t>；</w:t>
            </w:r>
            <w:r>
              <w:rPr>
                <w:rFonts w:hint="default"/>
                <w:color w:val="auto"/>
              </w:rPr>
              <w:t>应使用闪点不低于215C的压缩机油</w:t>
            </w:r>
            <w:r>
              <w:rPr>
                <w:rFonts w:hint="eastAsia"/>
                <w:color w:val="auto"/>
                <w:lang w:eastAsia="zh-CN"/>
              </w:rPr>
              <w:t>：</w:t>
            </w:r>
          </w:p>
          <w:p w14:paraId="138D6171">
            <w:pPr>
              <w:pStyle w:val="34"/>
              <w:keepNext w:val="0"/>
              <w:keepLines w:val="0"/>
              <w:suppressLineNumbers w:val="0"/>
              <w:spacing w:before="0" w:beforeAutospacing="0" w:after="0" w:afterAutospacing="0"/>
              <w:ind w:left="0" w:right="0"/>
              <w:rPr>
                <w:rFonts w:hint="default"/>
                <w:color w:val="auto"/>
              </w:rPr>
            </w:pPr>
            <w:r>
              <w:rPr>
                <w:rFonts w:hint="default"/>
                <w:color w:val="auto"/>
              </w:rPr>
              <w:t>使用油润滑的空气压缩机应装设断油保护装置或断油信号显示装置-水冷式空气压缩机应装设断水保护装置或断水信号显示装置。</w:t>
            </w:r>
          </w:p>
        </w:tc>
        <w:tc>
          <w:tcPr>
            <w:tcW w:w="1818" w:type="dxa"/>
            <w:vMerge w:val="continue"/>
            <w:tcBorders>
              <w:tl2br w:val="nil"/>
              <w:tr2bl w:val="nil"/>
            </w:tcBorders>
            <w:vAlign w:val="center"/>
          </w:tcPr>
          <w:p w14:paraId="28C2AA57">
            <w:pPr>
              <w:pStyle w:val="34"/>
              <w:keepNext w:val="0"/>
              <w:keepLines w:val="0"/>
              <w:suppressLineNumbers w:val="0"/>
              <w:spacing w:before="0" w:beforeAutospacing="0" w:after="0" w:afterAutospacing="0"/>
              <w:ind w:left="0" w:right="0"/>
              <w:rPr>
                <w:rFonts w:hint="eastAsia"/>
                <w:color w:val="auto"/>
              </w:rPr>
            </w:pPr>
          </w:p>
        </w:tc>
        <w:tc>
          <w:tcPr>
            <w:tcW w:w="1496" w:type="dxa"/>
            <w:vMerge w:val="continue"/>
            <w:tcBorders>
              <w:tl2br w:val="nil"/>
              <w:tr2bl w:val="nil"/>
            </w:tcBorders>
            <w:vAlign w:val="center"/>
          </w:tcPr>
          <w:p w14:paraId="157EDDD8">
            <w:pPr>
              <w:pStyle w:val="34"/>
              <w:keepNext w:val="0"/>
              <w:keepLines w:val="0"/>
              <w:suppressLineNumbers w:val="0"/>
              <w:spacing w:before="0" w:beforeAutospacing="0" w:after="0" w:afterAutospacing="0"/>
              <w:ind w:left="0" w:right="0"/>
              <w:rPr>
                <w:rFonts w:hint="default"/>
                <w:color w:val="auto"/>
                <w:lang w:val="en-GB"/>
              </w:rPr>
            </w:pPr>
          </w:p>
        </w:tc>
        <w:tc>
          <w:tcPr>
            <w:tcW w:w="737" w:type="dxa"/>
            <w:vMerge w:val="continue"/>
            <w:tcBorders>
              <w:tl2br w:val="nil"/>
              <w:tr2bl w:val="nil"/>
            </w:tcBorders>
            <w:vAlign w:val="center"/>
          </w:tcPr>
          <w:p w14:paraId="750ADD7A">
            <w:pPr>
              <w:pStyle w:val="34"/>
              <w:keepNext w:val="0"/>
              <w:keepLines w:val="0"/>
              <w:suppressLineNumbers w:val="0"/>
              <w:spacing w:before="0" w:beforeAutospacing="0" w:after="0" w:afterAutospacing="0"/>
              <w:ind w:left="0" w:right="0"/>
              <w:rPr>
                <w:rFonts w:hint="eastAsia"/>
                <w:color w:val="auto"/>
              </w:rPr>
            </w:pPr>
          </w:p>
        </w:tc>
      </w:tr>
      <w:tr w14:paraId="1CE4A7E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30" w:hRule="atLeast"/>
          <w:jc w:val="center"/>
        </w:trPr>
        <w:tc>
          <w:tcPr>
            <w:tcW w:w="684" w:type="dxa"/>
            <w:vMerge w:val="continue"/>
            <w:tcBorders>
              <w:tl2br w:val="nil"/>
              <w:tr2bl w:val="nil"/>
            </w:tcBorders>
            <w:vAlign w:val="center"/>
          </w:tcPr>
          <w:p w14:paraId="6DBCF53B">
            <w:pPr>
              <w:pStyle w:val="34"/>
              <w:keepNext w:val="0"/>
              <w:keepLines w:val="0"/>
              <w:numPr>
                <w:ilvl w:val="0"/>
                <w:numId w:val="0"/>
              </w:numPr>
              <w:suppressLineNumbers w:val="0"/>
              <w:spacing w:before="0" w:beforeAutospacing="0" w:after="0" w:afterAutospacing="0"/>
              <w:ind w:left="0" w:leftChars="0" w:right="0" w:rightChars="0"/>
              <w:jc w:val="center"/>
              <w:rPr>
                <w:rFonts w:hint="eastAsia"/>
                <w:color w:val="auto"/>
                <w:lang w:val="en-US" w:eastAsia="zh-CN"/>
              </w:rPr>
            </w:pPr>
          </w:p>
        </w:tc>
        <w:tc>
          <w:tcPr>
            <w:tcW w:w="416" w:type="dxa"/>
            <w:vMerge w:val="continue"/>
            <w:tcBorders>
              <w:tl2br w:val="nil"/>
              <w:tr2bl w:val="nil"/>
            </w:tcBorders>
            <w:vAlign w:val="center"/>
          </w:tcPr>
          <w:p w14:paraId="7B878FE6">
            <w:pPr>
              <w:pStyle w:val="34"/>
              <w:keepNext w:val="0"/>
              <w:keepLines w:val="0"/>
              <w:suppressLineNumbers w:val="0"/>
              <w:spacing w:before="0" w:beforeAutospacing="0" w:after="0" w:afterAutospacing="0"/>
              <w:ind w:left="0" w:right="0"/>
              <w:jc w:val="center"/>
              <w:rPr>
                <w:rFonts w:hint="default"/>
                <w:color w:val="auto"/>
              </w:rPr>
            </w:pPr>
          </w:p>
        </w:tc>
        <w:tc>
          <w:tcPr>
            <w:tcW w:w="4241" w:type="dxa"/>
            <w:tcBorders>
              <w:tl2br w:val="nil"/>
              <w:tr2bl w:val="nil"/>
            </w:tcBorders>
          </w:tcPr>
          <w:p w14:paraId="114E2FD7">
            <w:pPr>
              <w:pStyle w:val="34"/>
              <w:keepNext w:val="0"/>
              <w:keepLines w:val="0"/>
              <w:suppressLineNumbers w:val="0"/>
              <w:spacing w:before="0" w:beforeAutospacing="0" w:after="0" w:afterAutospacing="0"/>
              <w:ind w:left="0" w:right="0"/>
              <w:rPr>
                <w:rFonts w:hint="eastAsia" w:eastAsia="宋体"/>
                <w:color w:val="auto"/>
                <w:lang w:eastAsia="zh-CN"/>
              </w:rPr>
            </w:pPr>
            <w:r>
              <w:rPr>
                <w:rFonts w:hint="default"/>
                <w:color w:val="auto"/>
              </w:rPr>
              <w:t>空气压缩机站的储气罐应符合下列规定</w:t>
            </w:r>
            <w:r>
              <w:rPr>
                <w:rFonts w:hint="eastAsia"/>
                <w:color w:val="auto"/>
                <w:lang w:eastAsia="zh-CN"/>
              </w:rPr>
              <w:t>：</w:t>
            </w:r>
          </w:p>
          <w:p w14:paraId="3FAAFDD8">
            <w:pPr>
              <w:pStyle w:val="34"/>
              <w:keepNext w:val="0"/>
              <w:keepLines w:val="0"/>
              <w:suppressLineNumbers w:val="0"/>
              <w:spacing w:before="0" w:beforeAutospacing="0" w:after="0" w:afterAutospacing="0"/>
              <w:ind w:left="0" w:right="0"/>
              <w:rPr>
                <w:rFonts w:hint="eastAsia" w:eastAsia="宋体"/>
                <w:color w:val="auto"/>
                <w:lang w:eastAsia="zh-CN"/>
              </w:rPr>
            </w:pPr>
            <w:r>
              <w:rPr>
                <w:rFonts w:hint="default"/>
                <w:color w:val="auto"/>
              </w:rPr>
              <w:t>储气罐上应装有动作可靠的安全阀和放水阀，并有检查孔应定期清除风包内的油垢</w:t>
            </w:r>
            <w:r>
              <w:rPr>
                <w:rFonts w:hint="eastAsia"/>
                <w:color w:val="auto"/>
                <w:lang w:eastAsia="zh-CN"/>
              </w:rPr>
              <w:t>：</w:t>
            </w:r>
          </w:p>
          <w:p w14:paraId="343C50B5">
            <w:pPr>
              <w:pStyle w:val="34"/>
              <w:keepNext w:val="0"/>
              <w:keepLines w:val="0"/>
              <w:suppressLineNumbers w:val="0"/>
              <w:spacing w:before="0" w:beforeAutospacing="0" w:after="0" w:afterAutospacing="0"/>
              <w:ind w:left="0" w:right="0"/>
              <w:rPr>
                <w:rFonts w:hint="eastAsia" w:eastAsia="宋体"/>
                <w:color w:val="auto"/>
                <w:lang w:eastAsia="zh-CN"/>
              </w:rPr>
            </w:pPr>
            <w:r>
              <w:rPr>
                <w:rFonts w:hint="default"/>
                <w:color w:val="auto"/>
              </w:rPr>
              <w:t>新安装或检修后的储气罐，应用1.5倍空气压缩机工作压力做水压试验</w:t>
            </w:r>
            <w:r>
              <w:rPr>
                <w:rFonts w:hint="eastAsia"/>
                <w:color w:val="auto"/>
                <w:lang w:eastAsia="zh-CN"/>
              </w:rPr>
              <w:t>；</w:t>
            </w:r>
            <w:r>
              <w:rPr>
                <w:rFonts w:hint="default"/>
                <w:color w:val="auto"/>
              </w:rPr>
              <w:t>在储气罐出口管路上应加装释压阀，其口径应不小于出风管的直径,释放压力应为空气压缩机最高工作压力的1.25倍一1.4倍</w:t>
            </w:r>
            <w:r>
              <w:rPr>
                <w:rFonts w:hint="eastAsia"/>
                <w:color w:val="auto"/>
                <w:lang w:eastAsia="zh-CN"/>
              </w:rPr>
              <w:t>；</w:t>
            </w:r>
          </w:p>
          <w:p w14:paraId="7C2AA2A1">
            <w:pPr>
              <w:pStyle w:val="34"/>
              <w:keepNext w:val="0"/>
              <w:keepLines w:val="0"/>
              <w:suppressLineNumbers w:val="0"/>
              <w:spacing w:before="0" w:beforeAutospacing="0" w:after="0" w:afterAutospacing="0"/>
              <w:ind w:left="0" w:right="0"/>
              <w:rPr>
                <w:rFonts w:hint="eastAsia" w:eastAsia="宋体"/>
                <w:color w:val="auto"/>
                <w:lang w:eastAsia="zh-CN"/>
              </w:rPr>
            </w:pPr>
            <w:r>
              <w:rPr>
                <w:rFonts w:hint="default"/>
                <w:color w:val="auto"/>
              </w:rPr>
              <w:t>地面空气压缩机站的储气罐应避免阳光直晒</w:t>
            </w:r>
            <w:r>
              <w:rPr>
                <w:rFonts w:hint="eastAsia"/>
                <w:color w:val="auto"/>
                <w:lang w:eastAsia="zh-CN"/>
              </w:rPr>
              <w:t>。</w:t>
            </w:r>
          </w:p>
        </w:tc>
        <w:tc>
          <w:tcPr>
            <w:tcW w:w="1818" w:type="dxa"/>
            <w:vMerge w:val="continue"/>
            <w:tcBorders>
              <w:tl2br w:val="nil"/>
              <w:tr2bl w:val="nil"/>
            </w:tcBorders>
            <w:vAlign w:val="center"/>
          </w:tcPr>
          <w:p w14:paraId="1B6C5281">
            <w:pPr>
              <w:pStyle w:val="34"/>
              <w:keepNext w:val="0"/>
              <w:keepLines w:val="0"/>
              <w:suppressLineNumbers w:val="0"/>
              <w:spacing w:before="0" w:beforeAutospacing="0" w:after="0" w:afterAutospacing="0"/>
              <w:ind w:left="0" w:right="0"/>
              <w:rPr>
                <w:rFonts w:hint="eastAsia"/>
                <w:color w:val="auto"/>
              </w:rPr>
            </w:pPr>
          </w:p>
        </w:tc>
        <w:tc>
          <w:tcPr>
            <w:tcW w:w="1496" w:type="dxa"/>
            <w:vMerge w:val="continue"/>
            <w:tcBorders>
              <w:tl2br w:val="nil"/>
              <w:tr2bl w:val="nil"/>
            </w:tcBorders>
            <w:vAlign w:val="center"/>
          </w:tcPr>
          <w:p w14:paraId="5A4120A8">
            <w:pPr>
              <w:pStyle w:val="34"/>
              <w:keepNext w:val="0"/>
              <w:keepLines w:val="0"/>
              <w:suppressLineNumbers w:val="0"/>
              <w:spacing w:before="0" w:beforeAutospacing="0" w:after="0" w:afterAutospacing="0"/>
              <w:ind w:left="0" w:right="0"/>
              <w:rPr>
                <w:rFonts w:hint="default"/>
                <w:color w:val="auto"/>
                <w:lang w:val="en-GB"/>
              </w:rPr>
            </w:pPr>
          </w:p>
        </w:tc>
        <w:tc>
          <w:tcPr>
            <w:tcW w:w="737" w:type="dxa"/>
            <w:vMerge w:val="continue"/>
            <w:tcBorders>
              <w:tl2br w:val="nil"/>
              <w:tr2bl w:val="nil"/>
            </w:tcBorders>
            <w:vAlign w:val="center"/>
          </w:tcPr>
          <w:p w14:paraId="58E3ADED">
            <w:pPr>
              <w:pStyle w:val="34"/>
              <w:keepNext w:val="0"/>
              <w:keepLines w:val="0"/>
              <w:suppressLineNumbers w:val="0"/>
              <w:spacing w:before="0" w:beforeAutospacing="0" w:after="0" w:afterAutospacing="0"/>
              <w:ind w:left="0" w:right="0"/>
              <w:rPr>
                <w:rFonts w:hint="eastAsia"/>
                <w:color w:val="auto"/>
              </w:rPr>
            </w:pPr>
          </w:p>
        </w:tc>
      </w:tr>
      <w:tr w14:paraId="56424A4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30" w:hRule="atLeast"/>
          <w:jc w:val="center"/>
        </w:trPr>
        <w:tc>
          <w:tcPr>
            <w:tcW w:w="684" w:type="dxa"/>
            <w:vMerge w:val="continue"/>
            <w:tcBorders>
              <w:tl2br w:val="nil"/>
              <w:tr2bl w:val="nil"/>
            </w:tcBorders>
            <w:vAlign w:val="center"/>
          </w:tcPr>
          <w:p w14:paraId="3373551B">
            <w:pPr>
              <w:pStyle w:val="34"/>
              <w:keepNext w:val="0"/>
              <w:keepLines w:val="0"/>
              <w:numPr>
                <w:ilvl w:val="0"/>
                <w:numId w:val="0"/>
              </w:numPr>
              <w:suppressLineNumbers w:val="0"/>
              <w:spacing w:before="0" w:beforeAutospacing="0" w:after="0" w:afterAutospacing="0"/>
              <w:ind w:left="0" w:leftChars="0" w:right="0" w:rightChars="0"/>
              <w:jc w:val="center"/>
              <w:rPr>
                <w:rFonts w:hint="eastAsia"/>
                <w:color w:val="auto"/>
                <w:lang w:val="en-US" w:eastAsia="zh-CN"/>
              </w:rPr>
            </w:pPr>
          </w:p>
        </w:tc>
        <w:tc>
          <w:tcPr>
            <w:tcW w:w="416" w:type="dxa"/>
            <w:vMerge w:val="continue"/>
            <w:tcBorders>
              <w:tl2br w:val="nil"/>
              <w:tr2bl w:val="nil"/>
            </w:tcBorders>
            <w:vAlign w:val="center"/>
          </w:tcPr>
          <w:p w14:paraId="5195BC2D">
            <w:pPr>
              <w:pStyle w:val="34"/>
              <w:keepNext w:val="0"/>
              <w:keepLines w:val="0"/>
              <w:suppressLineNumbers w:val="0"/>
              <w:spacing w:before="0" w:beforeAutospacing="0" w:after="0" w:afterAutospacing="0"/>
              <w:ind w:left="0" w:right="0"/>
              <w:jc w:val="center"/>
              <w:rPr>
                <w:rFonts w:hint="default"/>
                <w:color w:val="auto"/>
              </w:rPr>
            </w:pPr>
          </w:p>
        </w:tc>
        <w:tc>
          <w:tcPr>
            <w:tcW w:w="4241" w:type="dxa"/>
            <w:tcBorders>
              <w:tl2br w:val="nil"/>
              <w:tr2bl w:val="nil"/>
            </w:tcBorders>
          </w:tcPr>
          <w:p w14:paraId="54D514EB">
            <w:pPr>
              <w:pStyle w:val="34"/>
              <w:keepNext w:val="0"/>
              <w:keepLines w:val="0"/>
              <w:suppressLineNumbers w:val="0"/>
              <w:spacing w:before="0" w:beforeAutospacing="0" w:after="0" w:afterAutospacing="0"/>
              <w:ind w:left="0" w:right="0"/>
              <w:rPr>
                <w:rFonts w:hint="eastAsia"/>
                <w:color w:val="auto"/>
                <w:lang w:eastAsia="zh-CN"/>
              </w:rPr>
            </w:pPr>
            <w:r>
              <w:rPr>
                <w:rFonts w:hint="default"/>
                <w:color w:val="auto"/>
              </w:rPr>
              <w:t>压风管道应采用钢质材料或其他具有同等强度的阻燃材料,并采取防腐蚀措施</w:t>
            </w:r>
            <w:r>
              <w:rPr>
                <w:rFonts w:hint="eastAsia"/>
                <w:color w:val="auto"/>
                <w:lang w:eastAsia="zh-CN"/>
              </w:rPr>
              <w:t>。</w:t>
            </w:r>
          </w:p>
          <w:p w14:paraId="7D26C4D8">
            <w:pPr>
              <w:pStyle w:val="34"/>
              <w:keepNext w:val="0"/>
              <w:keepLines w:val="0"/>
              <w:suppressLineNumbers w:val="0"/>
              <w:spacing w:before="0" w:beforeAutospacing="0" w:after="0" w:afterAutospacing="0"/>
              <w:ind w:left="0" w:right="0"/>
              <w:rPr>
                <w:rFonts w:hint="default"/>
                <w:color w:val="auto"/>
              </w:rPr>
            </w:pPr>
            <w:r>
              <w:rPr>
                <w:rFonts w:hint="default"/>
                <w:color w:val="auto"/>
              </w:rPr>
              <w:t>压风管道敷设应牢固平直,并延伸到井下采掘作业场所、紧急避险设施、爆破时撤离人员集中地点等主要地点。</w:t>
            </w:r>
          </w:p>
        </w:tc>
        <w:tc>
          <w:tcPr>
            <w:tcW w:w="1818" w:type="dxa"/>
            <w:vMerge w:val="continue"/>
            <w:tcBorders>
              <w:tl2br w:val="nil"/>
              <w:tr2bl w:val="nil"/>
            </w:tcBorders>
            <w:vAlign w:val="center"/>
          </w:tcPr>
          <w:p w14:paraId="674C51E0">
            <w:pPr>
              <w:pStyle w:val="34"/>
              <w:keepNext w:val="0"/>
              <w:keepLines w:val="0"/>
              <w:suppressLineNumbers w:val="0"/>
              <w:spacing w:before="0" w:beforeAutospacing="0" w:after="0" w:afterAutospacing="0"/>
              <w:ind w:left="0" w:right="0"/>
              <w:rPr>
                <w:rFonts w:hint="eastAsia"/>
                <w:color w:val="auto"/>
              </w:rPr>
            </w:pPr>
          </w:p>
        </w:tc>
        <w:tc>
          <w:tcPr>
            <w:tcW w:w="1496" w:type="dxa"/>
            <w:vMerge w:val="continue"/>
            <w:tcBorders>
              <w:tl2br w:val="nil"/>
              <w:tr2bl w:val="nil"/>
            </w:tcBorders>
            <w:vAlign w:val="center"/>
          </w:tcPr>
          <w:p w14:paraId="776FECBB">
            <w:pPr>
              <w:pStyle w:val="34"/>
              <w:keepNext w:val="0"/>
              <w:keepLines w:val="0"/>
              <w:suppressLineNumbers w:val="0"/>
              <w:spacing w:before="0" w:beforeAutospacing="0" w:after="0" w:afterAutospacing="0"/>
              <w:ind w:left="0" w:right="0"/>
              <w:rPr>
                <w:rFonts w:hint="default"/>
                <w:color w:val="auto"/>
                <w:lang w:val="en-GB"/>
              </w:rPr>
            </w:pPr>
          </w:p>
        </w:tc>
        <w:tc>
          <w:tcPr>
            <w:tcW w:w="737" w:type="dxa"/>
            <w:vMerge w:val="continue"/>
            <w:tcBorders>
              <w:tl2br w:val="nil"/>
              <w:tr2bl w:val="nil"/>
            </w:tcBorders>
            <w:vAlign w:val="center"/>
          </w:tcPr>
          <w:p w14:paraId="57DFA78C">
            <w:pPr>
              <w:pStyle w:val="34"/>
              <w:keepNext w:val="0"/>
              <w:keepLines w:val="0"/>
              <w:suppressLineNumbers w:val="0"/>
              <w:spacing w:before="0" w:beforeAutospacing="0" w:after="0" w:afterAutospacing="0"/>
              <w:ind w:left="0" w:right="0"/>
              <w:rPr>
                <w:rFonts w:hint="eastAsia"/>
                <w:color w:val="auto"/>
              </w:rPr>
            </w:pPr>
          </w:p>
        </w:tc>
      </w:tr>
      <w:tr w14:paraId="729B19F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30" w:hRule="atLeast"/>
          <w:jc w:val="center"/>
        </w:trPr>
        <w:tc>
          <w:tcPr>
            <w:tcW w:w="684" w:type="dxa"/>
            <w:vMerge w:val="continue"/>
            <w:tcBorders>
              <w:tl2br w:val="nil"/>
              <w:tr2bl w:val="nil"/>
            </w:tcBorders>
            <w:vAlign w:val="center"/>
          </w:tcPr>
          <w:p w14:paraId="689C7E41">
            <w:pPr>
              <w:pStyle w:val="34"/>
              <w:keepNext w:val="0"/>
              <w:keepLines w:val="0"/>
              <w:numPr>
                <w:ilvl w:val="0"/>
                <w:numId w:val="0"/>
              </w:numPr>
              <w:suppressLineNumbers w:val="0"/>
              <w:spacing w:before="0" w:beforeAutospacing="0" w:after="0" w:afterAutospacing="0"/>
              <w:ind w:left="0" w:leftChars="0" w:right="0" w:rightChars="0"/>
              <w:jc w:val="center"/>
              <w:rPr>
                <w:rFonts w:hint="eastAsia"/>
                <w:color w:val="auto"/>
                <w:lang w:val="en-US" w:eastAsia="zh-CN"/>
              </w:rPr>
            </w:pPr>
          </w:p>
        </w:tc>
        <w:tc>
          <w:tcPr>
            <w:tcW w:w="416" w:type="dxa"/>
            <w:vMerge w:val="continue"/>
            <w:tcBorders>
              <w:tl2br w:val="nil"/>
              <w:tr2bl w:val="nil"/>
            </w:tcBorders>
            <w:vAlign w:val="center"/>
          </w:tcPr>
          <w:p w14:paraId="76B1D829">
            <w:pPr>
              <w:pStyle w:val="34"/>
              <w:keepNext w:val="0"/>
              <w:keepLines w:val="0"/>
              <w:suppressLineNumbers w:val="0"/>
              <w:spacing w:before="0" w:beforeAutospacing="0" w:after="0" w:afterAutospacing="0"/>
              <w:ind w:left="0" w:right="0"/>
              <w:jc w:val="center"/>
              <w:rPr>
                <w:rFonts w:hint="default"/>
                <w:color w:val="auto"/>
              </w:rPr>
            </w:pPr>
          </w:p>
        </w:tc>
        <w:tc>
          <w:tcPr>
            <w:tcW w:w="4241" w:type="dxa"/>
            <w:tcBorders>
              <w:tl2br w:val="nil"/>
              <w:tr2bl w:val="nil"/>
            </w:tcBorders>
          </w:tcPr>
          <w:p w14:paraId="4B7260DD">
            <w:pPr>
              <w:pStyle w:val="34"/>
              <w:keepNext w:val="0"/>
              <w:keepLines w:val="0"/>
              <w:suppressLineNumbers w:val="0"/>
              <w:spacing w:before="0" w:beforeAutospacing="0" w:after="0" w:afterAutospacing="0"/>
              <w:ind w:left="0" w:right="0"/>
              <w:rPr>
                <w:rFonts w:hint="eastAsia"/>
                <w:color w:val="auto"/>
                <w:lang w:eastAsia="zh-CN"/>
              </w:rPr>
            </w:pPr>
            <w:r>
              <w:rPr>
                <w:rFonts w:hint="default"/>
                <w:color w:val="auto"/>
              </w:rPr>
              <w:t>各主要生产中段和分段进风巷道的压风管路上设置的供气阀门,中段和分段间隔应不大于 200m</w:t>
            </w:r>
            <w:r>
              <w:rPr>
                <w:rFonts w:hint="eastAsia"/>
                <w:color w:val="auto"/>
                <w:lang w:eastAsia="zh-CN"/>
              </w:rPr>
              <w:t>。</w:t>
            </w:r>
          </w:p>
          <w:p w14:paraId="5DAA1FE1">
            <w:pPr>
              <w:pStyle w:val="34"/>
              <w:keepNext w:val="0"/>
              <w:keepLines w:val="0"/>
              <w:suppressLineNumbers w:val="0"/>
              <w:spacing w:before="0" w:beforeAutospacing="0" w:after="0" w:afterAutospacing="0"/>
              <w:ind w:left="0" w:right="0"/>
              <w:rPr>
                <w:rFonts w:hint="default"/>
                <w:color w:val="auto"/>
              </w:rPr>
            </w:pPr>
            <w:r>
              <w:rPr>
                <w:rFonts w:hint="default"/>
                <w:color w:val="auto"/>
              </w:rPr>
              <w:t>独头掘进巷道距掘进工作面不大于100m处的压风管道上应安设一组供气阀门，相邻两组供气阀门安设间距应不大于200m。有毒有害气体涌出的独头掘进巷道距掘进工作面不大于100m处的压风管道上应安设压风自救装置。每组压风自救装置应可供5人一8人使用，平均每人空气供给量应不小于0.1m</w:t>
            </w:r>
            <w:r>
              <w:rPr>
                <w:rFonts w:hint="eastAsia"/>
                <w:color w:val="auto"/>
                <w:vertAlign w:val="superscript"/>
                <w:lang w:val="en-US" w:eastAsia="zh-CN"/>
              </w:rPr>
              <w:t>3</w:t>
            </w:r>
            <w:r>
              <w:rPr>
                <w:rFonts w:hint="default"/>
                <w:color w:val="auto"/>
              </w:rPr>
              <w:t>/min</w:t>
            </w:r>
          </w:p>
        </w:tc>
        <w:tc>
          <w:tcPr>
            <w:tcW w:w="1818" w:type="dxa"/>
            <w:vMerge w:val="continue"/>
            <w:tcBorders>
              <w:tl2br w:val="nil"/>
              <w:tr2bl w:val="nil"/>
            </w:tcBorders>
            <w:vAlign w:val="center"/>
          </w:tcPr>
          <w:p w14:paraId="58724E1E">
            <w:pPr>
              <w:pStyle w:val="34"/>
              <w:keepNext w:val="0"/>
              <w:keepLines w:val="0"/>
              <w:suppressLineNumbers w:val="0"/>
              <w:spacing w:before="0" w:beforeAutospacing="0" w:after="0" w:afterAutospacing="0"/>
              <w:ind w:left="0" w:right="0"/>
              <w:rPr>
                <w:rFonts w:hint="eastAsia"/>
                <w:color w:val="auto"/>
              </w:rPr>
            </w:pPr>
          </w:p>
        </w:tc>
        <w:tc>
          <w:tcPr>
            <w:tcW w:w="1496" w:type="dxa"/>
            <w:vMerge w:val="continue"/>
            <w:tcBorders>
              <w:tl2br w:val="nil"/>
              <w:tr2bl w:val="nil"/>
            </w:tcBorders>
            <w:vAlign w:val="center"/>
          </w:tcPr>
          <w:p w14:paraId="65E26469">
            <w:pPr>
              <w:pStyle w:val="34"/>
              <w:keepNext w:val="0"/>
              <w:keepLines w:val="0"/>
              <w:suppressLineNumbers w:val="0"/>
              <w:spacing w:before="0" w:beforeAutospacing="0" w:after="0" w:afterAutospacing="0"/>
              <w:ind w:left="0" w:right="0"/>
              <w:rPr>
                <w:rFonts w:hint="default"/>
                <w:color w:val="auto"/>
                <w:lang w:val="en-GB"/>
              </w:rPr>
            </w:pPr>
          </w:p>
        </w:tc>
        <w:tc>
          <w:tcPr>
            <w:tcW w:w="737" w:type="dxa"/>
            <w:vMerge w:val="continue"/>
            <w:tcBorders>
              <w:tl2br w:val="nil"/>
              <w:tr2bl w:val="nil"/>
            </w:tcBorders>
            <w:vAlign w:val="center"/>
          </w:tcPr>
          <w:p w14:paraId="13D67F99">
            <w:pPr>
              <w:pStyle w:val="34"/>
              <w:keepNext w:val="0"/>
              <w:keepLines w:val="0"/>
              <w:suppressLineNumbers w:val="0"/>
              <w:spacing w:before="0" w:beforeAutospacing="0" w:after="0" w:afterAutospacing="0"/>
              <w:ind w:left="0" w:right="0"/>
              <w:rPr>
                <w:rFonts w:hint="eastAsia"/>
                <w:color w:val="auto"/>
              </w:rPr>
            </w:pPr>
          </w:p>
        </w:tc>
      </w:tr>
      <w:tr w14:paraId="76658B1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30" w:hRule="atLeast"/>
          <w:jc w:val="center"/>
        </w:trPr>
        <w:tc>
          <w:tcPr>
            <w:tcW w:w="684" w:type="dxa"/>
            <w:vMerge w:val="continue"/>
            <w:tcBorders>
              <w:tl2br w:val="nil"/>
              <w:tr2bl w:val="nil"/>
            </w:tcBorders>
            <w:vAlign w:val="center"/>
          </w:tcPr>
          <w:p w14:paraId="20013B94">
            <w:pPr>
              <w:pStyle w:val="34"/>
              <w:keepNext w:val="0"/>
              <w:keepLines w:val="0"/>
              <w:numPr>
                <w:ilvl w:val="0"/>
                <w:numId w:val="0"/>
              </w:numPr>
              <w:suppressLineNumbers w:val="0"/>
              <w:spacing w:before="0" w:beforeAutospacing="0" w:after="0" w:afterAutospacing="0"/>
              <w:ind w:left="0" w:leftChars="0" w:right="0" w:rightChars="0"/>
              <w:jc w:val="center"/>
              <w:rPr>
                <w:rFonts w:hint="eastAsia"/>
                <w:color w:val="auto"/>
                <w:lang w:val="en-US" w:eastAsia="zh-CN"/>
              </w:rPr>
            </w:pPr>
          </w:p>
        </w:tc>
        <w:tc>
          <w:tcPr>
            <w:tcW w:w="416" w:type="dxa"/>
            <w:vMerge w:val="continue"/>
            <w:tcBorders>
              <w:tl2br w:val="nil"/>
              <w:tr2bl w:val="nil"/>
            </w:tcBorders>
            <w:vAlign w:val="center"/>
          </w:tcPr>
          <w:p w14:paraId="7D508EE5">
            <w:pPr>
              <w:pStyle w:val="34"/>
              <w:keepNext w:val="0"/>
              <w:keepLines w:val="0"/>
              <w:suppressLineNumbers w:val="0"/>
              <w:spacing w:before="0" w:beforeAutospacing="0" w:after="0" w:afterAutospacing="0"/>
              <w:ind w:left="0" w:right="0"/>
              <w:jc w:val="center"/>
              <w:rPr>
                <w:rFonts w:hint="default"/>
                <w:color w:val="auto"/>
              </w:rPr>
            </w:pPr>
          </w:p>
        </w:tc>
        <w:tc>
          <w:tcPr>
            <w:tcW w:w="4241" w:type="dxa"/>
            <w:tcBorders>
              <w:tl2br w:val="nil"/>
              <w:tr2bl w:val="nil"/>
            </w:tcBorders>
          </w:tcPr>
          <w:p w14:paraId="4E4A3739">
            <w:pPr>
              <w:pStyle w:val="34"/>
              <w:keepNext w:val="0"/>
              <w:keepLines w:val="0"/>
              <w:suppressLineNumbers w:val="0"/>
              <w:spacing w:before="0" w:beforeAutospacing="0" w:after="0" w:afterAutospacing="0"/>
              <w:ind w:left="0" w:right="0"/>
              <w:rPr>
                <w:rFonts w:hint="default"/>
                <w:color w:val="auto"/>
              </w:rPr>
            </w:pPr>
            <w:r>
              <w:rPr>
                <w:rFonts w:hint="default"/>
                <w:color w:val="auto"/>
              </w:rPr>
              <w:t>爆破时撤离人员集中地点的压风管道上应安设一组供气阀门。</w:t>
            </w:r>
          </w:p>
          <w:p w14:paraId="6FEBA2F5">
            <w:pPr>
              <w:pStyle w:val="34"/>
              <w:keepNext w:val="0"/>
              <w:keepLines w:val="0"/>
              <w:suppressLineNumbers w:val="0"/>
              <w:spacing w:before="0" w:beforeAutospacing="0" w:after="0" w:afterAutospacing="0"/>
              <w:ind w:left="0" w:right="0"/>
              <w:rPr>
                <w:rFonts w:hint="eastAsia" w:eastAsia="宋体"/>
                <w:color w:val="auto"/>
                <w:lang w:eastAsia="zh-CN"/>
              </w:rPr>
            </w:pPr>
            <w:r>
              <w:rPr>
                <w:rFonts w:hint="default"/>
                <w:color w:val="auto"/>
              </w:rPr>
              <w:t>压风管道应</w:t>
            </w:r>
            <w:r>
              <w:rPr>
                <w:rFonts w:hint="eastAsia"/>
                <w:color w:val="auto"/>
                <w:lang w:eastAsia="zh-CN"/>
              </w:rPr>
              <w:t>接入</w:t>
            </w:r>
            <w:r>
              <w:rPr>
                <w:rFonts w:hint="default"/>
                <w:color w:val="auto"/>
              </w:rPr>
              <w:t>紧急避险设施内,并设置供气阀门,</w:t>
            </w:r>
            <w:r>
              <w:rPr>
                <w:rFonts w:hint="eastAsia"/>
                <w:color w:val="auto"/>
                <w:lang w:eastAsia="zh-CN"/>
              </w:rPr>
              <w:t>接入</w:t>
            </w:r>
            <w:r>
              <w:rPr>
                <w:rFonts w:hint="default"/>
                <w:color w:val="auto"/>
              </w:rPr>
              <w:t>的矿井压风管路应设减压、消音、过滤装置和控制阀,压风出口压力应为0.1MPa,供风量每人应不小于0</w:t>
            </w:r>
            <w:r>
              <w:rPr>
                <w:rFonts w:hint="eastAsia"/>
                <w:color w:val="auto"/>
                <w:lang w:val="en-US" w:eastAsia="zh-CN"/>
              </w:rPr>
              <w:t>.</w:t>
            </w:r>
            <w:r>
              <w:rPr>
                <w:rFonts w:hint="default"/>
                <w:color w:val="auto"/>
              </w:rPr>
              <w:t>3</w:t>
            </w:r>
            <w:r>
              <w:rPr>
                <w:rFonts w:hint="eastAsia"/>
                <w:color w:val="auto"/>
                <w:lang w:val="en-US" w:eastAsia="zh-CN"/>
              </w:rPr>
              <w:t>m</w:t>
            </w:r>
            <w:r>
              <w:rPr>
                <w:rFonts w:hint="eastAsia"/>
                <w:color w:val="auto"/>
                <w:vertAlign w:val="superscript"/>
                <w:lang w:val="en-US" w:eastAsia="zh-CN"/>
              </w:rPr>
              <w:t>3</w:t>
            </w:r>
            <w:r>
              <w:rPr>
                <w:rFonts w:hint="default"/>
                <w:color w:val="auto"/>
              </w:rPr>
              <w:t>/min,连续噪声应不大于70dB(A)</w:t>
            </w:r>
            <w:r>
              <w:rPr>
                <w:rFonts w:hint="eastAsia"/>
                <w:color w:val="auto"/>
                <w:lang w:eastAsia="zh-CN"/>
              </w:rPr>
              <w:t>。</w:t>
            </w:r>
          </w:p>
          <w:p w14:paraId="34770620">
            <w:pPr>
              <w:pStyle w:val="34"/>
              <w:keepNext w:val="0"/>
              <w:keepLines w:val="0"/>
              <w:suppressLineNumbers w:val="0"/>
              <w:spacing w:before="0" w:beforeAutospacing="0" w:after="0" w:afterAutospacing="0"/>
              <w:ind w:left="0" w:right="0"/>
              <w:rPr>
                <w:rFonts w:hint="default"/>
                <w:color w:val="auto"/>
              </w:rPr>
            </w:pPr>
            <w:r>
              <w:rPr>
                <w:rFonts w:hint="default"/>
                <w:color w:val="auto"/>
              </w:rPr>
              <w:t>压风自救装置、供气阀门安装地点应宽敞,稳固,安装位置应便于避灾人员使用</w:t>
            </w:r>
            <w:r>
              <w:rPr>
                <w:rFonts w:hint="eastAsia"/>
                <w:color w:val="auto"/>
                <w:lang w:eastAsia="zh-CN"/>
              </w:rPr>
              <w:t>；</w:t>
            </w:r>
            <w:r>
              <w:rPr>
                <w:rFonts w:hint="default"/>
                <w:color w:val="auto"/>
              </w:rPr>
              <w:t>阀门应开关灵活。</w:t>
            </w:r>
          </w:p>
          <w:p w14:paraId="0C6FEF93">
            <w:pPr>
              <w:pStyle w:val="34"/>
              <w:keepNext w:val="0"/>
              <w:keepLines w:val="0"/>
              <w:suppressLineNumbers w:val="0"/>
              <w:spacing w:before="0" w:beforeAutospacing="0" w:after="0" w:afterAutospacing="0"/>
              <w:ind w:left="0" w:right="0"/>
              <w:rPr>
                <w:rFonts w:hint="eastAsia" w:eastAsia="宋体"/>
                <w:color w:val="auto"/>
                <w:lang w:eastAsia="zh-CN"/>
              </w:rPr>
            </w:pPr>
            <w:r>
              <w:rPr>
                <w:rFonts w:hint="default"/>
                <w:color w:val="auto"/>
              </w:rPr>
              <w:t>主压风管道中应安装油水分离器</w:t>
            </w:r>
            <w:r>
              <w:rPr>
                <w:rFonts w:hint="eastAsia"/>
                <w:color w:val="auto"/>
                <w:lang w:eastAsia="zh-CN"/>
              </w:rPr>
              <w:t>。</w:t>
            </w:r>
          </w:p>
          <w:p w14:paraId="3AC4C8BD">
            <w:pPr>
              <w:pStyle w:val="34"/>
              <w:keepNext w:val="0"/>
              <w:keepLines w:val="0"/>
              <w:suppressLineNumbers w:val="0"/>
              <w:spacing w:before="0" w:beforeAutospacing="0" w:after="0" w:afterAutospacing="0"/>
              <w:ind w:left="0" w:right="0"/>
              <w:rPr>
                <w:rFonts w:hint="default"/>
                <w:color w:val="auto"/>
              </w:rPr>
            </w:pPr>
            <w:r>
              <w:rPr>
                <w:rFonts w:hint="default"/>
                <w:color w:val="auto"/>
              </w:rPr>
              <w:t>压风自救系统管道颜色应符合GB7231的规定</w:t>
            </w:r>
          </w:p>
          <w:p w14:paraId="32F9FCA2">
            <w:pPr>
              <w:pStyle w:val="34"/>
              <w:keepNext w:val="0"/>
              <w:keepLines w:val="0"/>
              <w:suppressLineNumbers w:val="0"/>
              <w:spacing w:before="0" w:beforeAutospacing="0" w:after="0" w:afterAutospacing="0"/>
              <w:ind w:left="0" w:right="0"/>
              <w:rPr>
                <w:rFonts w:hint="eastAsia" w:eastAsia="宋体"/>
                <w:color w:val="auto"/>
                <w:lang w:eastAsia="zh-CN"/>
              </w:rPr>
            </w:pPr>
            <w:r>
              <w:rPr>
                <w:rFonts w:hint="default"/>
                <w:color w:val="auto"/>
              </w:rPr>
              <w:t>压风自救系统安装完毕,经验收合格后方可投入使用</w:t>
            </w:r>
            <w:r>
              <w:rPr>
                <w:rFonts w:hint="eastAsia"/>
                <w:color w:val="auto"/>
                <w:lang w:eastAsia="zh-CN"/>
              </w:rPr>
              <w:t>。</w:t>
            </w:r>
          </w:p>
        </w:tc>
        <w:tc>
          <w:tcPr>
            <w:tcW w:w="1818" w:type="dxa"/>
            <w:vMerge w:val="continue"/>
            <w:tcBorders>
              <w:tl2br w:val="nil"/>
              <w:tr2bl w:val="nil"/>
            </w:tcBorders>
            <w:vAlign w:val="center"/>
          </w:tcPr>
          <w:p w14:paraId="69105670">
            <w:pPr>
              <w:pStyle w:val="34"/>
              <w:keepNext w:val="0"/>
              <w:keepLines w:val="0"/>
              <w:suppressLineNumbers w:val="0"/>
              <w:spacing w:before="0" w:beforeAutospacing="0" w:after="0" w:afterAutospacing="0"/>
              <w:ind w:left="0" w:right="0"/>
              <w:rPr>
                <w:rFonts w:hint="eastAsia"/>
                <w:color w:val="auto"/>
              </w:rPr>
            </w:pPr>
          </w:p>
        </w:tc>
        <w:tc>
          <w:tcPr>
            <w:tcW w:w="1496" w:type="dxa"/>
            <w:vMerge w:val="continue"/>
            <w:tcBorders>
              <w:tl2br w:val="nil"/>
              <w:tr2bl w:val="nil"/>
            </w:tcBorders>
            <w:vAlign w:val="center"/>
          </w:tcPr>
          <w:p w14:paraId="5D331975">
            <w:pPr>
              <w:pStyle w:val="34"/>
              <w:keepNext w:val="0"/>
              <w:keepLines w:val="0"/>
              <w:suppressLineNumbers w:val="0"/>
              <w:spacing w:before="0" w:beforeAutospacing="0" w:after="0" w:afterAutospacing="0"/>
              <w:ind w:left="0" w:right="0"/>
              <w:rPr>
                <w:rFonts w:hint="default"/>
                <w:color w:val="auto"/>
                <w:lang w:val="en-GB"/>
              </w:rPr>
            </w:pPr>
          </w:p>
        </w:tc>
        <w:tc>
          <w:tcPr>
            <w:tcW w:w="737" w:type="dxa"/>
            <w:vMerge w:val="continue"/>
            <w:tcBorders>
              <w:tl2br w:val="nil"/>
              <w:tr2bl w:val="nil"/>
            </w:tcBorders>
            <w:vAlign w:val="center"/>
          </w:tcPr>
          <w:p w14:paraId="112AA32C">
            <w:pPr>
              <w:pStyle w:val="34"/>
              <w:keepNext w:val="0"/>
              <w:keepLines w:val="0"/>
              <w:suppressLineNumbers w:val="0"/>
              <w:spacing w:before="0" w:beforeAutospacing="0" w:after="0" w:afterAutospacing="0"/>
              <w:ind w:left="0" w:right="0"/>
              <w:rPr>
                <w:rFonts w:hint="eastAsia"/>
                <w:color w:val="auto"/>
              </w:rPr>
            </w:pPr>
          </w:p>
        </w:tc>
      </w:tr>
      <w:tr w14:paraId="5599ECA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30" w:hRule="atLeast"/>
          <w:jc w:val="center"/>
        </w:trPr>
        <w:tc>
          <w:tcPr>
            <w:tcW w:w="684" w:type="dxa"/>
            <w:vMerge w:val="restart"/>
            <w:tcBorders>
              <w:tl2br w:val="nil"/>
              <w:tr2bl w:val="nil"/>
            </w:tcBorders>
            <w:vAlign w:val="center"/>
          </w:tcPr>
          <w:p w14:paraId="7816927F">
            <w:pPr>
              <w:pStyle w:val="34"/>
              <w:keepNext w:val="0"/>
              <w:keepLines w:val="0"/>
              <w:numPr>
                <w:ilvl w:val="0"/>
                <w:numId w:val="0"/>
              </w:numPr>
              <w:suppressLineNumbers w:val="0"/>
              <w:spacing w:before="0" w:beforeAutospacing="0" w:after="0" w:afterAutospacing="0"/>
              <w:ind w:left="0" w:leftChars="0" w:right="0" w:rightChars="0"/>
              <w:jc w:val="center"/>
              <w:rPr>
                <w:rFonts w:hint="eastAsia" w:eastAsia="宋体"/>
                <w:color w:val="auto"/>
                <w:lang w:val="en-US" w:eastAsia="zh-CN"/>
              </w:rPr>
            </w:pPr>
            <w:r>
              <w:rPr>
                <w:rFonts w:hint="eastAsia"/>
                <w:color w:val="auto"/>
                <w:lang w:val="en-US" w:eastAsia="zh-CN"/>
              </w:rPr>
              <w:t>5</w:t>
            </w:r>
          </w:p>
        </w:tc>
        <w:tc>
          <w:tcPr>
            <w:tcW w:w="416" w:type="dxa"/>
            <w:vMerge w:val="restart"/>
            <w:tcBorders>
              <w:tl2br w:val="nil"/>
              <w:tr2bl w:val="nil"/>
            </w:tcBorders>
            <w:vAlign w:val="center"/>
          </w:tcPr>
          <w:p w14:paraId="67A2372B">
            <w:pPr>
              <w:pStyle w:val="34"/>
              <w:keepNext w:val="0"/>
              <w:keepLines w:val="0"/>
              <w:suppressLineNumbers w:val="0"/>
              <w:spacing w:before="0" w:beforeAutospacing="0" w:after="0" w:afterAutospacing="0"/>
              <w:ind w:left="0" w:right="0"/>
              <w:jc w:val="center"/>
              <w:rPr>
                <w:rFonts w:hint="default"/>
                <w:color w:val="auto"/>
              </w:rPr>
            </w:pPr>
            <w:r>
              <w:rPr>
                <w:rFonts w:hint="default"/>
                <w:color w:val="auto"/>
              </w:rPr>
              <w:t>供水施救系统</w:t>
            </w:r>
          </w:p>
        </w:tc>
        <w:tc>
          <w:tcPr>
            <w:tcW w:w="4241" w:type="dxa"/>
            <w:tcBorders>
              <w:tl2br w:val="nil"/>
              <w:tr2bl w:val="nil"/>
            </w:tcBorders>
            <w:vAlign w:val="center"/>
          </w:tcPr>
          <w:p w14:paraId="0D6CD4FF">
            <w:pPr>
              <w:pStyle w:val="34"/>
              <w:keepNext w:val="0"/>
              <w:keepLines w:val="0"/>
              <w:suppressLineNumbers w:val="0"/>
              <w:spacing w:before="0" w:beforeAutospacing="0" w:after="0" w:afterAutospacing="0"/>
              <w:ind w:left="0" w:right="0"/>
              <w:rPr>
                <w:rFonts w:hint="default"/>
                <w:color w:val="auto"/>
              </w:rPr>
            </w:pPr>
            <w:r>
              <w:rPr>
                <w:rFonts w:hint="default"/>
                <w:color w:val="auto"/>
              </w:rPr>
              <w:t>供水施救系统可以与生产供水系统共用,施救时水源应满足GB 5749-2022中4.2的要求(放射性指标除外)。</w:t>
            </w:r>
          </w:p>
        </w:tc>
        <w:tc>
          <w:tcPr>
            <w:tcW w:w="1818" w:type="dxa"/>
            <w:vMerge w:val="restart"/>
            <w:tcBorders>
              <w:tl2br w:val="nil"/>
              <w:tr2bl w:val="nil"/>
            </w:tcBorders>
            <w:vAlign w:val="center"/>
          </w:tcPr>
          <w:p w14:paraId="2A394773">
            <w:pPr>
              <w:pStyle w:val="34"/>
              <w:keepNext w:val="0"/>
              <w:keepLines w:val="0"/>
              <w:suppressLineNumbers w:val="0"/>
              <w:spacing w:before="0" w:beforeAutospacing="0" w:after="0" w:afterAutospacing="0"/>
              <w:ind w:left="0" w:right="0"/>
              <w:rPr>
                <w:rFonts w:hint="default"/>
                <w:color w:val="auto"/>
              </w:rPr>
            </w:pPr>
            <w:r>
              <w:rPr>
                <w:rFonts w:hint="eastAsia"/>
                <w:color w:val="auto"/>
              </w:rPr>
              <w:t>《金属非金属地下矿山供水施救系统建设规范》 (</w:t>
            </w:r>
            <w:r>
              <w:rPr>
                <w:rFonts w:hint="eastAsia"/>
                <w:color w:val="auto"/>
                <w:lang w:val="en-US" w:eastAsia="zh-CN"/>
              </w:rPr>
              <w:t>KA/T</w:t>
            </w:r>
            <w:r>
              <w:rPr>
                <w:rFonts w:hint="eastAsia"/>
                <w:color w:val="auto"/>
              </w:rPr>
              <w:t>2035-20</w:t>
            </w:r>
            <w:r>
              <w:rPr>
                <w:rFonts w:hint="eastAsia"/>
                <w:color w:val="auto"/>
                <w:lang w:val="en-US" w:eastAsia="zh-CN"/>
              </w:rPr>
              <w:t>23</w:t>
            </w:r>
            <w:r>
              <w:rPr>
                <w:rFonts w:hint="eastAsia"/>
                <w:color w:val="auto"/>
              </w:rPr>
              <w:t>)</w:t>
            </w:r>
          </w:p>
        </w:tc>
        <w:tc>
          <w:tcPr>
            <w:tcW w:w="1496" w:type="dxa"/>
            <w:vMerge w:val="restart"/>
            <w:tcBorders>
              <w:tl2br w:val="nil"/>
              <w:tr2bl w:val="nil"/>
            </w:tcBorders>
            <w:vAlign w:val="center"/>
          </w:tcPr>
          <w:p w14:paraId="10E19284">
            <w:pPr>
              <w:pStyle w:val="34"/>
              <w:keepNext w:val="0"/>
              <w:keepLines w:val="0"/>
              <w:suppressLineNumbers w:val="0"/>
              <w:spacing w:before="0" w:beforeAutospacing="0" w:after="0" w:afterAutospacing="0"/>
              <w:ind w:left="0" w:right="0"/>
              <w:rPr>
                <w:rFonts w:hint="eastAsia" w:eastAsia="宋体"/>
                <w:color w:val="auto"/>
                <w:lang w:val="en-GB" w:eastAsia="zh-CN"/>
              </w:rPr>
            </w:pPr>
            <w:r>
              <w:rPr>
                <w:rFonts w:hint="eastAsia"/>
                <w:color w:val="auto"/>
                <w:lang w:val="en-US" w:eastAsia="zh-CN"/>
              </w:rPr>
              <w:t>可研报告</w:t>
            </w:r>
            <w:r>
              <w:rPr>
                <w:rFonts w:hint="eastAsia"/>
                <w:color w:val="auto"/>
              </w:rPr>
              <w:t>中</w:t>
            </w:r>
            <w:r>
              <w:rPr>
                <w:rFonts w:hint="eastAsia"/>
                <w:color w:val="auto"/>
                <w:lang w:val="en-GB"/>
              </w:rPr>
              <w:t>提出了供水施救系统建设方案、要求</w:t>
            </w:r>
            <w:r>
              <w:rPr>
                <w:rFonts w:hint="eastAsia"/>
                <w:color w:val="auto"/>
                <w:lang w:val="en-GB" w:eastAsia="zh-CN"/>
              </w:rPr>
              <w:t>。</w:t>
            </w:r>
          </w:p>
        </w:tc>
        <w:tc>
          <w:tcPr>
            <w:tcW w:w="737" w:type="dxa"/>
            <w:vMerge w:val="restart"/>
            <w:tcBorders>
              <w:tl2br w:val="nil"/>
              <w:tr2bl w:val="nil"/>
            </w:tcBorders>
            <w:vAlign w:val="center"/>
          </w:tcPr>
          <w:p w14:paraId="352CC51D">
            <w:pPr>
              <w:pStyle w:val="34"/>
              <w:keepNext w:val="0"/>
              <w:keepLines w:val="0"/>
              <w:suppressLineNumbers w:val="0"/>
              <w:spacing w:before="0" w:beforeAutospacing="0" w:after="0" w:afterAutospacing="0"/>
              <w:ind w:left="0" w:right="0"/>
              <w:rPr>
                <w:rFonts w:hint="default"/>
                <w:color w:val="auto"/>
              </w:rPr>
            </w:pPr>
            <w:r>
              <w:rPr>
                <w:rFonts w:hint="eastAsia"/>
                <w:color w:val="auto"/>
              </w:rPr>
              <w:t>符合</w:t>
            </w:r>
          </w:p>
        </w:tc>
      </w:tr>
      <w:tr w14:paraId="2BD383A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30" w:hRule="atLeast"/>
          <w:jc w:val="center"/>
        </w:trPr>
        <w:tc>
          <w:tcPr>
            <w:tcW w:w="684" w:type="dxa"/>
            <w:vMerge w:val="continue"/>
            <w:tcBorders>
              <w:tl2br w:val="nil"/>
              <w:tr2bl w:val="nil"/>
            </w:tcBorders>
            <w:vAlign w:val="center"/>
          </w:tcPr>
          <w:p w14:paraId="6C804388">
            <w:pPr>
              <w:pStyle w:val="34"/>
              <w:keepNext w:val="0"/>
              <w:keepLines w:val="0"/>
              <w:numPr>
                <w:ilvl w:val="0"/>
                <w:numId w:val="0"/>
              </w:numPr>
              <w:suppressLineNumbers w:val="0"/>
              <w:spacing w:before="0" w:beforeAutospacing="0" w:after="0" w:afterAutospacing="0"/>
              <w:ind w:left="0" w:leftChars="0" w:right="0" w:rightChars="0"/>
              <w:jc w:val="center"/>
              <w:rPr>
                <w:rFonts w:hint="eastAsia"/>
                <w:color w:val="auto"/>
                <w:lang w:val="en-US" w:eastAsia="zh-CN"/>
              </w:rPr>
            </w:pPr>
          </w:p>
        </w:tc>
        <w:tc>
          <w:tcPr>
            <w:tcW w:w="416" w:type="dxa"/>
            <w:vMerge w:val="continue"/>
            <w:tcBorders>
              <w:tl2br w:val="nil"/>
              <w:tr2bl w:val="nil"/>
            </w:tcBorders>
            <w:vAlign w:val="center"/>
          </w:tcPr>
          <w:p w14:paraId="00C9C945">
            <w:pPr>
              <w:pStyle w:val="34"/>
              <w:keepNext w:val="0"/>
              <w:keepLines w:val="0"/>
              <w:suppressLineNumbers w:val="0"/>
              <w:spacing w:before="0" w:beforeAutospacing="0" w:after="0" w:afterAutospacing="0"/>
              <w:ind w:left="0" w:right="0"/>
              <w:jc w:val="center"/>
              <w:rPr>
                <w:rFonts w:hint="default"/>
                <w:color w:val="auto"/>
              </w:rPr>
            </w:pPr>
          </w:p>
        </w:tc>
        <w:tc>
          <w:tcPr>
            <w:tcW w:w="4241" w:type="dxa"/>
            <w:tcBorders>
              <w:tl2br w:val="nil"/>
              <w:tr2bl w:val="nil"/>
            </w:tcBorders>
            <w:vAlign w:val="center"/>
          </w:tcPr>
          <w:p w14:paraId="069CD04A">
            <w:pPr>
              <w:pStyle w:val="34"/>
              <w:keepNext w:val="0"/>
              <w:keepLines w:val="0"/>
              <w:suppressLineNumbers w:val="0"/>
              <w:spacing w:before="0" w:beforeAutospacing="0" w:after="0" w:afterAutospacing="0"/>
              <w:ind w:left="0" w:right="0"/>
              <w:rPr>
                <w:rFonts w:hint="default"/>
                <w:color w:val="auto"/>
              </w:rPr>
            </w:pPr>
            <w:r>
              <w:rPr>
                <w:rFonts w:hint="default"/>
                <w:color w:val="auto"/>
              </w:rPr>
              <w:t>生产用水不符合生活饮用水要求时,供水施救系统中还应建设辅助水池用于储备生活饮用水,容量应不小于20m</w:t>
            </w:r>
            <w:r>
              <w:rPr>
                <w:rFonts w:hint="eastAsia"/>
                <w:color w:val="auto"/>
                <w:vertAlign w:val="superscript"/>
                <w:lang w:val="en-US" w:eastAsia="zh-CN"/>
              </w:rPr>
              <w:t>3</w:t>
            </w:r>
            <w:r>
              <w:rPr>
                <w:rFonts w:hint="default"/>
                <w:color w:val="auto"/>
              </w:rPr>
              <w:t>。辅助水池应采取封闭保护措施，防止异物污染,每年应对辅助水池进行一次全面清洗、消毒，并对水质进行检验。</w:t>
            </w:r>
          </w:p>
        </w:tc>
        <w:tc>
          <w:tcPr>
            <w:tcW w:w="1818" w:type="dxa"/>
            <w:vMerge w:val="continue"/>
            <w:tcBorders>
              <w:tl2br w:val="nil"/>
              <w:tr2bl w:val="nil"/>
            </w:tcBorders>
            <w:vAlign w:val="center"/>
          </w:tcPr>
          <w:p w14:paraId="2BE9A4C5">
            <w:pPr>
              <w:pStyle w:val="34"/>
              <w:keepNext w:val="0"/>
              <w:keepLines w:val="0"/>
              <w:suppressLineNumbers w:val="0"/>
              <w:spacing w:before="0" w:beforeAutospacing="0" w:after="0" w:afterAutospacing="0"/>
              <w:ind w:left="0" w:right="0"/>
              <w:rPr>
                <w:rFonts w:hint="eastAsia"/>
                <w:color w:val="auto"/>
              </w:rPr>
            </w:pPr>
          </w:p>
        </w:tc>
        <w:tc>
          <w:tcPr>
            <w:tcW w:w="1496" w:type="dxa"/>
            <w:vMerge w:val="continue"/>
            <w:tcBorders>
              <w:tl2br w:val="nil"/>
              <w:tr2bl w:val="nil"/>
            </w:tcBorders>
            <w:vAlign w:val="center"/>
          </w:tcPr>
          <w:p w14:paraId="69C724D0">
            <w:pPr>
              <w:pStyle w:val="34"/>
              <w:keepNext w:val="0"/>
              <w:keepLines w:val="0"/>
              <w:suppressLineNumbers w:val="0"/>
              <w:spacing w:before="0" w:beforeAutospacing="0" w:after="0" w:afterAutospacing="0"/>
              <w:ind w:left="0" w:right="0"/>
              <w:rPr>
                <w:rFonts w:hint="eastAsia"/>
                <w:color w:val="auto"/>
                <w:lang w:val="en-US" w:eastAsia="zh-CN"/>
              </w:rPr>
            </w:pPr>
          </w:p>
        </w:tc>
        <w:tc>
          <w:tcPr>
            <w:tcW w:w="737" w:type="dxa"/>
            <w:vMerge w:val="continue"/>
            <w:tcBorders>
              <w:tl2br w:val="nil"/>
              <w:tr2bl w:val="nil"/>
            </w:tcBorders>
            <w:vAlign w:val="center"/>
          </w:tcPr>
          <w:p w14:paraId="38A57E2D">
            <w:pPr>
              <w:pStyle w:val="34"/>
              <w:keepNext w:val="0"/>
              <w:keepLines w:val="0"/>
              <w:suppressLineNumbers w:val="0"/>
              <w:spacing w:before="0" w:beforeAutospacing="0" w:after="0" w:afterAutospacing="0"/>
              <w:ind w:left="0" w:right="0"/>
              <w:rPr>
                <w:rFonts w:hint="eastAsia"/>
                <w:color w:val="auto"/>
              </w:rPr>
            </w:pPr>
          </w:p>
        </w:tc>
      </w:tr>
      <w:tr w14:paraId="52D7052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30" w:hRule="atLeast"/>
          <w:jc w:val="center"/>
        </w:trPr>
        <w:tc>
          <w:tcPr>
            <w:tcW w:w="684" w:type="dxa"/>
            <w:vMerge w:val="continue"/>
            <w:tcBorders>
              <w:tl2br w:val="nil"/>
              <w:tr2bl w:val="nil"/>
            </w:tcBorders>
            <w:vAlign w:val="center"/>
          </w:tcPr>
          <w:p w14:paraId="397BA7CC">
            <w:pPr>
              <w:pStyle w:val="34"/>
              <w:keepNext w:val="0"/>
              <w:keepLines w:val="0"/>
              <w:numPr>
                <w:ilvl w:val="0"/>
                <w:numId w:val="0"/>
              </w:numPr>
              <w:suppressLineNumbers w:val="0"/>
              <w:spacing w:before="0" w:beforeAutospacing="0" w:after="0" w:afterAutospacing="0"/>
              <w:ind w:left="0" w:leftChars="0" w:right="0" w:rightChars="0"/>
              <w:jc w:val="center"/>
              <w:rPr>
                <w:rFonts w:hint="eastAsia"/>
                <w:color w:val="auto"/>
                <w:lang w:val="en-US" w:eastAsia="zh-CN"/>
              </w:rPr>
            </w:pPr>
          </w:p>
        </w:tc>
        <w:tc>
          <w:tcPr>
            <w:tcW w:w="416" w:type="dxa"/>
            <w:vMerge w:val="continue"/>
            <w:tcBorders>
              <w:tl2br w:val="nil"/>
              <w:tr2bl w:val="nil"/>
            </w:tcBorders>
            <w:vAlign w:val="center"/>
          </w:tcPr>
          <w:p w14:paraId="6317C0D0">
            <w:pPr>
              <w:pStyle w:val="34"/>
              <w:keepNext w:val="0"/>
              <w:keepLines w:val="0"/>
              <w:suppressLineNumbers w:val="0"/>
              <w:spacing w:before="0" w:beforeAutospacing="0" w:after="0" w:afterAutospacing="0"/>
              <w:ind w:left="0" w:right="0"/>
              <w:jc w:val="center"/>
              <w:rPr>
                <w:rFonts w:hint="default"/>
                <w:color w:val="auto"/>
              </w:rPr>
            </w:pPr>
          </w:p>
        </w:tc>
        <w:tc>
          <w:tcPr>
            <w:tcW w:w="4241" w:type="dxa"/>
            <w:tcBorders>
              <w:tl2br w:val="nil"/>
              <w:tr2bl w:val="nil"/>
            </w:tcBorders>
            <w:vAlign w:val="center"/>
          </w:tcPr>
          <w:p w14:paraId="1C47EAE6">
            <w:pPr>
              <w:pStyle w:val="34"/>
              <w:keepNext w:val="0"/>
              <w:keepLines w:val="0"/>
              <w:suppressLineNumbers w:val="0"/>
              <w:spacing w:before="0" w:beforeAutospacing="0" w:after="0" w:afterAutospacing="0"/>
              <w:ind w:left="0" w:right="0"/>
              <w:rPr>
                <w:rFonts w:hint="default"/>
                <w:color w:val="auto"/>
              </w:rPr>
            </w:pPr>
            <w:r>
              <w:rPr>
                <w:rFonts w:hint="default"/>
                <w:color w:val="auto"/>
              </w:rPr>
              <w:t>供水施救系统管道应采用钢管材料或其他同等强度的阻燃材料,并采取防腐蚀措施。</w:t>
            </w:r>
          </w:p>
        </w:tc>
        <w:tc>
          <w:tcPr>
            <w:tcW w:w="1818" w:type="dxa"/>
            <w:vMerge w:val="continue"/>
            <w:tcBorders>
              <w:tl2br w:val="nil"/>
              <w:tr2bl w:val="nil"/>
            </w:tcBorders>
            <w:vAlign w:val="center"/>
          </w:tcPr>
          <w:p w14:paraId="0C7AE4F8">
            <w:pPr>
              <w:pStyle w:val="34"/>
              <w:keepNext w:val="0"/>
              <w:keepLines w:val="0"/>
              <w:suppressLineNumbers w:val="0"/>
              <w:spacing w:before="0" w:beforeAutospacing="0" w:after="0" w:afterAutospacing="0"/>
              <w:ind w:left="0" w:right="0"/>
              <w:rPr>
                <w:rFonts w:hint="eastAsia"/>
                <w:color w:val="auto"/>
              </w:rPr>
            </w:pPr>
          </w:p>
        </w:tc>
        <w:tc>
          <w:tcPr>
            <w:tcW w:w="1496" w:type="dxa"/>
            <w:vMerge w:val="continue"/>
            <w:tcBorders>
              <w:tl2br w:val="nil"/>
              <w:tr2bl w:val="nil"/>
            </w:tcBorders>
            <w:vAlign w:val="center"/>
          </w:tcPr>
          <w:p w14:paraId="1494DFB0">
            <w:pPr>
              <w:pStyle w:val="34"/>
              <w:keepNext w:val="0"/>
              <w:keepLines w:val="0"/>
              <w:suppressLineNumbers w:val="0"/>
              <w:spacing w:before="0" w:beforeAutospacing="0" w:after="0" w:afterAutospacing="0"/>
              <w:ind w:left="0" w:right="0"/>
              <w:rPr>
                <w:rFonts w:hint="eastAsia"/>
                <w:color w:val="auto"/>
                <w:lang w:val="en-US" w:eastAsia="zh-CN"/>
              </w:rPr>
            </w:pPr>
          </w:p>
        </w:tc>
        <w:tc>
          <w:tcPr>
            <w:tcW w:w="737" w:type="dxa"/>
            <w:vMerge w:val="continue"/>
            <w:tcBorders>
              <w:tl2br w:val="nil"/>
              <w:tr2bl w:val="nil"/>
            </w:tcBorders>
            <w:vAlign w:val="center"/>
          </w:tcPr>
          <w:p w14:paraId="1AB5B8A4">
            <w:pPr>
              <w:pStyle w:val="34"/>
              <w:keepNext w:val="0"/>
              <w:keepLines w:val="0"/>
              <w:suppressLineNumbers w:val="0"/>
              <w:spacing w:before="0" w:beforeAutospacing="0" w:after="0" w:afterAutospacing="0"/>
              <w:ind w:left="0" w:right="0"/>
              <w:rPr>
                <w:rFonts w:hint="eastAsia"/>
                <w:color w:val="auto"/>
              </w:rPr>
            </w:pPr>
          </w:p>
        </w:tc>
      </w:tr>
      <w:tr w14:paraId="1881B38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30" w:hRule="atLeast"/>
          <w:jc w:val="center"/>
        </w:trPr>
        <w:tc>
          <w:tcPr>
            <w:tcW w:w="684" w:type="dxa"/>
            <w:vMerge w:val="continue"/>
            <w:tcBorders>
              <w:tl2br w:val="nil"/>
              <w:tr2bl w:val="nil"/>
            </w:tcBorders>
            <w:vAlign w:val="center"/>
          </w:tcPr>
          <w:p w14:paraId="204DE834">
            <w:pPr>
              <w:pStyle w:val="34"/>
              <w:keepNext w:val="0"/>
              <w:keepLines w:val="0"/>
              <w:numPr>
                <w:ilvl w:val="0"/>
                <w:numId w:val="0"/>
              </w:numPr>
              <w:suppressLineNumbers w:val="0"/>
              <w:spacing w:before="0" w:beforeAutospacing="0" w:after="0" w:afterAutospacing="0"/>
              <w:ind w:left="0" w:leftChars="0" w:right="0" w:rightChars="0"/>
              <w:jc w:val="center"/>
              <w:rPr>
                <w:rFonts w:hint="eastAsia"/>
                <w:color w:val="auto"/>
                <w:lang w:val="en-US" w:eastAsia="zh-CN"/>
              </w:rPr>
            </w:pPr>
          </w:p>
        </w:tc>
        <w:tc>
          <w:tcPr>
            <w:tcW w:w="416" w:type="dxa"/>
            <w:vMerge w:val="continue"/>
            <w:tcBorders>
              <w:tl2br w:val="nil"/>
              <w:tr2bl w:val="nil"/>
            </w:tcBorders>
            <w:vAlign w:val="center"/>
          </w:tcPr>
          <w:p w14:paraId="1393AE81">
            <w:pPr>
              <w:pStyle w:val="34"/>
              <w:keepNext w:val="0"/>
              <w:keepLines w:val="0"/>
              <w:suppressLineNumbers w:val="0"/>
              <w:spacing w:before="0" w:beforeAutospacing="0" w:after="0" w:afterAutospacing="0"/>
              <w:ind w:left="0" w:right="0"/>
              <w:jc w:val="center"/>
              <w:rPr>
                <w:rFonts w:hint="default"/>
                <w:color w:val="auto"/>
              </w:rPr>
            </w:pPr>
          </w:p>
        </w:tc>
        <w:tc>
          <w:tcPr>
            <w:tcW w:w="4241" w:type="dxa"/>
            <w:tcBorders>
              <w:tl2br w:val="nil"/>
              <w:tr2bl w:val="nil"/>
            </w:tcBorders>
            <w:vAlign w:val="center"/>
          </w:tcPr>
          <w:p w14:paraId="6A865C79">
            <w:pPr>
              <w:pStyle w:val="34"/>
              <w:keepNext w:val="0"/>
              <w:keepLines w:val="0"/>
              <w:suppressLineNumbers w:val="0"/>
              <w:spacing w:before="0" w:beforeAutospacing="0" w:after="0" w:afterAutospacing="0"/>
              <w:ind w:left="0" w:right="0"/>
              <w:rPr>
                <w:rFonts w:hint="default"/>
                <w:color w:val="auto"/>
              </w:rPr>
            </w:pPr>
            <w:r>
              <w:rPr>
                <w:rFonts w:hint="default"/>
                <w:color w:val="auto"/>
              </w:rPr>
              <w:t>供水管道敷设应牢固平直,并延伸到井下采掘作业场所、紧急避险设施、爆破时撤离人员集中地点等主要地点。</w:t>
            </w:r>
          </w:p>
        </w:tc>
        <w:tc>
          <w:tcPr>
            <w:tcW w:w="1818" w:type="dxa"/>
            <w:vMerge w:val="continue"/>
            <w:tcBorders>
              <w:tl2br w:val="nil"/>
              <w:tr2bl w:val="nil"/>
            </w:tcBorders>
            <w:vAlign w:val="center"/>
          </w:tcPr>
          <w:p w14:paraId="096E2470">
            <w:pPr>
              <w:pStyle w:val="34"/>
              <w:keepNext w:val="0"/>
              <w:keepLines w:val="0"/>
              <w:suppressLineNumbers w:val="0"/>
              <w:spacing w:before="0" w:beforeAutospacing="0" w:after="0" w:afterAutospacing="0"/>
              <w:ind w:left="0" w:right="0"/>
              <w:rPr>
                <w:rFonts w:hint="eastAsia"/>
                <w:color w:val="auto"/>
              </w:rPr>
            </w:pPr>
          </w:p>
        </w:tc>
        <w:tc>
          <w:tcPr>
            <w:tcW w:w="1496" w:type="dxa"/>
            <w:vMerge w:val="continue"/>
            <w:tcBorders>
              <w:tl2br w:val="nil"/>
              <w:tr2bl w:val="nil"/>
            </w:tcBorders>
            <w:vAlign w:val="center"/>
          </w:tcPr>
          <w:p w14:paraId="7AA48442">
            <w:pPr>
              <w:pStyle w:val="34"/>
              <w:keepNext w:val="0"/>
              <w:keepLines w:val="0"/>
              <w:suppressLineNumbers w:val="0"/>
              <w:spacing w:before="0" w:beforeAutospacing="0" w:after="0" w:afterAutospacing="0"/>
              <w:ind w:left="0" w:right="0"/>
              <w:rPr>
                <w:rFonts w:hint="eastAsia"/>
                <w:color w:val="auto"/>
                <w:lang w:val="en-US" w:eastAsia="zh-CN"/>
              </w:rPr>
            </w:pPr>
          </w:p>
        </w:tc>
        <w:tc>
          <w:tcPr>
            <w:tcW w:w="737" w:type="dxa"/>
            <w:vMerge w:val="continue"/>
            <w:tcBorders>
              <w:tl2br w:val="nil"/>
              <w:tr2bl w:val="nil"/>
            </w:tcBorders>
            <w:vAlign w:val="center"/>
          </w:tcPr>
          <w:p w14:paraId="77E58477">
            <w:pPr>
              <w:pStyle w:val="34"/>
              <w:keepNext w:val="0"/>
              <w:keepLines w:val="0"/>
              <w:suppressLineNumbers w:val="0"/>
              <w:spacing w:before="0" w:beforeAutospacing="0" w:after="0" w:afterAutospacing="0"/>
              <w:ind w:left="0" w:right="0"/>
              <w:rPr>
                <w:rFonts w:hint="eastAsia"/>
                <w:color w:val="auto"/>
              </w:rPr>
            </w:pPr>
          </w:p>
        </w:tc>
      </w:tr>
      <w:tr w14:paraId="62CD4A0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30" w:hRule="atLeast"/>
          <w:jc w:val="center"/>
        </w:trPr>
        <w:tc>
          <w:tcPr>
            <w:tcW w:w="684" w:type="dxa"/>
            <w:vMerge w:val="continue"/>
            <w:tcBorders>
              <w:tl2br w:val="nil"/>
              <w:tr2bl w:val="nil"/>
            </w:tcBorders>
            <w:vAlign w:val="center"/>
          </w:tcPr>
          <w:p w14:paraId="38E99860">
            <w:pPr>
              <w:pStyle w:val="34"/>
              <w:keepNext w:val="0"/>
              <w:keepLines w:val="0"/>
              <w:numPr>
                <w:ilvl w:val="0"/>
                <w:numId w:val="0"/>
              </w:numPr>
              <w:suppressLineNumbers w:val="0"/>
              <w:spacing w:before="0" w:beforeAutospacing="0" w:after="0" w:afterAutospacing="0"/>
              <w:ind w:left="0" w:leftChars="0" w:right="0" w:rightChars="0"/>
              <w:jc w:val="center"/>
              <w:rPr>
                <w:rFonts w:hint="eastAsia"/>
                <w:color w:val="auto"/>
                <w:lang w:val="en-US" w:eastAsia="zh-CN"/>
              </w:rPr>
            </w:pPr>
          </w:p>
        </w:tc>
        <w:tc>
          <w:tcPr>
            <w:tcW w:w="416" w:type="dxa"/>
            <w:vMerge w:val="continue"/>
            <w:tcBorders>
              <w:tl2br w:val="nil"/>
              <w:tr2bl w:val="nil"/>
            </w:tcBorders>
            <w:vAlign w:val="center"/>
          </w:tcPr>
          <w:p w14:paraId="313BE925">
            <w:pPr>
              <w:pStyle w:val="34"/>
              <w:keepNext w:val="0"/>
              <w:keepLines w:val="0"/>
              <w:suppressLineNumbers w:val="0"/>
              <w:spacing w:before="0" w:beforeAutospacing="0" w:after="0" w:afterAutospacing="0"/>
              <w:ind w:left="0" w:right="0"/>
              <w:jc w:val="center"/>
              <w:rPr>
                <w:rFonts w:hint="default"/>
                <w:color w:val="auto"/>
              </w:rPr>
            </w:pPr>
          </w:p>
        </w:tc>
        <w:tc>
          <w:tcPr>
            <w:tcW w:w="4241" w:type="dxa"/>
            <w:tcBorders>
              <w:tl2br w:val="nil"/>
              <w:tr2bl w:val="nil"/>
            </w:tcBorders>
            <w:vAlign w:val="center"/>
          </w:tcPr>
          <w:p w14:paraId="716F1E99">
            <w:pPr>
              <w:pStyle w:val="34"/>
              <w:keepNext w:val="0"/>
              <w:keepLines w:val="0"/>
              <w:suppressLineNumbers w:val="0"/>
              <w:spacing w:before="0" w:beforeAutospacing="0" w:after="0" w:afterAutospacing="0"/>
              <w:ind w:left="0" w:right="0"/>
              <w:rPr>
                <w:rFonts w:hint="default"/>
                <w:color w:val="auto"/>
              </w:rPr>
            </w:pPr>
            <w:r>
              <w:rPr>
                <w:rFonts w:hint="default"/>
                <w:color w:val="auto"/>
              </w:rPr>
              <w:t>各主要生产中段和分段进风巷道的供水管道上安设的供水阀门,中段和分段间隔应不大于200m。</w:t>
            </w:r>
          </w:p>
        </w:tc>
        <w:tc>
          <w:tcPr>
            <w:tcW w:w="1818" w:type="dxa"/>
            <w:vMerge w:val="continue"/>
            <w:tcBorders>
              <w:tl2br w:val="nil"/>
              <w:tr2bl w:val="nil"/>
            </w:tcBorders>
            <w:vAlign w:val="center"/>
          </w:tcPr>
          <w:p w14:paraId="64DD9F3D">
            <w:pPr>
              <w:pStyle w:val="34"/>
              <w:keepNext w:val="0"/>
              <w:keepLines w:val="0"/>
              <w:suppressLineNumbers w:val="0"/>
              <w:spacing w:before="0" w:beforeAutospacing="0" w:after="0" w:afterAutospacing="0"/>
              <w:ind w:left="0" w:right="0"/>
              <w:rPr>
                <w:rFonts w:hint="eastAsia"/>
                <w:color w:val="auto"/>
              </w:rPr>
            </w:pPr>
          </w:p>
        </w:tc>
        <w:tc>
          <w:tcPr>
            <w:tcW w:w="1496" w:type="dxa"/>
            <w:vMerge w:val="continue"/>
            <w:tcBorders>
              <w:tl2br w:val="nil"/>
              <w:tr2bl w:val="nil"/>
            </w:tcBorders>
            <w:vAlign w:val="center"/>
          </w:tcPr>
          <w:p w14:paraId="7B9D3C8C">
            <w:pPr>
              <w:pStyle w:val="34"/>
              <w:keepNext w:val="0"/>
              <w:keepLines w:val="0"/>
              <w:suppressLineNumbers w:val="0"/>
              <w:spacing w:before="0" w:beforeAutospacing="0" w:after="0" w:afterAutospacing="0"/>
              <w:ind w:left="0" w:right="0"/>
              <w:rPr>
                <w:rFonts w:hint="eastAsia"/>
                <w:color w:val="auto"/>
                <w:lang w:val="en-US" w:eastAsia="zh-CN"/>
              </w:rPr>
            </w:pPr>
          </w:p>
        </w:tc>
        <w:tc>
          <w:tcPr>
            <w:tcW w:w="737" w:type="dxa"/>
            <w:vMerge w:val="continue"/>
            <w:tcBorders>
              <w:tl2br w:val="nil"/>
              <w:tr2bl w:val="nil"/>
            </w:tcBorders>
            <w:vAlign w:val="center"/>
          </w:tcPr>
          <w:p w14:paraId="1D690B44">
            <w:pPr>
              <w:pStyle w:val="34"/>
              <w:keepNext w:val="0"/>
              <w:keepLines w:val="0"/>
              <w:suppressLineNumbers w:val="0"/>
              <w:spacing w:before="0" w:beforeAutospacing="0" w:after="0" w:afterAutospacing="0"/>
              <w:ind w:left="0" w:right="0"/>
              <w:rPr>
                <w:rFonts w:hint="eastAsia"/>
                <w:color w:val="auto"/>
              </w:rPr>
            </w:pPr>
          </w:p>
        </w:tc>
      </w:tr>
      <w:tr w14:paraId="2661BED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30" w:hRule="atLeast"/>
          <w:jc w:val="center"/>
        </w:trPr>
        <w:tc>
          <w:tcPr>
            <w:tcW w:w="684" w:type="dxa"/>
            <w:vMerge w:val="continue"/>
            <w:tcBorders>
              <w:tl2br w:val="nil"/>
              <w:tr2bl w:val="nil"/>
            </w:tcBorders>
            <w:vAlign w:val="center"/>
          </w:tcPr>
          <w:p w14:paraId="1E8A6AC6">
            <w:pPr>
              <w:pStyle w:val="34"/>
              <w:keepNext w:val="0"/>
              <w:keepLines w:val="0"/>
              <w:numPr>
                <w:ilvl w:val="0"/>
                <w:numId w:val="0"/>
              </w:numPr>
              <w:suppressLineNumbers w:val="0"/>
              <w:spacing w:before="0" w:beforeAutospacing="0" w:after="0" w:afterAutospacing="0"/>
              <w:ind w:left="0" w:leftChars="0" w:right="0" w:rightChars="0"/>
              <w:jc w:val="center"/>
              <w:rPr>
                <w:rFonts w:hint="eastAsia"/>
                <w:color w:val="auto"/>
                <w:lang w:val="en-US" w:eastAsia="zh-CN"/>
              </w:rPr>
            </w:pPr>
          </w:p>
        </w:tc>
        <w:tc>
          <w:tcPr>
            <w:tcW w:w="416" w:type="dxa"/>
            <w:vMerge w:val="continue"/>
            <w:tcBorders>
              <w:tl2br w:val="nil"/>
              <w:tr2bl w:val="nil"/>
            </w:tcBorders>
            <w:vAlign w:val="center"/>
          </w:tcPr>
          <w:p w14:paraId="21D930D1">
            <w:pPr>
              <w:pStyle w:val="34"/>
              <w:keepNext w:val="0"/>
              <w:keepLines w:val="0"/>
              <w:suppressLineNumbers w:val="0"/>
              <w:spacing w:before="0" w:beforeAutospacing="0" w:after="0" w:afterAutospacing="0"/>
              <w:ind w:left="0" w:right="0"/>
              <w:jc w:val="center"/>
              <w:rPr>
                <w:rFonts w:hint="default"/>
                <w:color w:val="auto"/>
              </w:rPr>
            </w:pPr>
          </w:p>
        </w:tc>
        <w:tc>
          <w:tcPr>
            <w:tcW w:w="4241" w:type="dxa"/>
            <w:tcBorders>
              <w:tl2br w:val="nil"/>
              <w:tr2bl w:val="nil"/>
            </w:tcBorders>
            <w:vAlign w:val="center"/>
          </w:tcPr>
          <w:p w14:paraId="5C72D03E">
            <w:pPr>
              <w:pStyle w:val="34"/>
              <w:keepNext w:val="0"/>
              <w:keepLines w:val="0"/>
              <w:suppressLineNumbers w:val="0"/>
              <w:spacing w:before="0" w:beforeAutospacing="0" w:after="0" w:afterAutospacing="0"/>
              <w:ind w:left="0" w:right="0"/>
              <w:rPr>
                <w:rFonts w:hint="default"/>
                <w:color w:val="auto"/>
              </w:rPr>
            </w:pPr>
            <w:r>
              <w:rPr>
                <w:rFonts w:hint="default"/>
                <w:color w:val="auto"/>
              </w:rPr>
              <w:t>独头掘进巷道距掘进工作面不大于100m处的供水管道上应安设一组供水阀门,相邻两组供水阀门安设间距应不大于200m。</w:t>
            </w:r>
          </w:p>
        </w:tc>
        <w:tc>
          <w:tcPr>
            <w:tcW w:w="1818" w:type="dxa"/>
            <w:vMerge w:val="continue"/>
            <w:tcBorders>
              <w:tl2br w:val="nil"/>
              <w:tr2bl w:val="nil"/>
            </w:tcBorders>
            <w:vAlign w:val="center"/>
          </w:tcPr>
          <w:p w14:paraId="4948B022">
            <w:pPr>
              <w:pStyle w:val="34"/>
              <w:keepNext w:val="0"/>
              <w:keepLines w:val="0"/>
              <w:suppressLineNumbers w:val="0"/>
              <w:spacing w:before="0" w:beforeAutospacing="0" w:after="0" w:afterAutospacing="0"/>
              <w:ind w:left="0" w:right="0"/>
              <w:rPr>
                <w:rFonts w:hint="eastAsia"/>
                <w:color w:val="auto"/>
              </w:rPr>
            </w:pPr>
          </w:p>
        </w:tc>
        <w:tc>
          <w:tcPr>
            <w:tcW w:w="1496" w:type="dxa"/>
            <w:vMerge w:val="continue"/>
            <w:tcBorders>
              <w:tl2br w:val="nil"/>
              <w:tr2bl w:val="nil"/>
            </w:tcBorders>
            <w:vAlign w:val="center"/>
          </w:tcPr>
          <w:p w14:paraId="1575475C">
            <w:pPr>
              <w:pStyle w:val="34"/>
              <w:keepNext w:val="0"/>
              <w:keepLines w:val="0"/>
              <w:suppressLineNumbers w:val="0"/>
              <w:spacing w:before="0" w:beforeAutospacing="0" w:after="0" w:afterAutospacing="0"/>
              <w:ind w:left="0" w:right="0"/>
              <w:rPr>
                <w:rFonts w:hint="eastAsia"/>
                <w:color w:val="auto"/>
                <w:lang w:val="en-US" w:eastAsia="zh-CN"/>
              </w:rPr>
            </w:pPr>
          </w:p>
        </w:tc>
        <w:tc>
          <w:tcPr>
            <w:tcW w:w="737" w:type="dxa"/>
            <w:vMerge w:val="continue"/>
            <w:tcBorders>
              <w:tl2br w:val="nil"/>
              <w:tr2bl w:val="nil"/>
            </w:tcBorders>
            <w:vAlign w:val="center"/>
          </w:tcPr>
          <w:p w14:paraId="16D26DF8">
            <w:pPr>
              <w:pStyle w:val="34"/>
              <w:keepNext w:val="0"/>
              <w:keepLines w:val="0"/>
              <w:suppressLineNumbers w:val="0"/>
              <w:spacing w:before="0" w:beforeAutospacing="0" w:after="0" w:afterAutospacing="0"/>
              <w:ind w:left="0" w:right="0"/>
              <w:rPr>
                <w:rFonts w:hint="eastAsia"/>
                <w:color w:val="auto"/>
              </w:rPr>
            </w:pPr>
          </w:p>
        </w:tc>
      </w:tr>
      <w:tr w14:paraId="0196BF5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30" w:hRule="atLeast"/>
          <w:jc w:val="center"/>
        </w:trPr>
        <w:tc>
          <w:tcPr>
            <w:tcW w:w="684" w:type="dxa"/>
            <w:vMerge w:val="continue"/>
            <w:tcBorders>
              <w:tl2br w:val="nil"/>
              <w:tr2bl w:val="nil"/>
            </w:tcBorders>
            <w:vAlign w:val="center"/>
          </w:tcPr>
          <w:p w14:paraId="17BCD25A">
            <w:pPr>
              <w:pStyle w:val="34"/>
              <w:keepNext w:val="0"/>
              <w:keepLines w:val="0"/>
              <w:numPr>
                <w:ilvl w:val="0"/>
                <w:numId w:val="0"/>
              </w:numPr>
              <w:suppressLineNumbers w:val="0"/>
              <w:spacing w:before="0" w:beforeAutospacing="0" w:after="0" w:afterAutospacing="0"/>
              <w:ind w:left="0" w:leftChars="0" w:right="0" w:rightChars="0"/>
              <w:jc w:val="center"/>
              <w:rPr>
                <w:rFonts w:hint="eastAsia"/>
                <w:color w:val="auto"/>
                <w:lang w:val="en-US" w:eastAsia="zh-CN"/>
              </w:rPr>
            </w:pPr>
          </w:p>
        </w:tc>
        <w:tc>
          <w:tcPr>
            <w:tcW w:w="416" w:type="dxa"/>
            <w:vMerge w:val="continue"/>
            <w:tcBorders>
              <w:tl2br w:val="nil"/>
              <w:tr2bl w:val="nil"/>
            </w:tcBorders>
            <w:vAlign w:val="center"/>
          </w:tcPr>
          <w:p w14:paraId="07C9F6AD">
            <w:pPr>
              <w:pStyle w:val="34"/>
              <w:keepNext w:val="0"/>
              <w:keepLines w:val="0"/>
              <w:suppressLineNumbers w:val="0"/>
              <w:spacing w:before="0" w:beforeAutospacing="0" w:after="0" w:afterAutospacing="0"/>
              <w:ind w:left="0" w:right="0"/>
              <w:jc w:val="center"/>
              <w:rPr>
                <w:rFonts w:hint="default"/>
                <w:color w:val="auto"/>
              </w:rPr>
            </w:pPr>
          </w:p>
        </w:tc>
        <w:tc>
          <w:tcPr>
            <w:tcW w:w="4241" w:type="dxa"/>
            <w:tcBorders>
              <w:tl2br w:val="nil"/>
              <w:tr2bl w:val="nil"/>
            </w:tcBorders>
            <w:vAlign w:val="center"/>
          </w:tcPr>
          <w:p w14:paraId="57F6FEB3">
            <w:pPr>
              <w:pStyle w:val="34"/>
              <w:keepNext w:val="0"/>
              <w:keepLines w:val="0"/>
              <w:suppressLineNumbers w:val="0"/>
              <w:spacing w:before="0" w:beforeAutospacing="0" w:after="0" w:afterAutospacing="0"/>
              <w:ind w:left="0" w:right="0"/>
              <w:rPr>
                <w:rFonts w:hint="default"/>
                <w:color w:val="auto"/>
              </w:rPr>
            </w:pPr>
            <w:r>
              <w:rPr>
                <w:rFonts w:hint="default"/>
                <w:color w:val="auto"/>
              </w:rPr>
              <w:t>爆破时撤离人员集中地点的供水管道上应安设一组供水阀门。</w:t>
            </w:r>
          </w:p>
        </w:tc>
        <w:tc>
          <w:tcPr>
            <w:tcW w:w="1818" w:type="dxa"/>
            <w:vMerge w:val="continue"/>
            <w:tcBorders>
              <w:tl2br w:val="nil"/>
              <w:tr2bl w:val="nil"/>
            </w:tcBorders>
            <w:vAlign w:val="center"/>
          </w:tcPr>
          <w:p w14:paraId="77AE3F27">
            <w:pPr>
              <w:pStyle w:val="34"/>
              <w:keepNext w:val="0"/>
              <w:keepLines w:val="0"/>
              <w:suppressLineNumbers w:val="0"/>
              <w:spacing w:before="0" w:beforeAutospacing="0" w:after="0" w:afterAutospacing="0"/>
              <w:ind w:left="0" w:right="0"/>
              <w:rPr>
                <w:rFonts w:hint="eastAsia"/>
                <w:color w:val="auto"/>
              </w:rPr>
            </w:pPr>
          </w:p>
        </w:tc>
        <w:tc>
          <w:tcPr>
            <w:tcW w:w="1496" w:type="dxa"/>
            <w:vMerge w:val="continue"/>
            <w:tcBorders>
              <w:tl2br w:val="nil"/>
              <w:tr2bl w:val="nil"/>
            </w:tcBorders>
            <w:vAlign w:val="center"/>
          </w:tcPr>
          <w:p w14:paraId="6D19BD7D">
            <w:pPr>
              <w:pStyle w:val="34"/>
              <w:keepNext w:val="0"/>
              <w:keepLines w:val="0"/>
              <w:suppressLineNumbers w:val="0"/>
              <w:spacing w:before="0" w:beforeAutospacing="0" w:after="0" w:afterAutospacing="0"/>
              <w:ind w:left="0" w:right="0"/>
              <w:rPr>
                <w:rFonts w:hint="eastAsia"/>
                <w:color w:val="auto"/>
                <w:lang w:val="en-US" w:eastAsia="zh-CN"/>
              </w:rPr>
            </w:pPr>
          </w:p>
        </w:tc>
        <w:tc>
          <w:tcPr>
            <w:tcW w:w="737" w:type="dxa"/>
            <w:vMerge w:val="continue"/>
            <w:tcBorders>
              <w:tl2br w:val="nil"/>
              <w:tr2bl w:val="nil"/>
            </w:tcBorders>
            <w:vAlign w:val="center"/>
          </w:tcPr>
          <w:p w14:paraId="3A3C1174">
            <w:pPr>
              <w:pStyle w:val="34"/>
              <w:keepNext w:val="0"/>
              <w:keepLines w:val="0"/>
              <w:suppressLineNumbers w:val="0"/>
              <w:spacing w:before="0" w:beforeAutospacing="0" w:after="0" w:afterAutospacing="0"/>
              <w:ind w:left="0" w:right="0"/>
              <w:rPr>
                <w:rFonts w:hint="eastAsia"/>
                <w:color w:val="auto"/>
              </w:rPr>
            </w:pPr>
          </w:p>
        </w:tc>
      </w:tr>
      <w:tr w14:paraId="2369309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30" w:hRule="atLeast"/>
          <w:jc w:val="center"/>
        </w:trPr>
        <w:tc>
          <w:tcPr>
            <w:tcW w:w="684" w:type="dxa"/>
            <w:vMerge w:val="continue"/>
            <w:tcBorders>
              <w:tl2br w:val="nil"/>
              <w:tr2bl w:val="nil"/>
            </w:tcBorders>
            <w:vAlign w:val="center"/>
          </w:tcPr>
          <w:p w14:paraId="542542D5">
            <w:pPr>
              <w:pStyle w:val="34"/>
              <w:keepNext w:val="0"/>
              <w:keepLines w:val="0"/>
              <w:numPr>
                <w:ilvl w:val="0"/>
                <w:numId w:val="0"/>
              </w:numPr>
              <w:suppressLineNumbers w:val="0"/>
              <w:spacing w:before="0" w:beforeAutospacing="0" w:after="0" w:afterAutospacing="0"/>
              <w:ind w:left="0" w:leftChars="0" w:right="0" w:rightChars="0"/>
              <w:jc w:val="center"/>
              <w:rPr>
                <w:rFonts w:hint="eastAsia"/>
                <w:color w:val="auto"/>
                <w:lang w:val="en-US" w:eastAsia="zh-CN"/>
              </w:rPr>
            </w:pPr>
          </w:p>
        </w:tc>
        <w:tc>
          <w:tcPr>
            <w:tcW w:w="416" w:type="dxa"/>
            <w:vMerge w:val="continue"/>
            <w:tcBorders>
              <w:tl2br w:val="nil"/>
              <w:tr2bl w:val="nil"/>
            </w:tcBorders>
            <w:vAlign w:val="center"/>
          </w:tcPr>
          <w:p w14:paraId="41A569AC">
            <w:pPr>
              <w:pStyle w:val="34"/>
              <w:keepNext w:val="0"/>
              <w:keepLines w:val="0"/>
              <w:suppressLineNumbers w:val="0"/>
              <w:spacing w:before="0" w:beforeAutospacing="0" w:after="0" w:afterAutospacing="0"/>
              <w:ind w:left="0" w:right="0"/>
              <w:jc w:val="center"/>
              <w:rPr>
                <w:rFonts w:hint="default"/>
                <w:color w:val="auto"/>
              </w:rPr>
            </w:pPr>
          </w:p>
        </w:tc>
        <w:tc>
          <w:tcPr>
            <w:tcW w:w="4241" w:type="dxa"/>
            <w:tcBorders>
              <w:tl2br w:val="nil"/>
              <w:tr2bl w:val="nil"/>
            </w:tcBorders>
            <w:vAlign w:val="center"/>
          </w:tcPr>
          <w:p w14:paraId="74031D62">
            <w:pPr>
              <w:pStyle w:val="34"/>
              <w:keepNext w:val="0"/>
              <w:keepLines w:val="0"/>
              <w:suppressLineNumbers w:val="0"/>
              <w:spacing w:before="0" w:beforeAutospacing="0" w:after="0" w:afterAutospacing="0"/>
              <w:ind w:left="0" w:right="0"/>
              <w:rPr>
                <w:rFonts w:hint="eastAsia" w:eastAsia="宋体"/>
                <w:color w:val="auto"/>
                <w:lang w:eastAsia="zh-CN"/>
              </w:rPr>
            </w:pPr>
            <w:r>
              <w:rPr>
                <w:rFonts w:hint="default"/>
                <w:color w:val="auto"/>
              </w:rPr>
              <w:t>供水管道应</w:t>
            </w:r>
            <w:r>
              <w:rPr>
                <w:rFonts w:hint="eastAsia"/>
                <w:color w:val="auto"/>
                <w:lang w:eastAsia="zh-CN"/>
              </w:rPr>
              <w:t>接入</w:t>
            </w:r>
            <w:r>
              <w:rPr>
                <w:rFonts w:hint="default"/>
                <w:color w:val="auto"/>
              </w:rPr>
              <w:t>紧急避险设施内,并安设阀门及过滤装置,水量和水压应满足额定数量人员避灾时的需要</w:t>
            </w:r>
            <w:r>
              <w:rPr>
                <w:rFonts w:hint="eastAsia"/>
                <w:color w:val="auto"/>
                <w:lang w:eastAsia="zh-CN"/>
              </w:rPr>
              <w:t>。</w:t>
            </w:r>
          </w:p>
        </w:tc>
        <w:tc>
          <w:tcPr>
            <w:tcW w:w="1818" w:type="dxa"/>
            <w:vMerge w:val="continue"/>
            <w:tcBorders>
              <w:tl2br w:val="nil"/>
              <w:tr2bl w:val="nil"/>
            </w:tcBorders>
            <w:vAlign w:val="center"/>
          </w:tcPr>
          <w:p w14:paraId="3D57E2FB">
            <w:pPr>
              <w:pStyle w:val="34"/>
              <w:keepNext w:val="0"/>
              <w:keepLines w:val="0"/>
              <w:suppressLineNumbers w:val="0"/>
              <w:spacing w:before="0" w:beforeAutospacing="0" w:after="0" w:afterAutospacing="0"/>
              <w:ind w:left="0" w:right="0"/>
              <w:rPr>
                <w:rFonts w:hint="eastAsia"/>
                <w:color w:val="auto"/>
              </w:rPr>
            </w:pPr>
          </w:p>
        </w:tc>
        <w:tc>
          <w:tcPr>
            <w:tcW w:w="1496" w:type="dxa"/>
            <w:vMerge w:val="continue"/>
            <w:tcBorders>
              <w:tl2br w:val="nil"/>
              <w:tr2bl w:val="nil"/>
            </w:tcBorders>
            <w:vAlign w:val="center"/>
          </w:tcPr>
          <w:p w14:paraId="141B600D">
            <w:pPr>
              <w:pStyle w:val="34"/>
              <w:keepNext w:val="0"/>
              <w:keepLines w:val="0"/>
              <w:suppressLineNumbers w:val="0"/>
              <w:spacing w:before="0" w:beforeAutospacing="0" w:after="0" w:afterAutospacing="0"/>
              <w:ind w:left="0" w:right="0"/>
              <w:rPr>
                <w:rFonts w:hint="eastAsia"/>
                <w:color w:val="auto"/>
                <w:lang w:val="en-US" w:eastAsia="zh-CN"/>
              </w:rPr>
            </w:pPr>
          </w:p>
        </w:tc>
        <w:tc>
          <w:tcPr>
            <w:tcW w:w="737" w:type="dxa"/>
            <w:vMerge w:val="continue"/>
            <w:tcBorders>
              <w:tl2br w:val="nil"/>
              <w:tr2bl w:val="nil"/>
            </w:tcBorders>
            <w:vAlign w:val="center"/>
          </w:tcPr>
          <w:p w14:paraId="6761944B">
            <w:pPr>
              <w:pStyle w:val="34"/>
              <w:keepNext w:val="0"/>
              <w:keepLines w:val="0"/>
              <w:suppressLineNumbers w:val="0"/>
              <w:spacing w:before="0" w:beforeAutospacing="0" w:after="0" w:afterAutospacing="0"/>
              <w:ind w:left="0" w:right="0"/>
              <w:rPr>
                <w:rFonts w:hint="eastAsia"/>
                <w:color w:val="auto"/>
              </w:rPr>
            </w:pPr>
          </w:p>
        </w:tc>
      </w:tr>
      <w:tr w14:paraId="0F845D4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30" w:hRule="atLeast"/>
          <w:jc w:val="center"/>
        </w:trPr>
        <w:tc>
          <w:tcPr>
            <w:tcW w:w="684" w:type="dxa"/>
            <w:vMerge w:val="continue"/>
            <w:tcBorders>
              <w:tl2br w:val="nil"/>
              <w:tr2bl w:val="nil"/>
            </w:tcBorders>
            <w:vAlign w:val="center"/>
          </w:tcPr>
          <w:p w14:paraId="0E9E08AF">
            <w:pPr>
              <w:pStyle w:val="34"/>
              <w:keepNext w:val="0"/>
              <w:keepLines w:val="0"/>
              <w:numPr>
                <w:ilvl w:val="0"/>
                <w:numId w:val="0"/>
              </w:numPr>
              <w:suppressLineNumbers w:val="0"/>
              <w:spacing w:before="0" w:beforeAutospacing="0" w:after="0" w:afterAutospacing="0"/>
              <w:ind w:left="0" w:leftChars="0" w:right="0" w:rightChars="0"/>
              <w:jc w:val="center"/>
              <w:rPr>
                <w:rFonts w:hint="eastAsia"/>
                <w:color w:val="auto"/>
                <w:lang w:val="en-US" w:eastAsia="zh-CN"/>
              </w:rPr>
            </w:pPr>
          </w:p>
        </w:tc>
        <w:tc>
          <w:tcPr>
            <w:tcW w:w="416" w:type="dxa"/>
            <w:vMerge w:val="continue"/>
            <w:tcBorders>
              <w:tl2br w:val="nil"/>
              <w:tr2bl w:val="nil"/>
            </w:tcBorders>
            <w:vAlign w:val="center"/>
          </w:tcPr>
          <w:p w14:paraId="03BA9D08">
            <w:pPr>
              <w:pStyle w:val="34"/>
              <w:keepNext w:val="0"/>
              <w:keepLines w:val="0"/>
              <w:suppressLineNumbers w:val="0"/>
              <w:spacing w:before="0" w:beforeAutospacing="0" w:after="0" w:afterAutospacing="0"/>
              <w:ind w:left="0" w:right="0"/>
              <w:jc w:val="center"/>
              <w:rPr>
                <w:rFonts w:hint="default"/>
                <w:color w:val="auto"/>
              </w:rPr>
            </w:pPr>
          </w:p>
        </w:tc>
        <w:tc>
          <w:tcPr>
            <w:tcW w:w="4241" w:type="dxa"/>
            <w:tcBorders>
              <w:tl2br w:val="nil"/>
              <w:tr2bl w:val="nil"/>
            </w:tcBorders>
            <w:vAlign w:val="center"/>
          </w:tcPr>
          <w:p w14:paraId="122159CB">
            <w:pPr>
              <w:pStyle w:val="34"/>
              <w:keepNext w:val="0"/>
              <w:keepLines w:val="0"/>
              <w:suppressLineNumbers w:val="0"/>
              <w:spacing w:before="0" w:beforeAutospacing="0" w:after="0" w:afterAutospacing="0"/>
              <w:ind w:left="0" w:right="0"/>
              <w:rPr>
                <w:rFonts w:hint="default"/>
                <w:color w:val="auto"/>
              </w:rPr>
            </w:pPr>
            <w:r>
              <w:rPr>
                <w:rFonts w:hint="default"/>
                <w:color w:val="auto"/>
              </w:rPr>
              <w:t>供水阀门安装地点应宽敞、稳固,安装位置应便于避灾人员使用</w:t>
            </w:r>
            <w:r>
              <w:rPr>
                <w:rFonts w:hint="eastAsia"/>
                <w:color w:val="auto"/>
                <w:lang w:eastAsia="zh-CN"/>
              </w:rPr>
              <w:t>；</w:t>
            </w:r>
            <w:r>
              <w:rPr>
                <w:rFonts w:hint="default"/>
                <w:color w:val="auto"/>
              </w:rPr>
              <w:t>阀门应开关灵活。</w:t>
            </w:r>
          </w:p>
        </w:tc>
        <w:tc>
          <w:tcPr>
            <w:tcW w:w="1818" w:type="dxa"/>
            <w:vMerge w:val="continue"/>
            <w:tcBorders>
              <w:tl2br w:val="nil"/>
              <w:tr2bl w:val="nil"/>
            </w:tcBorders>
            <w:vAlign w:val="center"/>
          </w:tcPr>
          <w:p w14:paraId="1426E324">
            <w:pPr>
              <w:pStyle w:val="34"/>
              <w:keepNext w:val="0"/>
              <w:keepLines w:val="0"/>
              <w:suppressLineNumbers w:val="0"/>
              <w:spacing w:before="0" w:beforeAutospacing="0" w:after="0" w:afterAutospacing="0"/>
              <w:ind w:left="0" w:right="0"/>
              <w:rPr>
                <w:rFonts w:hint="eastAsia"/>
                <w:color w:val="auto"/>
              </w:rPr>
            </w:pPr>
          </w:p>
        </w:tc>
        <w:tc>
          <w:tcPr>
            <w:tcW w:w="1496" w:type="dxa"/>
            <w:vMerge w:val="continue"/>
            <w:tcBorders>
              <w:tl2br w:val="nil"/>
              <w:tr2bl w:val="nil"/>
            </w:tcBorders>
            <w:vAlign w:val="center"/>
          </w:tcPr>
          <w:p w14:paraId="6CB3FFD7">
            <w:pPr>
              <w:pStyle w:val="34"/>
              <w:keepNext w:val="0"/>
              <w:keepLines w:val="0"/>
              <w:suppressLineNumbers w:val="0"/>
              <w:spacing w:before="0" w:beforeAutospacing="0" w:after="0" w:afterAutospacing="0"/>
              <w:ind w:left="0" w:right="0"/>
              <w:rPr>
                <w:rFonts w:hint="eastAsia"/>
                <w:color w:val="auto"/>
                <w:lang w:val="en-US" w:eastAsia="zh-CN"/>
              </w:rPr>
            </w:pPr>
          </w:p>
        </w:tc>
        <w:tc>
          <w:tcPr>
            <w:tcW w:w="737" w:type="dxa"/>
            <w:vMerge w:val="continue"/>
            <w:tcBorders>
              <w:tl2br w:val="nil"/>
              <w:tr2bl w:val="nil"/>
            </w:tcBorders>
            <w:vAlign w:val="center"/>
          </w:tcPr>
          <w:p w14:paraId="1894B335">
            <w:pPr>
              <w:pStyle w:val="34"/>
              <w:keepNext w:val="0"/>
              <w:keepLines w:val="0"/>
              <w:suppressLineNumbers w:val="0"/>
              <w:spacing w:before="0" w:beforeAutospacing="0" w:after="0" w:afterAutospacing="0"/>
              <w:ind w:left="0" w:right="0"/>
              <w:rPr>
                <w:rFonts w:hint="eastAsia"/>
                <w:color w:val="auto"/>
              </w:rPr>
            </w:pPr>
          </w:p>
        </w:tc>
      </w:tr>
      <w:tr w14:paraId="346431A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30" w:hRule="atLeast"/>
          <w:jc w:val="center"/>
        </w:trPr>
        <w:tc>
          <w:tcPr>
            <w:tcW w:w="684" w:type="dxa"/>
            <w:tcBorders>
              <w:tl2br w:val="nil"/>
              <w:tr2bl w:val="nil"/>
            </w:tcBorders>
            <w:vAlign w:val="center"/>
          </w:tcPr>
          <w:p w14:paraId="700E66E0">
            <w:pPr>
              <w:pStyle w:val="34"/>
              <w:keepNext w:val="0"/>
              <w:keepLines w:val="0"/>
              <w:numPr>
                <w:ilvl w:val="0"/>
                <w:numId w:val="0"/>
              </w:numPr>
              <w:suppressLineNumbers w:val="0"/>
              <w:spacing w:before="0" w:beforeAutospacing="0" w:after="0" w:afterAutospacing="0"/>
              <w:ind w:left="0" w:leftChars="0" w:right="0" w:rightChars="0"/>
              <w:jc w:val="center"/>
              <w:rPr>
                <w:rFonts w:hint="eastAsia" w:eastAsia="宋体"/>
                <w:color w:val="auto"/>
                <w:lang w:val="en-US" w:eastAsia="zh-CN"/>
              </w:rPr>
            </w:pPr>
            <w:r>
              <w:rPr>
                <w:rFonts w:hint="eastAsia"/>
                <w:color w:val="auto"/>
                <w:lang w:val="en-US" w:eastAsia="zh-CN"/>
              </w:rPr>
              <w:t>6</w:t>
            </w:r>
          </w:p>
        </w:tc>
        <w:tc>
          <w:tcPr>
            <w:tcW w:w="416" w:type="dxa"/>
            <w:tcBorders>
              <w:tl2br w:val="nil"/>
              <w:tr2bl w:val="nil"/>
            </w:tcBorders>
            <w:vAlign w:val="center"/>
          </w:tcPr>
          <w:p w14:paraId="21EE5F80">
            <w:pPr>
              <w:pStyle w:val="34"/>
              <w:keepNext w:val="0"/>
              <w:keepLines w:val="0"/>
              <w:suppressLineNumbers w:val="0"/>
              <w:spacing w:before="0" w:beforeAutospacing="0" w:after="0" w:afterAutospacing="0"/>
              <w:ind w:left="0" w:right="0"/>
              <w:jc w:val="center"/>
              <w:rPr>
                <w:rFonts w:hint="default"/>
                <w:color w:val="auto"/>
              </w:rPr>
            </w:pPr>
            <w:r>
              <w:rPr>
                <w:rFonts w:hint="default"/>
                <w:color w:val="auto"/>
              </w:rPr>
              <w:t>井下通信联络系统</w:t>
            </w:r>
          </w:p>
        </w:tc>
        <w:tc>
          <w:tcPr>
            <w:tcW w:w="4241" w:type="dxa"/>
            <w:tcBorders>
              <w:tl2br w:val="nil"/>
              <w:tr2bl w:val="nil"/>
            </w:tcBorders>
          </w:tcPr>
          <w:p w14:paraId="7A687355">
            <w:pPr>
              <w:pStyle w:val="34"/>
              <w:keepNext w:val="0"/>
              <w:keepLines w:val="0"/>
              <w:suppressLineNumbers w:val="0"/>
              <w:spacing w:before="0" w:beforeAutospacing="0" w:after="0" w:afterAutospacing="0"/>
              <w:ind w:left="0" w:right="0"/>
              <w:rPr>
                <w:rFonts w:hint="eastAsia" w:eastAsia="宋体"/>
                <w:color w:val="auto"/>
                <w:lang w:eastAsia="zh-CN"/>
              </w:rPr>
            </w:pPr>
            <w:r>
              <w:rPr>
                <w:rFonts w:hint="default"/>
                <w:color w:val="auto"/>
              </w:rPr>
              <w:t>安装通信联络终端设备的地点应包括：井底车场、马头门、井下运输调度室、主要机电硐室、井下变电所、井下各中段采区、主要泵房、主要通风机房、井下紧急避险设施、爆破时撤离人员集中地点、提装卸矿点等。</w:t>
            </w:r>
          </w:p>
          <w:p w14:paraId="3BB3AC1C">
            <w:pPr>
              <w:pStyle w:val="34"/>
              <w:keepNext w:val="0"/>
              <w:keepLines w:val="0"/>
              <w:suppressLineNumbers w:val="0"/>
              <w:spacing w:before="0" w:beforeAutospacing="0" w:after="0" w:afterAutospacing="0"/>
              <w:ind w:left="0" w:right="0"/>
              <w:rPr>
                <w:rFonts w:hint="eastAsia" w:eastAsia="宋体"/>
                <w:color w:val="auto"/>
                <w:lang w:eastAsia="zh-CN"/>
              </w:rPr>
            </w:pPr>
            <w:r>
              <w:rPr>
                <w:rFonts w:hint="default"/>
                <w:color w:val="auto"/>
              </w:rPr>
              <w:t>通信线缆应分设两条，从不同的井筒进入井下配线设备，其中任何一条通信线缆发生故障时，另外一条线缆的容量应能担负井下各通信终端的通信能力。</w:t>
            </w:r>
          </w:p>
          <w:p w14:paraId="08F0650C">
            <w:pPr>
              <w:pStyle w:val="34"/>
              <w:keepNext w:val="0"/>
              <w:keepLines w:val="0"/>
              <w:suppressLineNumbers w:val="0"/>
              <w:spacing w:before="0" w:beforeAutospacing="0" w:after="0" w:afterAutospacing="0"/>
              <w:ind w:left="0" w:right="0"/>
              <w:rPr>
                <w:rFonts w:hint="default"/>
                <w:color w:val="auto"/>
              </w:rPr>
            </w:pPr>
            <w:r>
              <w:rPr>
                <w:rFonts w:hint="default"/>
                <w:color w:val="auto"/>
              </w:rPr>
              <w:t>通信线缆的敷设应符合GB16423-2006中6.5.2的相关规定。</w:t>
            </w:r>
          </w:p>
        </w:tc>
        <w:tc>
          <w:tcPr>
            <w:tcW w:w="1818" w:type="dxa"/>
            <w:tcBorders>
              <w:tl2br w:val="nil"/>
              <w:tr2bl w:val="nil"/>
            </w:tcBorders>
            <w:vAlign w:val="center"/>
          </w:tcPr>
          <w:p w14:paraId="40AFD7EC">
            <w:pPr>
              <w:pStyle w:val="34"/>
              <w:keepNext w:val="0"/>
              <w:keepLines w:val="0"/>
              <w:suppressLineNumbers w:val="0"/>
              <w:spacing w:before="0" w:beforeAutospacing="0" w:after="0" w:afterAutospacing="0"/>
              <w:ind w:left="0" w:right="0"/>
              <w:rPr>
                <w:rFonts w:hint="default"/>
                <w:color w:val="auto"/>
              </w:rPr>
            </w:pPr>
            <w:r>
              <w:rPr>
                <w:rFonts w:hint="eastAsia"/>
                <w:color w:val="auto"/>
              </w:rPr>
              <w:t>《金属非金属地下矿山通信联络系统建设规范》 (AQ2036-2011)</w:t>
            </w:r>
          </w:p>
        </w:tc>
        <w:tc>
          <w:tcPr>
            <w:tcW w:w="1496" w:type="dxa"/>
            <w:tcBorders>
              <w:tl2br w:val="nil"/>
              <w:tr2bl w:val="nil"/>
            </w:tcBorders>
            <w:vAlign w:val="center"/>
          </w:tcPr>
          <w:p w14:paraId="4D9721A5">
            <w:pPr>
              <w:pStyle w:val="34"/>
              <w:keepNext w:val="0"/>
              <w:keepLines w:val="0"/>
              <w:suppressLineNumbers w:val="0"/>
              <w:spacing w:before="0" w:beforeAutospacing="0" w:after="0" w:afterAutospacing="0"/>
              <w:ind w:left="0" w:right="0"/>
              <w:rPr>
                <w:rFonts w:hint="default"/>
                <w:color w:val="auto"/>
                <w:lang w:val="en-US"/>
              </w:rPr>
            </w:pPr>
            <w:r>
              <w:rPr>
                <w:rFonts w:hint="eastAsia"/>
                <w:color w:val="auto"/>
                <w:lang w:val="en-US" w:eastAsia="zh-CN"/>
              </w:rPr>
              <w:t>设置1台30门数字程控交换机,作为矿山有线调度电话系统。在调度室、风机、空压机、采掘面、变电硐室、装卸矿点等处安装电话。通讯电缆从不同井筒进入，容量满足要求。</w:t>
            </w:r>
          </w:p>
        </w:tc>
        <w:tc>
          <w:tcPr>
            <w:tcW w:w="737" w:type="dxa"/>
            <w:tcBorders>
              <w:tl2br w:val="nil"/>
              <w:tr2bl w:val="nil"/>
            </w:tcBorders>
            <w:vAlign w:val="center"/>
          </w:tcPr>
          <w:p w14:paraId="209F297B">
            <w:pPr>
              <w:pStyle w:val="34"/>
              <w:keepNext w:val="0"/>
              <w:keepLines w:val="0"/>
              <w:suppressLineNumbers w:val="0"/>
              <w:spacing w:before="0" w:beforeAutospacing="0" w:after="0" w:afterAutospacing="0"/>
              <w:ind w:left="0" w:right="0"/>
              <w:rPr>
                <w:rFonts w:hint="default"/>
                <w:color w:val="auto"/>
              </w:rPr>
            </w:pPr>
            <w:r>
              <w:rPr>
                <w:rFonts w:hint="eastAsia"/>
                <w:color w:val="auto"/>
              </w:rPr>
              <w:t>符合</w:t>
            </w:r>
          </w:p>
        </w:tc>
      </w:tr>
    </w:tbl>
    <w:p w14:paraId="7277DBA4">
      <w:pPr>
        <w:ind w:firstLine="560"/>
        <w:rPr>
          <w:rFonts w:hint="eastAsia"/>
          <w:color w:val="auto"/>
        </w:rPr>
      </w:pPr>
      <w:r>
        <w:rPr>
          <w:rFonts w:hint="eastAsia" w:ascii="宋体" w:hAnsi="宋体" w:eastAsia="宋体"/>
          <w:color w:val="auto"/>
        </w:rPr>
        <w:t>(</w:t>
      </w:r>
      <w:r>
        <w:rPr>
          <w:rFonts w:hint="eastAsia"/>
          <w:color w:val="auto"/>
          <w:lang w:val="en-US" w:eastAsia="zh-CN"/>
        </w:rPr>
        <w:t>1</w:t>
      </w:r>
      <w:r>
        <w:rPr>
          <w:rFonts w:hint="eastAsia" w:ascii="宋体" w:hAnsi="宋体" w:eastAsia="宋体"/>
          <w:color w:val="auto"/>
        </w:rPr>
        <w:t>)</w:t>
      </w:r>
      <w:r>
        <w:rPr>
          <w:rFonts w:hint="eastAsia"/>
          <w:color w:val="auto"/>
        </w:rPr>
        <w:t>经检查，</w:t>
      </w:r>
      <w:r>
        <w:rPr>
          <w:rFonts w:hint="eastAsia"/>
          <w:color w:val="auto"/>
          <w:lang w:eastAsia="zh-CN"/>
        </w:rPr>
        <w:t>可研报告</w:t>
      </w:r>
      <w:r>
        <w:rPr>
          <w:rFonts w:hint="eastAsia"/>
          <w:color w:val="auto"/>
        </w:rPr>
        <w:t>对</w:t>
      </w:r>
      <w:r>
        <w:rPr>
          <w:rFonts w:hint="eastAsia"/>
          <w:color w:val="auto"/>
          <w:lang w:val="en-US" w:eastAsia="zh-CN"/>
        </w:rPr>
        <w:t>监测监控、人员定位、紧急避险、</w:t>
      </w:r>
      <w:r>
        <w:rPr>
          <w:rFonts w:hint="eastAsia"/>
          <w:color w:val="auto"/>
        </w:rPr>
        <w:t>压风自救、供水施救、通信联络系统进行了</w:t>
      </w:r>
      <w:r>
        <w:rPr>
          <w:rFonts w:hint="eastAsia"/>
          <w:color w:val="auto"/>
          <w:lang w:val="en-US" w:eastAsia="zh-CN"/>
        </w:rPr>
        <w:t>要求</w:t>
      </w:r>
      <w:r>
        <w:rPr>
          <w:rFonts w:hint="eastAsia"/>
          <w:color w:val="auto"/>
        </w:rPr>
        <w:t>，上述系统建设要求总体符合规范要求。</w:t>
      </w:r>
    </w:p>
    <w:p w14:paraId="20D616D2">
      <w:pPr>
        <w:ind w:firstLine="560"/>
        <w:rPr>
          <w:rFonts w:hint="eastAsia" w:ascii="宋体" w:hAnsi="宋体" w:eastAsia="宋体"/>
          <w:color w:val="auto"/>
        </w:rPr>
      </w:pPr>
      <w:r>
        <w:rPr>
          <w:rFonts w:hint="eastAsia" w:ascii="宋体" w:hAnsi="宋体" w:eastAsia="宋体"/>
          <w:color w:val="auto"/>
        </w:rPr>
        <w:t>(</w:t>
      </w:r>
      <w:r>
        <w:rPr>
          <w:rFonts w:hint="eastAsia" w:ascii="宋体" w:hAnsi="宋体" w:eastAsia="宋体"/>
          <w:color w:val="auto"/>
          <w:lang w:val="en-US" w:eastAsia="zh-CN"/>
        </w:rPr>
        <w:t>2</w:t>
      </w:r>
      <w:r>
        <w:rPr>
          <w:rFonts w:hint="eastAsia" w:ascii="宋体" w:hAnsi="宋体" w:eastAsia="宋体"/>
          <w:color w:val="auto"/>
        </w:rPr>
        <w:t>)下步安全设施设计时需完善的问题：</w:t>
      </w:r>
    </w:p>
    <w:p w14:paraId="637187CA">
      <w:pPr>
        <w:ind w:firstLine="560"/>
        <w:rPr>
          <w:rFonts w:hint="eastAsia" w:ascii="宋体" w:hAnsi="宋体" w:eastAsia="宋体"/>
          <w:color w:val="auto"/>
        </w:rPr>
      </w:pPr>
      <w:r>
        <w:rPr>
          <w:rFonts w:hint="eastAsia"/>
          <w:color w:val="auto"/>
          <w:lang w:val="en-US" w:eastAsia="zh-CN"/>
        </w:rPr>
        <w:t>空压机设备保护的具体要求和压风管路设置要求</w:t>
      </w:r>
      <w:r>
        <w:rPr>
          <w:rFonts w:hint="eastAsia" w:ascii="宋体" w:hAnsi="宋体" w:eastAsia="宋体"/>
          <w:color w:val="auto"/>
        </w:rPr>
        <w:t>。</w:t>
      </w:r>
    </w:p>
    <w:p w14:paraId="502CCA8B">
      <w:pPr>
        <w:ind w:firstLine="560"/>
        <w:rPr>
          <w:rFonts w:hint="eastAsia" w:ascii="宋体" w:hAnsi="宋体" w:eastAsia="宋体"/>
          <w:color w:val="auto"/>
        </w:rPr>
      </w:pPr>
    </w:p>
    <w:p w14:paraId="27B34A5A">
      <w:pPr>
        <w:ind w:firstLine="560"/>
        <w:rPr>
          <w:rFonts w:hint="eastAsia" w:ascii="宋体" w:hAnsi="宋体" w:eastAsia="宋体"/>
          <w:color w:val="auto"/>
        </w:rPr>
      </w:pPr>
    </w:p>
    <w:p w14:paraId="7270F33C">
      <w:pPr>
        <w:ind w:firstLine="560"/>
        <w:rPr>
          <w:rFonts w:hint="eastAsia" w:ascii="宋体" w:hAnsi="宋体" w:eastAsia="宋体"/>
          <w:color w:val="auto"/>
        </w:rPr>
      </w:pPr>
    </w:p>
    <w:p w14:paraId="2F0EE39A">
      <w:pPr>
        <w:ind w:firstLine="560"/>
        <w:rPr>
          <w:rFonts w:hint="eastAsia" w:ascii="宋体" w:hAnsi="宋体" w:eastAsia="宋体"/>
          <w:color w:val="auto"/>
        </w:rPr>
      </w:pPr>
    </w:p>
    <w:p w14:paraId="562A7F0A">
      <w:pPr>
        <w:pStyle w:val="3"/>
        <w:spacing w:before="120" w:beforeLines="0" w:after="120" w:afterLines="0" w:line="560" w:lineRule="exact"/>
        <w:rPr>
          <w:color w:val="auto"/>
        </w:rPr>
      </w:pPr>
      <w:bookmarkStart w:id="129" w:name="_Toc21700"/>
      <w:bookmarkStart w:id="130" w:name="_Toc26078"/>
      <w:r>
        <w:rPr>
          <w:rFonts w:hint="eastAsia"/>
          <w:color w:val="auto"/>
        </w:rPr>
        <w:t>3.</w:t>
      </w:r>
      <w:r>
        <w:rPr>
          <w:rFonts w:hint="eastAsia"/>
          <w:color w:val="auto"/>
          <w:lang w:val="en-US" w:eastAsia="zh-CN"/>
        </w:rPr>
        <w:t>9</w:t>
      </w:r>
      <w:r>
        <w:rPr>
          <w:rFonts w:hint="eastAsia"/>
          <w:color w:val="auto"/>
        </w:rPr>
        <w:t xml:space="preserve"> </w:t>
      </w:r>
      <w:r>
        <w:rPr>
          <w:color w:val="auto"/>
        </w:rPr>
        <w:t>安全管理</w:t>
      </w:r>
      <w:r>
        <w:rPr>
          <w:rFonts w:hint="eastAsia"/>
          <w:color w:val="auto"/>
        </w:rPr>
        <w:t>单元</w:t>
      </w:r>
      <w:bookmarkEnd w:id="129"/>
      <w:bookmarkEnd w:id="130"/>
    </w:p>
    <w:p w14:paraId="1079F1A2">
      <w:pPr>
        <w:ind w:firstLine="560"/>
        <w:rPr>
          <w:rFonts w:hAnsi="宋体" w:cs="宋体"/>
          <w:b/>
          <w:color w:val="auto"/>
          <w:szCs w:val="28"/>
        </w:rPr>
      </w:pPr>
      <w:r>
        <w:rPr>
          <w:rFonts w:hint="eastAsia" w:hAnsi="宋体" w:cs="宋体"/>
          <w:color w:val="auto"/>
          <w:szCs w:val="28"/>
        </w:rPr>
        <w:t>本单元采用安全检查表法对安全生产管理单元进行评价，见下表3.</w:t>
      </w:r>
      <w:r>
        <w:rPr>
          <w:rFonts w:hint="eastAsia" w:cs="宋体"/>
          <w:color w:val="auto"/>
          <w:szCs w:val="28"/>
          <w:lang w:val="en-US" w:eastAsia="zh-CN"/>
        </w:rPr>
        <w:t>9</w:t>
      </w:r>
      <w:r>
        <w:rPr>
          <w:rFonts w:hint="eastAsia" w:hAnsi="宋体" w:cs="宋体"/>
          <w:color w:val="auto"/>
          <w:szCs w:val="28"/>
        </w:rPr>
        <w:t>。</w:t>
      </w:r>
    </w:p>
    <w:p w14:paraId="74D838F7">
      <w:pPr>
        <w:ind w:firstLine="0" w:firstLineChars="0"/>
        <w:jc w:val="center"/>
        <w:rPr>
          <w:rFonts w:hAnsi="宋体"/>
          <w:b/>
          <w:color w:val="auto"/>
          <w:kern w:val="0"/>
          <w:szCs w:val="28"/>
        </w:rPr>
      </w:pPr>
      <w:r>
        <w:rPr>
          <w:rFonts w:hAnsi="宋体"/>
          <w:b/>
          <w:color w:val="auto"/>
          <w:kern w:val="0"/>
          <w:szCs w:val="28"/>
        </w:rPr>
        <w:t>表3</w:t>
      </w:r>
      <w:r>
        <w:rPr>
          <w:rFonts w:hint="eastAsia" w:hAnsi="宋体"/>
          <w:b/>
          <w:color w:val="auto"/>
          <w:kern w:val="0"/>
          <w:szCs w:val="28"/>
        </w:rPr>
        <w:t>.</w:t>
      </w:r>
      <w:r>
        <w:rPr>
          <w:rFonts w:hint="eastAsia"/>
          <w:b/>
          <w:color w:val="auto"/>
          <w:kern w:val="0"/>
          <w:szCs w:val="28"/>
          <w:lang w:val="en-US" w:eastAsia="zh-CN"/>
        </w:rPr>
        <w:t>9</w:t>
      </w:r>
      <w:r>
        <w:rPr>
          <w:rFonts w:hint="eastAsia" w:hAnsi="宋体"/>
          <w:b/>
          <w:color w:val="auto"/>
          <w:kern w:val="0"/>
          <w:szCs w:val="28"/>
        </w:rPr>
        <w:t xml:space="preserve">  </w:t>
      </w:r>
      <w:r>
        <w:rPr>
          <w:rFonts w:hAnsi="宋体"/>
          <w:b/>
          <w:color w:val="auto"/>
          <w:kern w:val="0"/>
          <w:szCs w:val="28"/>
        </w:rPr>
        <w:t>安全管理单元安全检查表</w:t>
      </w:r>
    </w:p>
    <w:tbl>
      <w:tblPr>
        <w:tblStyle w:val="24"/>
        <w:tblW w:w="4994" w:type="pct"/>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692"/>
        <w:gridCol w:w="3738"/>
        <w:gridCol w:w="1764"/>
        <w:gridCol w:w="2629"/>
        <w:gridCol w:w="680"/>
      </w:tblGrid>
      <w:tr w14:paraId="4C4A4D3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tblHeader/>
        </w:trPr>
        <w:tc>
          <w:tcPr>
            <w:tcW w:w="364" w:type="pct"/>
            <w:tcBorders>
              <w:tl2br w:val="nil"/>
              <w:tr2bl w:val="nil"/>
            </w:tcBorders>
            <w:vAlign w:val="center"/>
          </w:tcPr>
          <w:p w14:paraId="3B092B1F">
            <w:pPr>
              <w:keepNext w:val="0"/>
              <w:keepLines w:val="0"/>
              <w:suppressLineNumbers w:val="0"/>
              <w:spacing w:before="0" w:beforeAutospacing="0" w:after="0" w:afterAutospacing="0" w:line="300" w:lineRule="exact"/>
              <w:ind w:left="0" w:right="0" w:firstLine="0" w:firstLineChars="0"/>
              <w:jc w:val="center"/>
              <w:rPr>
                <w:rFonts w:hint="default" w:hAnsi="宋体"/>
                <w:b/>
                <w:color w:val="auto"/>
                <w:kern w:val="44"/>
                <w:sz w:val="21"/>
                <w:szCs w:val="21"/>
              </w:rPr>
            </w:pPr>
            <w:r>
              <w:rPr>
                <w:rFonts w:hint="eastAsia" w:hAnsi="宋体"/>
                <w:b/>
                <w:color w:val="auto"/>
                <w:kern w:val="44"/>
                <w:sz w:val="21"/>
                <w:szCs w:val="21"/>
              </w:rPr>
              <w:t>序号</w:t>
            </w:r>
          </w:p>
        </w:tc>
        <w:tc>
          <w:tcPr>
            <w:tcW w:w="1967" w:type="pct"/>
            <w:tcBorders>
              <w:tl2br w:val="nil"/>
              <w:tr2bl w:val="nil"/>
            </w:tcBorders>
            <w:vAlign w:val="center"/>
          </w:tcPr>
          <w:p w14:paraId="20A1EF6C">
            <w:pPr>
              <w:keepNext w:val="0"/>
              <w:keepLines w:val="0"/>
              <w:suppressLineNumbers w:val="0"/>
              <w:spacing w:before="0" w:beforeAutospacing="0" w:after="0" w:afterAutospacing="0" w:line="300" w:lineRule="exact"/>
              <w:ind w:left="0" w:right="0" w:firstLine="0" w:firstLineChars="0"/>
              <w:jc w:val="center"/>
              <w:rPr>
                <w:rFonts w:hint="default" w:hAnsi="宋体"/>
                <w:b/>
                <w:color w:val="auto"/>
                <w:kern w:val="44"/>
                <w:sz w:val="21"/>
                <w:szCs w:val="21"/>
              </w:rPr>
            </w:pPr>
            <w:r>
              <w:rPr>
                <w:rFonts w:hint="eastAsia" w:hAnsi="宋体"/>
                <w:b/>
                <w:color w:val="auto"/>
                <w:kern w:val="44"/>
                <w:sz w:val="21"/>
                <w:szCs w:val="21"/>
              </w:rPr>
              <w:t>标准规范</w:t>
            </w:r>
          </w:p>
        </w:tc>
        <w:tc>
          <w:tcPr>
            <w:tcW w:w="928" w:type="pct"/>
            <w:tcBorders>
              <w:tl2br w:val="nil"/>
              <w:tr2bl w:val="nil"/>
            </w:tcBorders>
            <w:vAlign w:val="center"/>
          </w:tcPr>
          <w:p w14:paraId="0ECC91F9">
            <w:pPr>
              <w:keepNext w:val="0"/>
              <w:keepLines w:val="0"/>
              <w:suppressLineNumbers w:val="0"/>
              <w:spacing w:before="0" w:beforeAutospacing="0" w:after="0" w:afterAutospacing="0" w:line="300" w:lineRule="exact"/>
              <w:ind w:left="0" w:right="0" w:firstLine="0" w:firstLineChars="0"/>
              <w:jc w:val="center"/>
              <w:rPr>
                <w:rFonts w:hint="default" w:hAnsi="宋体"/>
                <w:b/>
                <w:color w:val="auto"/>
                <w:kern w:val="44"/>
                <w:sz w:val="21"/>
                <w:szCs w:val="21"/>
              </w:rPr>
            </w:pPr>
            <w:r>
              <w:rPr>
                <w:rFonts w:hint="eastAsia" w:hAnsi="宋体"/>
                <w:b/>
                <w:color w:val="auto"/>
                <w:kern w:val="44"/>
                <w:sz w:val="21"/>
                <w:szCs w:val="21"/>
              </w:rPr>
              <w:t>检查依据</w:t>
            </w:r>
          </w:p>
        </w:tc>
        <w:tc>
          <w:tcPr>
            <w:tcW w:w="1383" w:type="pct"/>
            <w:tcBorders>
              <w:tl2br w:val="nil"/>
              <w:tr2bl w:val="nil"/>
            </w:tcBorders>
            <w:vAlign w:val="center"/>
          </w:tcPr>
          <w:p w14:paraId="0145118C">
            <w:pPr>
              <w:keepNext w:val="0"/>
              <w:keepLines w:val="0"/>
              <w:suppressLineNumbers w:val="0"/>
              <w:spacing w:before="0" w:beforeAutospacing="0" w:after="0" w:afterAutospacing="0" w:line="300" w:lineRule="exact"/>
              <w:ind w:left="0" w:right="0" w:firstLine="0" w:firstLineChars="0"/>
              <w:jc w:val="center"/>
              <w:rPr>
                <w:rFonts w:hint="default" w:hAnsi="宋体"/>
                <w:b/>
                <w:color w:val="auto"/>
                <w:kern w:val="44"/>
                <w:sz w:val="21"/>
                <w:szCs w:val="21"/>
              </w:rPr>
            </w:pPr>
            <w:r>
              <w:rPr>
                <w:rFonts w:hint="eastAsia" w:hAnsi="宋体"/>
                <w:b/>
                <w:color w:val="auto"/>
                <w:kern w:val="44"/>
                <w:sz w:val="21"/>
                <w:szCs w:val="21"/>
              </w:rPr>
              <w:t>检查情况</w:t>
            </w:r>
          </w:p>
        </w:tc>
        <w:tc>
          <w:tcPr>
            <w:tcW w:w="356" w:type="pct"/>
            <w:tcBorders>
              <w:tl2br w:val="nil"/>
              <w:tr2bl w:val="nil"/>
            </w:tcBorders>
            <w:vAlign w:val="center"/>
          </w:tcPr>
          <w:p w14:paraId="5695D2C0">
            <w:pPr>
              <w:keepNext w:val="0"/>
              <w:keepLines w:val="0"/>
              <w:suppressLineNumbers w:val="0"/>
              <w:tabs>
                <w:tab w:val="left" w:pos="7080"/>
              </w:tabs>
              <w:spacing w:before="0" w:beforeAutospacing="0" w:after="0" w:afterAutospacing="0" w:line="300" w:lineRule="exact"/>
              <w:ind w:left="0" w:right="0" w:firstLine="0" w:firstLineChars="0"/>
              <w:jc w:val="center"/>
              <w:rPr>
                <w:rFonts w:hint="default" w:hAnsi="宋体"/>
                <w:b/>
                <w:color w:val="auto"/>
                <w:sz w:val="21"/>
                <w:szCs w:val="21"/>
              </w:rPr>
            </w:pPr>
            <w:r>
              <w:rPr>
                <w:rFonts w:hint="eastAsia" w:hAnsi="宋体"/>
                <w:b/>
                <w:color w:val="auto"/>
                <w:sz w:val="21"/>
                <w:szCs w:val="21"/>
              </w:rPr>
              <w:t>检查</w:t>
            </w:r>
          </w:p>
          <w:p w14:paraId="4D655017">
            <w:pPr>
              <w:keepNext w:val="0"/>
              <w:keepLines w:val="0"/>
              <w:suppressLineNumbers w:val="0"/>
              <w:spacing w:before="0" w:beforeAutospacing="0" w:after="0" w:afterAutospacing="0" w:line="300" w:lineRule="exact"/>
              <w:ind w:left="0" w:right="0" w:firstLine="0" w:firstLineChars="0"/>
              <w:jc w:val="center"/>
              <w:rPr>
                <w:rFonts w:hint="default" w:hAnsi="宋体"/>
                <w:b/>
                <w:color w:val="auto"/>
                <w:kern w:val="44"/>
                <w:sz w:val="21"/>
                <w:szCs w:val="21"/>
              </w:rPr>
            </w:pPr>
            <w:r>
              <w:rPr>
                <w:rFonts w:hint="eastAsia" w:hAnsi="宋体"/>
                <w:b/>
                <w:color w:val="auto"/>
                <w:kern w:val="44"/>
                <w:sz w:val="21"/>
                <w:szCs w:val="21"/>
              </w:rPr>
              <w:t>结果</w:t>
            </w:r>
          </w:p>
        </w:tc>
      </w:tr>
      <w:tr w14:paraId="2C99BC1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trPr>
        <w:tc>
          <w:tcPr>
            <w:tcW w:w="5000" w:type="pct"/>
            <w:gridSpan w:val="5"/>
            <w:tcBorders>
              <w:tl2br w:val="nil"/>
              <w:tr2bl w:val="nil"/>
            </w:tcBorders>
            <w:vAlign w:val="center"/>
          </w:tcPr>
          <w:p w14:paraId="348EA531">
            <w:pPr>
              <w:keepNext w:val="0"/>
              <w:keepLines w:val="0"/>
              <w:suppressLineNumbers w:val="0"/>
              <w:spacing w:before="0" w:beforeAutospacing="0" w:after="0" w:afterAutospacing="0" w:line="300" w:lineRule="exact"/>
              <w:ind w:left="0" w:right="0" w:firstLine="0" w:firstLineChars="0"/>
              <w:jc w:val="center"/>
              <w:rPr>
                <w:rFonts w:hint="default" w:hAnsi="宋体"/>
                <w:color w:val="auto"/>
                <w:kern w:val="44"/>
                <w:sz w:val="21"/>
                <w:szCs w:val="21"/>
              </w:rPr>
            </w:pPr>
            <w:r>
              <w:rPr>
                <w:rFonts w:hint="eastAsia" w:hAnsi="宋体"/>
                <w:b/>
                <w:color w:val="auto"/>
                <w:kern w:val="44"/>
                <w:sz w:val="21"/>
                <w:szCs w:val="21"/>
              </w:rPr>
              <w:t>一、安全生产管理机构及人员配置</w:t>
            </w:r>
          </w:p>
        </w:tc>
      </w:tr>
      <w:tr w14:paraId="02F2157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trPr>
        <w:tc>
          <w:tcPr>
            <w:tcW w:w="364" w:type="pct"/>
            <w:tcBorders>
              <w:tl2br w:val="nil"/>
              <w:tr2bl w:val="nil"/>
            </w:tcBorders>
            <w:vAlign w:val="center"/>
          </w:tcPr>
          <w:p w14:paraId="6E208965">
            <w:pPr>
              <w:keepNext w:val="0"/>
              <w:keepLines w:val="0"/>
              <w:suppressLineNumbers w:val="0"/>
              <w:spacing w:before="0" w:beforeAutospacing="0" w:after="0" w:afterAutospacing="0" w:line="300" w:lineRule="exact"/>
              <w:ind w:left="0" w:right="0" w:firstLine="0" w:firstLineChars="0"/>
              <w:jc w:val="center"/>
              <w:rPr>
                <w:rFonts w:hint="default" w:hAnsi="宋体"/>
                <w:color w:val="auto"/>
                <w:kern w:val="44"/>
                <w:sz w:val="21"/>
                <w:szCs w:val="21"/>
              </w:rPr>
            </w:pPr>
            <w:r>
              <w:rPr>
                <w:rFonts w:hint="eastAsia" w:hAnsi="宋体"/>
                <w:color w:val="auto"/>
                <w:kern w:val="44"/>
                <w:sz w:val="21"/>
                <w:szCs w:val="21"/>
              </w:rPr>
              <w:t>1</w:t>
            </w:r>
          </w:p>
        </w:tc>
        <w:tc>
          <w:tcPr>
            <w:tcW w:w="1967" w:type="pct"/>
            <w:tcBorders>
              <w:tl2br w:val="nil"/>
              <w:tr2bl w:val="nil"/>
            </w:tcBorders>
            <w:vAlign w:val="center"/>
          </w:tcPr>
          <w:p w14:paraId="0CBA5409">
            <w:pPr>
              <w:keepNext w:val="0"/>
              <w:keepLines w:val="0"/>
              <w:suppressLineNumbers w:val="0"/>
              <w:spacing w:before="0" w:beforeAutospacing="0" w:after="0" w:afterAutospacing="0" w:line="300" w:lineRule="exact"/>
              <w:ind w:left="0" w:right="0" w:firstLine="0" w:firstLineChars="0"/>
              <w:rPr>
                <w:rFonts w:hint="default" w:hAnsi="宋体"/>
                <w:color w:val="auto"/>
                <w:kern w:val="44"/>
                <w:sz w:val="21"/>
                <w:szCs w:val="21"/>
              </w:rPr>
            </w:pPr>
            <w:r>
              <w:rPr>
                <w:rFonts w:hint="eastAsia" w:hAnsi="宋体"/>
                <w:color w:val="auto"/>
                <w:kern w:val="44"/>
                <w:sz w:val="21"/>
                <w:szCs w:val="21"/>
              </w:rPr>
              <w:t>生产经营单位的主要负责人是本单位安全生产第一负责人，对本单位的安全生产工作全面负责。其他负责人对职责范围内的安全生产工作负责。</w:t>
            </w:r>
          </w:p>
        </w:tc>
        <w:tc>
          <w:tcPr>
            <w:tcW w:w="928" w:type="pct"/>
            <w:tcBorders>
              <w:tl2br w:val="nil"/>
              <w:tr2bl w:val="nil"/>
            </w:tcBorders>
            <w:vAlign w:val="center"/>
          </w:tcPr>
          <w:p w14:paraId="169DE48D">
            <w:pPr>
              <w:keepNext w:val="0"/>
              <w:keepLines w:val="0"/>
              <w:suppressLineNumbers w:val="0"/>
              <w:spacing w:before="0" w:beforeAutospacing="0" w:after="0" w:afterAutospacing="0" w:line="300" w:lineRule="exact"/>
              <w:ind w:left="0" w:right="0" w:firstLine="0" w:firstLineChars="0"/>
              <w:jc w:val="center"/>
              <w:rPr>
                <w:rFonts w:hint="default" w:hAnsi="宋体"/>
                <w:color w:val="auto"/>
                <w:kern w:val="44"/>
                <w:sz w:val="21"/>
                <w:szCs w:val="21"/>
              </w:rPr>
            </w:pPr>
            <w:r>
              <w:rPr>
                <w:rFonts w:hint="eastAsia" w:hAnsi="宋体"/>
                <w:color w:val="auto"/>
                <w:kern w:val="44"/>
                <w:sz w:val="21"/>
                <w:szCs w:val="21"/>
              </w:rPr>
              <w:t>《中华人民共和国安全生产法》第五条</w:t>
            </w:r>
          </w:p>
        </w:tc>
        <w:tc>
          <w:tcPr>
            <w:tcW w:w="1383" w:type="pct"/>
            <w:tcBorders>
              <w:tl2br w:val="nil"/>
              <w:tr2bl w:val="nil"/>
            </w:tcBorders>
            <w:vAlign w:val="center"/>
          </w:tcPr>
          <w:p w14:paraId="680213B3">
            <w:pPr>
              <w:keepNext w:val="0"/>
              <w:keepLines w:val="0"/>
              <w:suppressLineNumbers w:val="0"/>
              <w:spacing w:before="0" w:beforeAutospacing="0" w:after="0" w:afterAutospacing="0" w:line="300" w:lineRule="exact"/>
              <w:ind w:left="0" w:right="0" w:firstLine="0" w:firstLineChars="0"/>
              <w:jc w:val="left"/>
              <w:rPr>
                <w:rFonts w:hint="default" w:hAnsi="宋体"/>
                <w:color w:val="auto"/>
                <w:kern w:val="44"/>
                <w:sz w:val="21"/>
                <w:szCs w:val="21"/>
              </w:rPr>
            </w:pPr>
            <w:r>
              <w:rPr>
                <w:rFonts w:hint="eastAsia" w:hAnsi="宋体"/>
                <w:color w:val="auto"/>
                <w:kern w:val="44"/>
                <w:sz w:val="21"/>
                <w:szCs w:val="21"/>
              </w:rPr>
              <w:t>该矿山法定代表人为安全生产第一责任人。</w:t>
            </w:r>
          </w:p>
        </w:tc>
        <w:tc>
          <w:tcPr>
            <w:tcW w:w="356" w:type="pct"/>
            <w:tcBorders>
              <w:tl2br w:val="nil"/>
              <w:tr2bl w:val="nil"/>
            </w:tcBorders>
            <w:vAlign w:val="center"/>
          </w:tcPr>
          <w:p w14:paraId="7F05EDE0">
            <w:pPr>
              <w:keepNext w:val="0"/>
              <w:keepLines w:val="0"/>
              <w:suppressLineNumbers w:val="0"/>
              <w:spacing w:before="0" w:beforeAutospacing="0" w:after="0" w:afterAutospacing="0" w:line="300" w:lineRule="exact"/>
              <w:ind w:left="0" w:right="0" w:firstLine="0" w:firstLineChars="0"/>
              <w:jc w:val="center"/>
              <w:rPr>
                <w:rFonts w:hint="default" w:hAnsi="宋体"/>
                <w:color w:val="auto"/>
                <w:kern w:val="44"/>
                <w:sz w:val="21"/>
                <w:szCs w:val="21"/>
              </w:rPr>
            </w:pPr>
            <w:r>
              <w:rPr>
                <w:rFonts w:hint="eastAsia" w:hAnsi="宋体"/>
                <w:color w:val="auto"/>
                <w:kern w:val="44"/>
                <w:sz w:val="21"/>
                <w:szCs w:val="21"/>
              </w:rPr>
              <w:t>符合</w:t>
            </w:r>
          </w:p>
        </w:tc>
      </w:tr>
      <w:tr w14:paraId="0C73817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trPr>
        <w:tc>
          <w:tcPr>
            <w:tcW w:w="364" w:type="pct"/>
            <w:tcBorders>
              <w:tl2br w:val="nil"/>
              <w:tr2bl w:val="nil"/>
            </w:tcBorders>
            <w:vAlign w:val="center"/>
          </w:tcPr>
          <w:p w14:paraId="7667334C">
            <w:pPr>
              <w:keepNext w:val="0"/>
              <w:keepLines w:val="0"/>
              <w:suppressLineNumbers w:val="0"/>
              <w:spacing w:before="0" w:beforeAutospacing="0" w:after="0" w:afterAutospacing="0" w:line="300" w:lineRule="exact"/>
              <w:ind w:left="0" w:right="0" w:firstLine="0" w:firstLineChars="0"/>
              <w:jc w:val="center"/>
              <w:rPr>
                <w:rFonts w:hint="default" w:hAnsi="宋体"/>
                <w:color w:val="auto"/>
                <w:kern w:val="44"/>
                <w:sz w:val="21"/>
                <w:szCs w:val="21"/>
              </w:rPr>
            </w:pPr>
            <w:r>
              <w:rPr>
                <w:rFonts w:hint="eastAsia" w:hAnsi="宋体"/>
                <w:color w:val="auto"/>
                <w:kern w:val="44"/>
                <w:sz w:val="21"/>
                <w:szCs w:val="21"/>
              </w:rPr>
              <w:t>2</w:t>
            </w:r>
          </w:p>
        </w:tc>
        <w:tc>
          <w:tcPr>
            <w:tcW w:w="1967" w:type="pct"/>
            <w:tcBorders>
              <w:tl2br w:val="nil"/>
              <w:tr2bl w:val="nil"/>
            </w:tcBorders>
            <w:vAlign w:val="center"/>
          </w:tcPr>
          <w:p w14:paraId="09E66734">
            <w:pPr>
              <w:keepNext w:val="0"/>
              <w:keepLines w:val="0"/>
              <w:suppressLineNumbers w:val="0"/>
              <w:spacing w:before="0" w:beforeAutospacing="0" w:after="0" w:afterAutospacing="0" w:line="300" w:lineRule="exact"/>
              <w:ind w:left="0" w:right="0" w:firstLine="0" w:firstLineChars="0"/>
              <w:rPr>
                <w:rFonts w:hint="eastAsia" w:hAnsi="宋体" w:eastAsia="宋体" w:cs="宋体"/>
                <w:color w:val="auto"/>
                <w:kern w:val="44"/>
                <w:sz w:val="21"/>
                <w:szCs w:val="21"/>
                <w:lang w:eastAsia="zh-CN"/>
              </w:rPr>
            </w:pPr>
            <w:r>
              <w:rPr>
                <w:rFonts w:hint="eastAsia" w:hAnsi="宋体"/>
                <w:color w:val="auto"/>
                <w:kern w:val="44"/>
                <w:sz w:val="21"/>
                <w:szCs w:val="21"/>
              </w:rPr>
              <w:t>非煤矿山企业必须依法设立安全管理机构或者配备专职安全生产管理人员，应当有注册安全工程师从事安全生产管理工作。专职安全生产管理人员应当从事矿山工作5年及以上、具有相应的非煤矿山安全生产专业知识和工作经验并熟悉本矿生产系统。专职安全生产管理人员数量按不少于从业人数的百分之一配备，且每个金属非金属地下矿山独立生产系统</w:t>
            </w:r>
            <w:r>
              <w:rPr>
                <w:rFonts w:hint="eastAsia"/>
                <w:color w:val="auto"/>
                <w:kern w:val="44"/>
                <w:sz w:val="21"/>
                <w:szCs w:val="21"/>
                <w:lang w:eastAsia="zh-CN"/>
              </w:rPr>
              <w:t>(</w:t>
            </w:r>
            <w:r>
              <w:rPr>
                <w:rFonts w:hint="eastAsia" w:hAnsi="宋体"/>
                <w:color w:val="auto"/>
                <w:kern w:val="44"/>
                <w:sz w:val="21"/>
                <w:szCs w:val="21"/>
              </w:rPr>
              <w:t>不含外包施工单位</w:t>
            </w:r>
            <w:r>
              <w:rPr>
                <w:rFonts w:hint="eastAsia"/>
                <w:color w:val="auto"/>
                <w:kern w:val="44"/>
                <w:sz w:val="21"/>
                <w:szCs w:val="21"/>
                <w:lang w:eastAsia="zh-CN"/>
              </w:rPr>
              <w:t>)</w:t>
            </w:r>
            <w:r>
              <w:rPr>
                <w:rFonts w:hint="eastAsia" w:hAnsi="宋体"/>
                <w:color w:val="auto"/>
                <w:kern w:val="44"/>
                <w:sz w:val="21"/>
                <w:szCs w:val="21"/>
              </w:rPr>
              <w:t>应当不少于3人</w:t>
            </w:r>
            <w:r>
              <w:rPr>
                <w:rFonts w:hint="eastAsia"/>
                <w:color w:val="auto"/>
                <w:kern w:val="44"/>
                <w:sz w:val="21"/>
                <w:szCs w:val="21"/>
                <w:lang w:eastAsia="zh-CN"/>
              </w:rPr>
              <w:t>。</w:t>
            </w:r>
          </w:p>
        </w:tc>
        <w:tc>
          <w:tcPr>
            <w:tcW w:w="928" w:type="pct"/>
            <w:tcBorders>
              <w:tl2br w:val="nil"/>
              <w:tr2bl w:val="nil"/>
            </w:tcBorders>
            <w:vAlign w:val="center"/>
          </w:tcPr>
          <w:p w14:paraId="1783977B">
            <w:pPr>
              <w:keepNext w:val="0"/>
              <w:keepLines w:val="0"/>
              <w:suppressLineNumbers w:val="0"/>
              <w:spacing w:before="0" w:beforeAutospacing="0" w:after="0" w:afterAutospacing="0" w:line="300" w:lineRule="exact"/>
              <w:ind w:left="0" w:right="0" w:firstLine="0" w:firstLineChars="0"/>
              <w:jc w:val="center"/>
              <w:rPr>
                <w:rFonts w:hint="default" w:hAnsi="宋体"/>
                <w:color w:val="auto"/>
                <w:kern w:val="44"/>
                <w:sz w:val="21"/>
                <w:szCs w:val="21"/>
              </w:rPr>
            </w:pPr>
            <w:r>
              <w:rPr>
                <w:rFonts w:hint="eastAsia" w:hAnsi="宋体"/>
                <w:color w:val="auto"/>
                <w:kern w:val="44"/>
                <w:sz w:val="21"/>
                <w:szCs w:val="21"/>
              </w:rPr>
              <w:t>国家矿山安全监察局关于印发《关于加强非煤矿山安全生产工作的指导意见》的通知矿安【2022】4号</w:t>
            </w:r>
          </w:p>
        </w:tc>
        <w:tc>
          <w:tcPr>
            <w:tcW w:w="1383" w:type="pct"/>
            <w:tcBorders>
              <w:tl2br w:val="nil"/>
              <w:tr2bl w:val="nil"/>
            </w:tcBorders>
            <w:vAlign w:val="center"/>
          </w:tcPr>
          <w:p w14:paraId="76755D73">
            <w:pPr>
              <w:keepNext w:val="0"/>
              <w:keepLines w:val="0"/>
              <w:suppressLineNumbers w:val="0"/>
              <w:spacing w:before="0" w:beforeAutospacing="0" w:after="0" w:afterAutospacing="0" w:line="300" w:lineRule="exact"/>
              <w:ind w:left="0" w:right="0" w:firstLine="0" w:firstLineChars="0"/>
              <w:rPr>
                <w:rFonts w:hint="default" w:hAnsi="宋体" w:cs="宋体"/>
                <w:color w:val="auto"/>
                <w:kern w:val="44"/>
                <w:sz w:val="21"/>
                <w:szCs w:val="21"/>
                <w:lang w:val="en-US"/>
              </w:rPr>
            </w:pPr>
            <w:r>
              <w:rPr>
                <w:rFonts w:hint="eastAsia" w:hAnsi="宋体" w:cs="宋体"/>
                <w:color w:val="auto"/>
                <w:kern w:val="44"/>
                <w:sz w:val="21"/>
                <w:szCs w:val="21"/>
              </w:rPr>
              <w:t>该矿山</w:t>
            </w:r>
            <w:r>
              <w:rPr>
                <w:rFonts w:hint="eastAsia" w:cs="宋体"/>
                <w:color w:val="auto"/>
                <w:kern w:val="44"/>
                <w:sz w:val="21"/>
                <w:szCs w:val="21"/>
                <w:lang w:val="en-US" w:eastAsia="zh-CN"/>
              </w:rPr>
              <w:t>拟</w:t>
            </w:r>
            <w:r>
              <w:rPr>
                <w:rFonts w:hint="eastAsia" w:hAnsi="宋体" w:cs="宋体"/>
                <w:color w:val="auto"/>
                <w:kern w:val="44"/>
                <w:sz w:val="21"/>
                <w:szCs w:val="21"/>
              </w:rPr>
              <w:t>成立</w:t>
            </w:r>
            <w:r>
              <w:rPr>
                <w:rFonts w:hint="eastAsia" w:cs="宋体"/>
                <w:color w:val="auto"/>
                <w:kern w:val="44"/>
                <w:sz w:val="21"/>
                <w:szCs w:val="21"/>
                <w:lang w:val="en-US" w:eastAsia="zh-CN"/>
              </w:rPr>
              <w:t>安全科，配备专职安全管理人员3人。注册安全工程师未做要求。</w:t>
            </w:r>
          </w:p>
        </w:tc>
        <w:tc>
          <w:tcPr>
            <w:tcW w:w="356" w:type="pct"/>
            <w:tcBorders>
              <w:tl2br w:val="nil"/>
              <w:tr2bl w:val="nil"/>
            </w:tcBorders>
            <w:vAlign w:val="center"/>
          </w:tcPr>
          <w:p w14:paraId="7B3196AC">
            <w:pPr>
              <w:keepNext w:val="0"/>
              <w:keepLines w:val="0"/>
              <w:suppressLineNumbers w:val="0"/>
              <w:spacing w:before="0" w:beforeAutospacing="0" w:after="0" w:afterAutospacing="0" w:line="300" w:lineRule="exact"/>
              <w:ind w:left="0" w:right="0" w:firstLine="0" w:firstLineChars="0"/>
              <w:jc w:val="center"/>
              <w:rPr>
                <w:rFonts w:hint="default" w:hAnsi="宋体"/>
                <w:color w:val="auto"/>
                <w:kern w:val="44"/>
                <w:sz w:val="21"/>
                <w:szCs w:val="21"/>
              </w:rPr>
            </w:pPr>
            <w:r>
              <w:rPr>
                <w:rFonts w:hint="eastAsia"/>
                <w:color w:val="auto"/>
                <w:kern w:val="44"/>
                <w:sz w:val="21"/>
                <w:szCs w:val="21"/>
                <w:lang w:val="en-US" w:eastAsia="zh-CN"/>
              </w:rPr>
              <w:t>不</w:t>
            </w:r>
            <w:r>
              <w:rPr>
                <w:rFonts w:hint="eastAsia" w:hAnsi="宋体"/>
                <w:color w:val="auto"/>
                <w:kern w:val="44"/>
                <w:sz w:val="21"/>
                <w:szCs w:val="21"/>
              </w:rPr>
              <w:t>符合</w:t>
            </w:r>
          </w:p>
        </w:tc>
      </w:tr>
      <w:tr w14:paraId="2A4DCC4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trPr>
        <w:tc>
          <w:tcPr>
            <w:tcW w:w="364" w:type="pct"/>
            <w:tcBorders>
              <w:tl2br w:val="nil"/>
              <w:tr2bl w:val="nil"/>
            </w:tcBorders>
            <w:vAlign w:val="center"/>
          </w:tcPr>
          <w:p w14:paraId="1BD4B9D7">
            <w:pPr>
              <w:keepNext w:val="0"/>
              <w:keepLines w:val="0"/>
              <w:suppressLineNumbers w:val="0"/>
              <w:spacing w:before="0" w:beforeAutospacing="0" w:after="0" w:afterAutospacing="0" w:line="300" w:lineRule="exact"/>
              <w:ind w:left="0" w:right="0" w:firstLine="0" w:firstLineChars="0"/>
              <w:jc w:val="center"/>
              <w:rPr>
                <w:rFonts w:hint="default"/>
                <w:color w:val="auto"/>
                <w:kern w:val="44"/>
                <w:sz w:val="21"/>
                <w:szCs w:val="21"/>
                <w:lang w:val="en-US" w:eastAsia="zh-CN"/>
              </w:rPr>
            </w:pPr>
            <w:r>
              <w:rPr>
                <w:rFonts w:hint="eastAsia"/>
                <w:color w:val="auto"/>
                <w:kern w:val="44"/>
                <w:sz w:val="21"/>
                <w:szCs w:val="21"/>
                <w:lang w:val="en-US" w:eastAsia="zh-CN"/>
              </w:rPr>
              <w:t>3</w:t>
            </w:r>
          </w:p>
        </w:tc>
        <w:tc>
          <w:tcPr>
            <w:tcW w:w="1967" w:type="pct"/>
            <w:tcBorders>
              <w:tl2br w:val="nil"/>
              <w:tr2bl w:val="nil"/>
            </w:tcBorders>
            <w:vAlign w:val="center"/>
          </w:tcPr>
          <w:p w14:paraId="57A8DF20">
            <w:pPr>
              <w:keepNext w:val="0"/>
              <w:keepLines w:val="0"/>
              <w:suppressLineNumbers w:val="0"/>
              <w:spacing w:before="0" w:beforeAutospacing="0" w:after="0" w:afterAutospacing="0" w:line="300" w:lineRule="exact"/>
              <w:ind w:left="0" w:right="0" w:firstLine="0" w:firstLineChars="0"/>
              <w:rPr>
                <w:rFonts w:hint="default" w:hAnsi="宋体" w:eastAsia="宋体"/>
                <w:color w:val="auto"/>
                <w:kern w:val="44"/>
                <w:sz w:val="21"/>
                <w:szCs w:val="21"/>
                <w:lang w:val="en-US" w:eastAsia="zh-CN"/>
              </w:rPr>
            </w:pPr>
            <w:r>
              <w:rPr>
                <w:rFonts w:hint="eastAsia"/>
                <w:color w:val="auto"/>
                <w:kern w:val="44"/>
                <w:sz w:val="21"/>
                <w:szCs w:val="21"/>
                <w:lang w:val="en-US" w:eastAsia="zh-CN"/>
              </w:rPr>
              <w:t>“五职”矿长必须有主体专业大专以上学历且有10年以上矿山一线从业经历；“五科”职能部门的负责人必须为主体专业毕业且有5年以上矿山一线从业经历。</w:t>
            </w:r>
          </w:p>
        </w:tc>
        <w:tc>
          <w:tcPr>
            <w:tcW w:w="928" w:type="pct"/>
            <w:tcBorders>
              <w:tl2br w:val="nil"/>
              <w:tr2bl w:val="nil"/>
            </w:tcBorders>
            <w:vAlign w:val="center"/>
          </w:tcPr>
          <w:p w14:paraId="3293143F">
            <w:pPr>
              <w:keepNext w:val="0"/>
              <w:keepLines w:val="0"/>
              <w:suppressLineNumbers w:val="0"/>
              <w:spacing w:before="0" w:beforeAutospacing="0" w:after="0" w:afterAutospacing="0" w:line="300" w:lineRule="exact"/>
              <w:ind w:left="0" w:right="0" w:firstLine="0" w:firstLineChars="0"/>
              <w:jc w:val="center"/>
              <w:rPr>
                <w:rFonts w:hint="eastAsia" w:hAnsi="宋体"/>
                <w:color w:val="auto"/>
                <w:kern w:val="44"/>
                <w:sz w:val="21"/>
                <w:szCs w:val="21"/>
              </w:rPr>
            </w:pPr>
            <w:r>
              <w:rPr>
                <w:rFonts w:hint="eastAsia" w:hAnsi="宋体"/>
                <w:color w:val="auto"/>
                <w:kern w:val="44"/>
                <w:sz w:val="21"/>
                <w:szCs w:val="21"/>
              </w:rPr>
              <w:t>国家矿山安全监察局</w:t>
            </w:r>
            <w:r>
              <w:rPr>
                <w:rFonts w:hint="eastAsia"/>
                <w:color w:val="auto"/>
                <w:kern w:val="44"/>
                <w:sz w:val="21"/>
                <w:szCs w:val="21"/>
                <w:lang w:val="en-US" w:eastAsia="zh-CN"/>
              </w:rPr>
              <w:t>综合司</w:t>
            </w:r>
            <w:r>
              <w:rPr>
                <w:rFonts w:hint="eastAsia" w:hAnsi="宋体"/>
                <w:color w:val="auto"/>
                <w:kern w:val="44"/>
                <w:sz w:val="21"/>
                <w:szCs w:val="21"/>
              </w:rPr>
              <w:t>关于</w:t>
            </w:r>
            <w:r>
              <w:rPr>
                <w:rFonts w:hint="eastAsia"/>
                <w:color w:val="auto"/>
                <w:kern w:val="44"/>
                <w:sz w:val="21"/>
                <w:szCs w:val="21"/>
                <w:lang w:val="en-US" w:eastAsia="zh-CN"/>
              </w:rPr>
              <w:t>明确</w:t>
            </w:r>
            <w:r>
              <w:rPr>
                <w:rFonts w:hint="eastAsia" w:hAnsi="宋体"/>
                <w:color w:val="auto"/>
                <w:kern w:val="44"/>
                <w:sz w:val="21"/>
                <w:szCs w:val="21"/>
              </w:rPr>
              <w:t>《</w:t>
            </w:r>
            <w:r>
              <w:rPr>
                <w:rFonts w:hint="eastAsia"/>
                <w:color w:val="auto"/>
                <w:kern w:val="44"/>
                <w:sz w:val="21"/>
                <w:szCs w:val="21"/>
                <w:lang w:val="en-US" w:eastAsia="zh-CN"/>
              </w:rPr>
              <w:t>五职矿长和五科相关人员范围及相关要求</w:t>
            </w:r>
            <w:r>
              <w:rPr>
                <w:rFonts w:hint="eastAsia" w:hAnsi="宋体"/>
                <w:color w:val="auto"/>
                <w:kern w:val="44"/>
                <w:sz w:val="21"/>
                <w:szCs w:val="21"/>
              </w:rPr>
              <w:t>》的通知矿安</w:t>
            </w:r>
            <w:r>
              <w:rPr>
                <w:rFonts w:hint="eastAsia"/>
                <w:color w:val="auto"/>
                <w:kern w:val="44"/>
                <w:sz w:val="21"/>
                <w:szCs w:val="21"/>
                <w:lang w:val="en-US" w:eastAsia="zh-CN"/>
              </w:rPr>
              <w:t>综</w:t>
            </w:r>
            <w:r>
              <w:rPr>
                <w:rFonts w:hint="eastAsia" w:hAnsi="宋体"/>
                <w:color w:val="auto"/>
                <w:kern w:val="44"/>
                <w:sz w:val="21"/>
                <w:szCs w:val="21"/>
              </w:rPr>
              <w:t>【202</w:t>
            </w:r>
            <w:r>
              <w:rPr>
                <w:rFonts w:hint="eastAsia"/>
                <w:color w:val="auto"/>
                <w:kern w:val="44"/>
                <w:sz w:val="21"/>
                <w:szCs w:val="21"/>
                <w:lang w:val="en-US" w:eastAsia="zh-CN"/>
              </w:rPr>
              <w:t>5</w:t>
            </w:r>
            <w:r>
              <w:rPr>
                <w:rFonts w:hint="eastAsia" w:hAnsi="宋体"/>
                <w:color w:val="auto"/>
                <w:kern w:val="44"/>
                <w:sz w:val="21"/>
                <w:szCs w:val="21"/>
              </w:rPr>
              <w:t>】</w:t>
            </w:r>
            <w:r>
              <w:rPr>
                <w:rFonts w:hint="eastAsia"/>
                <w:color w:val="auto"/>
                <w:kern w:val="44"/>
                <w:sz w:val="21"/>
                <w:szCs w:val="21"/>
                <w:lang w:val="en-US" w:eastAsia="zh-CN"/>
              </w:rPr>
              <w:t>12</w:t>
            </w:r>
            <w:r>
              <w:rPr>
                <w:rFonts w:hint="eastAsia" w:hAnsi="宋体"/>
                <w:color w:val="auto"/>
                <w:kern w:val="44"/>
                <w:sz w:val="21"/>
                <w:szCs w:val="21"/>
              </w:rPr>
              <w:t>号</w:t>
            </w:r>
          </w:p>
        </w:tc>
        <w:tc>
          <w:tcPr>
            <w:tcW w:w="1383" w:type="pct"/>
            <w:tcBorders>
              <w:tl2br w:val="nil"/>
              <w:tr2bl w:val="nil"/>
            </w:tcBorders>
            <w:vAlign w:val="center"/>
          </w:tcPr>
          <w:p w14:paraId="2E7C5150">
            <w:pPr>
              <w:keepNext w:val="0"/>
              <w:keepLines w:val="0"/>
              <w:suppressLineNumbers w:val="0"/>
              <w:spacing w:before="0" w:beforeAutospacing="0" w:after="0" w:afterAutospacing="0" w:line="300" w:lineRule="exact"/>
              <w:ind w:left="0" w:right="0" w:firstLine="0" w:firstLineChars="0"/>
              <w:rPr>
                <w:rFonts w:hint="default" w:cs="宋体"/>
                <w:color w:val="auto"/>
                <w:kern w:val="44"/>
                <w:sz w:val="21"/>
                <w:szCs w:val="21"/>
                <w:lang w:val="en-US" w:eastAsia="zh-CN"/>
              </w:rPr>
            </w:pPr>
            <w:r>
              <w:rPr>
                <w:rFonts w:hint="eastAsia" w:cs="宋体"/>
                <w:color w:val="auto"/>
                <w:kern w:val="44"/>
                <w:sz w:val="21"/>
                <w:szCs w:val="21"/>
                <w:lang w:val="en-US" w:eastAsia="zh-CN"/>
              </w:rPr>
              <w:t>可研中未明确五职矿山从业经历要求，未明确五科职能部门负责人的要求。</w:t>
            </w:r>
          </w:p>
        </w:tc>
        <w:tc>
          <w:tcPr>
            <w:tcW w:w="356" w:type="pct"/>
            <w:tcBorders>
              <w:tl2br w:val="nil"/>
              <w:tr2bl w:val="nil"/>
            </w:tcBorders>
            <w:vAlign w:val="center"/>
          </w:tcPr>
          <w:p w14:paraId="769B355A">
            <w:pPr>
              <w:keepNext w:val="0"/>
              <w:keepLines w:val="0"/>
              <w:suppressLineNumbers w:val="0"/>
              <w:spacing w:before="0" w:beforeAutospacing="0" w:after="0" w:afterAutospacing="0" w:line="300" w:lineRule="exact"/>
              <w:ind w:left="0" w:right="0" w:firstLine="0" w:firstLineChars="0"/>
              <w:jc w:val="center"/>
              <w:rPr>
                <w:rFonts w:hint="eastAsia"/>
                <w:color w:val="auto"/>
                <w:kern w:val="44"/>
                <w:sz w:val="21"/>
                <w:szCs w:val="21"/>
                <w:lang w:val="en-US" w:eastAsia="zh-CN"/>
              </w:rPr>
            </w:pPr>
            <w:r>
              <w:rPr>
                <w:rFonts w:hint="eastAsia"/>
                <w:color w:val="auto"/>
                <w:kern w:val="44"/>
                <w:sz w:val="21"/>
                <w:szCs w:val="21"/>
                <w:lang w:val="en-US" w:eastAsia="zh-CN"/>
              </w:rPr>
              <w:t>不</w:t>
            </w:r>
            <w:r>
              <w:rPr>
                <w:rFonts w:hint="eastAsia" w:hAnsi="宋体"/>
                <w:color w:val="auto"/>
                <w:kern w:val="44"/>
                <w:sz w:val="21"/>
                <w:szCs w:val="21"/>
              </w:rPr>
              <w:t>符合</w:t>
            </w:r>
          </w:p>
        </w:tc>
      </w:tr>
      <w:tr w14:paraId="2918B8A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trPr>
        <w:tc>
          <w:tcPr>
            <w:tcW w:w="364" w:type="pct"/>
            <w:tcBorders>
              <w:tl2br w:val="nil"/>
              <w:tr2bl w:val="nil"/>
            </w:tcBorders>
            <w:vAlign w:val="center"/>
          </w:tcPr>
          <w:p w14:paraId="4E914974">
            <w:pPr>
              <w:keepNext w:val="0"/>
              <w:keepLines w:val="0"/>
              <w:suppressLineNumbers w:val="0"/>
              <w:spacing w:before="0" w:beforeAutospacing="0" w:after="0" w:afterAutospacing="0" w:line="300" w:lineRule="exact"/>
              <w:ind w:left="0" w:right="0" w:firstLine="0" w:firstLineChars="0"/>
              <w:jc w:val="center"/>
              <w:rPr>
                <w:rFonts w:hint="eastAsia" w:hAnsi="宋体" w:eastAsia="宋体"/>
                <w:color w:val="auto"/>
                <w:kern w:val="44"/>
                <w:sz w:val="21"/>
                <w:szCs w:val="21"/>
                <w:lang w:val="en-US" w:eastAsia="zh-CN"/>
              </w:rPr>
            </w:pPr>
            <w:r>
              <w:rPr>
                <w:rFonts w:hint="eastAsia"/>
                <w:color w:val="auto"/>
                <w:kern w:val="44"/>
                <w:sz w:val="21"/>
                <w:szCs w:val="21"/>
                <w:lang w:val="en-US" w:eastAsia="zh-CN"/>
              </w:rPr>
              <w:t>4</w:t>
            </w:r>
          </w:p>
        </w:tc>
        <w:tc>
          <w:tcPr>
            <w:tcW w:w="1967" w:type="pct"/>
            <w:tcBorders>
              <w:tl2br w:val="nil"/>
              <w:tr2bl w:val="nil"/>
            </w:tcBorders>
            <w:vAlign w:val="center"/>
          </w:tcPr>
          <w:p w14:paraId="027945CF">
            <w:pPr>
              <w:keepNext w:val="0"/>
              <w:keepLines w:val="0"/>
              <w:suppressLineNumbers w:val="0"/>
              <w:spacing w:before="0" w:beforeAutospacing="0" w:after="0" w:afterAutospacing="0" w:line="300" w:lineRule="exact"/>
              <w:ind w:left="0" w:right="0" w:firstLine="0" w:firstLineChars="0"/>
              <w:rPr>
                <w:rFonts w:hint="eastAsia" w:hAnsi="宋体"/>
                <w:color w:val="auto"/>
                <w:kern w:val="44"/>
                <w:sz w:val="21"/>
                <w:szCs w:val="21"/>
              </w:rPr>
            </w:pPr>
            <w:r>
              <w:rPr>
                <w:rFonts w:hint="eastAsia" w:hAnsi="宋体"/>
                <w:color w:val="auto"/>
                <w:kern w:val="44"/>
                <w:sz w:val="21"/>
                <w:szCs w:val="21"/>
              </w:rPr>
              <w:t>金属非金属地下矿山应当设立技术管理机构，建立健全技术管理制度，配备具有采矿、地质、测量、机电等矿山相关专业中专及以上学历或者中级及以上技术职称的专职技术人员，每个专业至少配备1人。</w:t>
            </w:r>
          </w:p>
        </w:tc>
        <w:tc>
          <w:tcPr>
            <w:tcW w:w="928" w:type="pct"/>
            <w:tcBorders>
              <w:tl2br w:val="nil"/>
              <w:tr2bl w:val="nil"/>
            </w:tcBorders>
            <w:vAlign w:val="center"/>
          </w:tcPr>
          <w:p w14:paraId="4916BA64">
            <w:pPr>
              <w:keepNext w:val="0"/>
              <w:keepLines w:val="0"/>
              <w:suppressLineNumbers w:val="0"/>
              <w:spacing w:before="0" w:beforeAutospacing="0" w:after="0" w:afterAutospacing="0" w:line="300" w:lineRule="exact"/>
              <w:ind w:left="0" w:right="0" w:firstLine="0" w:firstLineChars="0"/>
              <w:jc w:val="center"/>
              <w:rPr>
                <w:rFonts w:hint="eastAsia" w:hAnsi="宋体"/>
                <w:color w:val="auto"/>
                <w:kern w:val="44"/>
                <w:sz w:val="21"/>
                <w:szCs w:val="21"/>
              </w:rPr>
            </w:pPr>
            <w:r>
              <w:rPr>
                <w:rFonts w:hint="eastAsia" w:hAnsi="宋体"/>
                <w:color w:val="auto"/>
                <w:kern w:val="44"/>
                <w:sz w:val="21"/>
                <w:szCs w:val="21"/>
              </w:rPr>
              <w:t>国家矿山安全监察局关于印发《关于加强非煤矿山安全生产工作的指导意见》的通知矿安【2022】4号</w:t>
            </w:r>
          </w:p>
        </w:tc>
        <w:tc>
          <w:tcPr>
            <w:tcW w:w="1383" w:type="pct"/>
            <w:tcBorders>
              <w:tl2br w:val="nil"/>
              <w:tr2bl w:val="nil"/>
            </w:tcBorders>
            <w:vAlign w:val="center"/>
          </w:tcPr>
          <w:p w14:paraId="500E3D5B">
            <w:pPr>
              <w:keepNext w:val="0"/>
              <w:keepLines w:val="0"/>
              <w:suppressLineNumbers w:val="0"/>
              <w:spacing w:before="0" w:beforeAutospacing="0" w:after="0" w:afterAutospacing="0" w:line="300" w:lineRule="exact"/>
              <w:ind w:left="0" w:right="0" w:firstLine="0" w:firstLineChars="0"/>
              <w:rPr>
                <w:rFonts w:hint="default" w:hAnsi="宋体" w:eastAsia="宋体" w:cs="宋体"/>
                <w:color w:val="auto"/>
                <w:kern w:val="44"/>
                <w:sz w:val="21"/>
                <w:szCs w:val="21"/>
                <w:lang w:val="en-US" w:eastAsia="zh-CN"/>
              </w:rPr>
            </w:pPr>
            <w:r>
              <w:rPr>
                <w:rFonts w:hint="eastAsia" w:cs="宋体"/>
                <w:color w:val="auto"/>
                <w:kern w:val="44"/>
                <w:sz w:val="21"/>
                <w:szCs w:val="21"/>
                <w:lang w:eastAsia="zh-CN"/>
              </w:rPr>
              <w:t>可研报告中提出相关内容</w:t>
            </w:r>
            <w:r>
              <w:rPr>
                <w:rFonts w:hint="eastAsia" w:cs="宋体"/>
                <w:color w:val="auto"/>
                <w:kern w:val="44"/>
                <w:sz w:val="21"/>
                <w:szCs w:val="21"/>
                <w:lang w:val="en-US" w:eastAsia="zh-CN"/>
              </w:rPr>
              <w:t>。</w:t>
            </w:r>
          </w:p>
        </w:tc>
        <w:tc>
          <w:tcPr>
            <w:tcW w:w="356" w:type="pct"/>
            <w:tcBorders>
              <w:tl2br w:val="nil"/>
              <w:tr2bl w:val="nil"/>
            </w:tcBorders>
            <w:vAlign w:val="center"/>
          </w:tcPr>
          <w:p w14:paraId="6588345B">
            <w:pPr>
              <w:keepNext w:val="0"/>
              <w:keepLines w:val="0"/>
              <w:suppressLineNumbers w:val="0"/>
              <w:spacing w:before="0" w:beforeAutospacing="0" w:after="0" w:afterAutospacing="0" w:line="300" w:lineRule="exact"/>
              <w:ind w:left="0" w:right="0" w:firstLine="0" w:firstLineChars="0"/>
              <w:jc w:val="center"/>
              <w:rPr>
                <w:rFonts w:hint="eastAsia" w:hAnsi="宋体" w:eastAsia="宋体"/>
                <w:color w:val="auto"/>
                <w:kern w:val="44"/>
                <w:sz w:val="21"/>
                <w:szCs w:val="21"/>
                <w:lang w:val="en-US" w:eastAsia="zh-CN"/>
              </w:rPr>
            </w:pPr>
            <w:r>
              <w:rPr>
                <w:rFonts w:hint="eastAsia"/>
                <w:color w:val="auto"/>
                <w:kern w:val="44"/>
                <w:sz w:val="21"/>
                <w:szCs w:val="21"/>
                <w:lang w:val="en-US" w:eastAsia="zh-CN"/>
              </w:rPr>
              <w:t>符合</w:t>
            </w:r>
          </w:p>
        </w:tc>
      </w:tr>
      <w:tr w14:paraId="18F5667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trPr>
        <w:tc>
          <w:tcPr>
            <w:tcW w:w="364" w:type="pct"/>
            <w:tcBorders>
              <w:tl2br w:val="nil"/>
              <w:tr2bl w:val="nil"/>
            </w:tcBorders>
            <w:vAlign w:val="center"/>
          </w:tcPr>
          <w:p w14:paraId="3FA12243">
            <w:pPr>
              <w:keepNext w:val="0"/>
              <w:keepLines w:val="0"/>
              <w:suppressLineNumbers w:val="0"/>
              <w:spacing w:before="0" w:beforeAutospacing="0" w:after="0" w:afterAutospacing="0" w:line="300" w:lineRule="exact"/>
              <w:ind w:left="0" w:right="0" w:firstLine="0" w:firstLineChars="0"/>
              <w:jc w:val="center"/>
              <w:rPr>
                <w:rFonts w:hint="eastAsia" w:hAnsi="宋体" w:eastAsia="宋体"/>
                <w:color w:val="auto"/>
                <w:kern w:val="44"/>
                <w:sz w:val="21"/>
                <w:szCs w:val="21"/>
                <w:lang w:eastAsia="zh-CN"/>
              </w:rPr>
            </w:pPr>
            <w:r>
              <w:rPr>
                <w:rFonts w:hint="eastAsia"/>
                <w:color w:val="auto"/>
                <w:kern w:val="44"/>
                <w:sz w:val="21"/>
                <w:szCs w:val="21"/>
                <w:lang w:val="en-US" w:eastAsia="zh-CN"/>
              </w:rPr>
              <w:t>5</w:t>
            </w:r>
          </w:p>
        </w:tc>
        <w:tc>
          <w:tcPr>
            <w:tcW w:w="1967" w:type="pct"/>
            <w:tcBorders>
              <w:tl2br w:val="nil"/>
              <w:tr2bl w:val="nil"/>
            </w:tcBorders>
            <w:vAlign w:val="center"/>
          </w:tcPr>
          <w:p w14:paraId="477D5976">
            <w:pPr>
              <w:keepNext w:val="0"/>
              <w:keepLines w:val="0"/>
              <w:suppressLineNumbers w:val="0"/>
              <w:spacing w:before="0" w:beforeAutospacing="0" w:after="0" w:afterAutospacing="0" w:line="300" w:lineRule="exact"/>
              <w:ind w:left="0" w:right="0" w:firstLine="0" w:firstLineChars="0"/>
              <w:rPr>
                <w:rFonts w:hint="default" w:hAnsi="宋体"/>
                <w:color w:val="auto"/>
                <w:kern w:val="44"/>
                <w:sz w:val="21"/>
                <w:szCs w:val="21"/>
              </w:rPr>
            </w:pPr>
            <w:r>
              <w:rPr>
                <w:rFonts w:hint="eastAsia" w:hAnsi="宋体"/>
                <w:color w:val="auto"/>
                <w:kern w:val="44"/>
                <w:sz w:val="21"/>
                <w:szCs w:val="21"/>
              </w:rPr>
              <w:t>主要负责人和安全生产管理人员经安全生产监督管理部门考核合格，取得安全资格证书。</w:t>
            </w:r>
          </w:p>
        </w:tc>
        <w:tc>
          <w:tcPr>
            <w:tcW w:w="928" w:type="pct"/>
            <w:tcBorders>
              <w:tl2br w:val="nil"/>
              <w:tr2bl w:val="nil"/>
            </w:tcBorders>
            <w:vAlign w:val="center"/>
          </w:tcPr>
          <w:p w14:paraId="71606DD3">
            <w:pPr>
              <w:keepNext w:val="0"/>
              <w:keepLines w:val="0"/>
              <w:suppressLineNumbers w:val="0"/>
              <w:spacing w:before="0" w:beforeAutospacing="0" w:after="0" w:afterAutospacing="0" w:line="300" w:lineRule="exact"/>
              <w:ind w:left="0" w:right="0" w:firstLine="0" w:firstLineChars="0"/>
              <w:jc w:val="center"/>
              <w:rPr>
                <w:rFonts w:hint="default" w:hAnsi="宋体"/>
                <w:color w:val="auto"/>
                <w:kern w:val="44"/>
                <w:sz w:val="21"/>
                <w:szCs w:val="21"/>
              </w:rPr>
            </w:pPr>
            <w:r>
              <w:rPr>
                <w:rFonts w:hint="eastAsia" w:hAnsi="宋体"/>
                <w:color w:val="auto"/>
                <w:kern w:val="44"/>
                <w:sz w:val="21"/>
                <w:szCs w:val="21"/>
              </w:rPr>
              <w:t>《非煤矿矿山企业安全生产许可证实施办法》第六条第四款</w:t>
            </w:r>
          </w:p>
        </w:tc>
        <w:tc>
          <w:tcPr>
            <w:tcW w:w="1383" w:type="pct"/>
            <w:tcBorders>
              <w:tl2br w:val="nil"/>
              <w:tr2bl w:val="nil"/>
            </w:tcBorders>
            <w:vAlign w:val="center"/>
          </w:tcPr>
          <w:p w14:paraId="6196184B">
            <w:pPr>
              <w:keepNext w:val="0"/>
              <w:keepLines w:val="0"/>
              <w:suppressLineNumbers w:val="0"/>
              <w:spacing w:before="0" w:beforeAutospacing="0" w:after="0" w:afterAutospacing="0" w:line="300" w:lineRule="exact"/>
              <w:ind w:left="0" w:right="0" w:firstLine="0" w:firstLineChars="0"/>
              <w:rPr>
                <w:rFonts w:hint="default" w:hAnsi="宋体" w:cs="宋体"/>
                <w:color w:val="auto"/>
                <w:kern w:val="44"/>
                <w:sz w:val="21"/>
                <w:szCs w:val="21"/>
                <w:highlight w:val="red"/>
              </w:rPr>
            </w:pPr>
            <w:r>
              <w:rPr>
                <w:rFonts w:hint="eastAsia" w:cs="宋体"/>
                <w:color w:val="auto"/>
                <w:kern w:val="44"/>
                <w:sz w:val="21"/>
                <w:szCs w:val="21"/>
                <w:lang w:eastAsia="zh-CN"/>
              </w:rPr>
              <w:t>可研报告中明确了相关内容</w:t>
            </w:r>
            <w:r>
              <w:rPr>
                <w:rFonts w:hint="eastAsia" w:hAnsi="宋体" w:cs="宋体"/>
                <w:color w:val="auto"/>
                <w:kern w:val="44"/>
                <w:sz w:val="21"/>
                <w:szCs w:val="21"/>
              </w:rPr>
              <w:t>。</w:t>
            </w:r>
          </w:p>
        </w:tc>
        <w:tc>
          <w:tcPr>
            <w:tcW w:w="356" w:type="pct"/>
            <w:tcBorders>
              <w:tl2br w:val="nil"/>
              <w:tr2bl w:val="nil"/>
            </w:tcBorders>
            <w:vAlign w:val="center"/>
          </w:tcPr>
          <w:p w14:paraId="2B67D1F4">
            <w:pPr>
              <w:keepNext w:val="0"/>
              <w:keepLines w:val="0"/>
              <w:suppressLineNumbers w:val="0"/>
              <w:spacing w:before="0" w:beforeAutospacing="0" w:after="0" w:afterAutospacing="0" w:line="300" w:lineRule="exact"/>
              <w:ind w:left="0" w:right="0" w:firstLine="0" w:firstLineChars="0"/>
              <w:jc w:val="center"/>
              <w:rPr>
                <w:rFonts w:hint="default" w:hAnsi="宋体"/>
                <w:color w:val="auto"/>
                <w:kern w:val="44"/>
                <w:sz w:val="21"/>
                <w:szCs w:val="21"/>
                <w:highlight w:val="red"/>
              </w:rPr>
            </w:pPr>
            <w:r>
              <w:rPr>
                <w:rFonts w:hint="eastAsia" w:hAnsi="宋体"/>
                <w:color w:val="auto"/>
                <w:kern w:val="44"/>
                <w:sz w:val="21"/>
                <w:szCs w:val="21"/>
              </w:rPr>
              <w:t>符合</w:t>
            </w:r>
          </w:p>
        </w:tc>
      </w:tr>
      <w:tr w14:paraId="7660B27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trPr>
        <w:tc>
          <w:tcPr>
            <w:tcW w:w="364" w:type="pct"/>
            <w:tcBorders>
              <w:tl2br w:val="nil"/>
              <w:tr2bl w:val="nil"/>
            </w:tcBorders>
            <w:vAlign w:val="center"/>
          </w:tcPr>
          <w:p w14:paraId="63CA5F04">
            <w:pPr>
              <w:keepNext w:val="0"/>
              <w:keepLines w:val="0"/>
              <w:suppressLineNumbers w:val="0"/>
              <w:spacing w:before="0" w:beforeAutospacing="0" w:after="0" w:afterAutospacing="0" w:line="300" w:lineRule="exact"/>
              <w:ind w:left="0" w:right="0" w:firstLine="0" w:firstLineChars="0"/>
              <w:jc w:val="center"/>
              <w:rPr>
                <w:rFonts w:hint="eastAsia" w:hAnsi="宋体" w:eastAsia="宋体"/>
                <w:color w:val="auto"/>
                <w:kern w:val="44"/>
                <w:sz w:val="21"/>
                <w:szCs w:val="21"/>
                <w:lang w:eastAsia="zh-CN"/>
              </w:rPr>
            </w:pPr>
            <w:r>
              <w:rPr>
                <w:rFonts w:hint="eastAsia"/>
                <w:color w:val="auto"/>
                <w:kern w:val="44"/>
                <w:sz w:val="21"/>
                <w:szCs w:val="21"/>
                <w:lang w:val="en-US" w:eastAsia="zh-CN"/>
              </w:rPr>
              <w:t>6</w:t>
            </w:r>
          </w:p>
        </w:tc>
        <w:tc>
          <w:tcPr>
            <w:tcW w:w="1967" w:type="pct"/>
            <w:tcBorders>
              <w:tl2br w:val="nil"/>
              <w:tr2bl w:val="nil"/>
            </w:tcBorders>
            <w:vAlign w:val="center"/>
          </w:tcPr>
          <w:p w14:paraId="0A3CA442">
            <w:pPr>
              <w:keepNext w:val="0"/>
              <w:keepLines w:val="0"/>
              <w:suppressLineNumbers w:val="0"/>
              <w:spacing w:before="0" w:beforeAutospacing="0" w:after="0" w:afterAutospacing="0" w:line="300" w:lineRule="exact"/>
              <w:ind w:left="0" w:right="0" w:firstLine="0" w:firstLineChars="0"/>
              <w:rPr>
                <w:rFonts w:hint="default" w:hAnsi="宋体"/>
                <w:color w:val="auto"/>
                <w:kern w:val="44"/>
                <w:sz w:val="21"/>
                <w:szCs w:val="21"/>
              </w:rPr>
            </w:pPr>
            <w:r>
              <w:rPr>
                <w:rFonts w:hint="eastAsia" w:hAnsi="宋体"/>
                <w:color w:val="auto"/>
                <w:kern w:val="44"/>
                <w:sz w:val="21"/>
                <w:szCs w:val="21"/>
              </w:rPr>
              <w:t>特种作业人员经有关业务主管部门考核合格，取得特种作业操作资格证书。</w:t>
            </w:r>
          </w:p>
        </w:tc>
        <w:tc>
          <w:tcPr>
            <w:tcW w:w="928" w:type="pct"/>
            <w:tcBorders>
              <w:tl2br w:val="nil"/>
              <w:tr2bl w:val="nil"/>
            </w:tcBorders>
            <w:shd w:val="clear" w:color="auto" w:fill="auto"/>
            <w:vAlign w:val="center"/>
          </w:tcPr>
          <w:p w14:paraId="5543436F">
            <w:pPr>
              <w:keepNext w:val="0"/>
              <w:keepLines w:val="0"/>
              <w:suppressLineNumbers w:val="0"/>
              <w:spacing w:before="0" w:beforeAutospacing="0" w:after="0" w:afterAutospacing="0" w:line="300" w:lineRule="exact"/>
              <w:ind w:left="0" w:right="0" w:firstLine="0" w:firstLineChars="0"/>
              <w:jc w:val="center"/>
              <w:rPr>
                <w:rFonts w:hint="default" w:hAnsi="宋体"/>
                <w:color w:val="auto"/>
                <w:kern w:val="44"/>
                <w:sz w:val="21"/>
                <w:szCs w:val="21"/>
              </w:rPr>
            </w:pPr>
            <w:r>
              <w:rPr>
                <w:rFonts w:hint="eastAsia" w:hAnsi="宋体"/>
                <w:color w:val="auto"/>
                <w:kern w:val="44"/>
                <w:sz w:val="21"/>
                <w:szCs w:val="21"/>
              </w:rPr>
              <w:t>《非煤矿矿山企业安全生产许可证实施办法》</w:t>
            </w:r>
          </w:p>
          <w:p w14:paraId="54431E12">
            <w:pPr>
              <w:keepNext w:val="0"/>
              <w:keepLines w:val="0"/>
              <w:suppressLineNumbers w:val="0"/>
              <w:spacing w:before="0" w:beforeAutospacing="0" w:after="0" w:afterAutospacing="0" w:line="300" w:lineRule="exact"/>
              <w:ind w:left="0" w:right="0" w:firstLine="0" w:firstLineChars="0"/>
              <w:jc w:val="center"/>
              <w:rPr>
                <w:rFonts w:hint="default" w:hAnsi="宋体"/>
                <w:color w:val="auto"/>
                <w:kern w:val="44"/>
                <w:sz w:val="21"/>
                <w:szCs w:val="21"/>
              </w:rPr>
            </w:pPr>
            <w:r>
              <w:rPr>
                <w:rFonts w:hint="eastAsia" w:hAnsi="宋体"/>
                <w:color w:val="auto"/>
                <w:kern w:val="44"/>
                <w:sz w:val="21"/>
                <w:szCs w:val="21"/>
              </w:rPr>
              <w:t>第六条第五款</w:t>
            </w:r>
          </w:p>
        </w:tc>
        <w:tc>
          <w:tcPr>
            <w:tcW w:w="1383" w:type="pct"/>
            <w:tcBorders>
              <w:tl2br w:val="nil"/>
              <w:tr2bl w:val="nil"/>
            </w:tcBorders>
            <w:vAlign w:val="center"/>
          </w:tcPr>
          <w:p w14:paraId="61D60EA7">
            <w:pPr>
              <w:keepNext w:val="0"/>
              <w:keepLines w:val="0"/>
              <w:suppressLineNumbers w:val="0"/>
              <w:spacing w:before="0" w:beforeAutospacing="0" w:after="0" w:afterAutospacing="0" w:line="300" w:lineRule="exact"/>
              <w:ind w:left="0" w:right="0" w:firstLine="0" w:firstLineChars="0"/>
              <w:rPr>
                <w:rFonts w:hint="default" w:hAnsi="宋体" w:cs="宋体"/>
                <w:color w:val="auto"/>
                <w:kern w:val="44"/>
                <w:sz w:val="21"/>
                <w:szCs w:val="21"/>
              </w:rPr>
            </w:pPr>
            <w:r>
              <w:rPr>
                <w:rFonts w:hint="eastAsia" w:cs="宋体"/>
                <w:color w:val="auto"/>
                <w:kern w:val="44"/>
                <w:sz w:val="21"/>
                <w:szCs w:val="21"/>
                <w:lang w:eastAsia="zh-CN"/>
              </w:rPr>
              <w:t>可研报告中明确了相关内容</w:t>
            </w:r>
            <w:r>
              <w:rPr>
                <w:rFonts w:hint="eastAsia" w:hAnsi="宋体" w:cs="宋体"/>
                <w:color w:val="auto"/>
                <w:kern w:val="44"/>
                <w:sz w:val="21"/>
                <w:szCs w:val="21"/>
              </w:rPr>
              <w:t>。</w:t>
            </w:r>
          </w:p>
        </w:tc>
        <w:tc>
          <w:tcPr>
            <w:tcW w:w="356" w:type="pct"/>
            <w:tcBorders>
              <w:tl2br w:val="nil"/>
              <w:tr2bl w:val="nil"/>
            </w:tcBorders>
            <w:vAlign w:val="center"/>
          </w:tcPr>
          <w:p w14:paraId="51332EA6">
            <w:pPr>
              <w:keepNext w:val="0"/>
              <w:keepLines w:val="0"/>
              <w:suppressLineNumbers w:val="0"/>
              <w:spacing w:before="0" w:beforeAutospacing="0" w:after="0" w:afterAutospacing="0" w:line="300" w:lineRule="exact"/>
              <w:ind w:left="0" w:right="0" w:firstLine="0" w:firstLineChars="0"/>
              <w:jc w:val="center"/>
              <w:rPr>
                <w:rFonts w:hint="default" w:hAnsi="宋体"/>
                <w:color w:val="auto"/>
                <w:kern w:val="44"/>
                <w:sz w:val="21"/>
                <w:szCs w:val="21"/>
              </w:rPr>
            </w:pPr>
            <w:r>
              <w:rPr>
                <w:rFonts w:hint="eastAsia" w:hAnsi="宋体"/>
                <w:color w:val="auto"/>
                <w:kern w:val="44"/>
                <w:sz w:val="21"/>
                <w:szCs w:val="21"/>
              </w:rPr>
              <w:t>符合</w:t>
            </w:r>
          </w:p>
        </w:tc>
      </w:tr>
      <w:tr w14:paraId="48C0361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trPr>
        <w:tc>
          <w:tcPr>
            <w:tcW w:w="5000" w:type="pct"/>
            <w:gridSpan w:val="5"/>
            <w:tcBorders>
              <w:tl2br w:val="nil"/>
              <w:tr2bl w:val="nil"/>
            </w:tcBorders>
            <w:vAlign w:val="center"/>
          </w:tcPr>
          <w:p w14:paraId="10CE593B">
            <w:pPr>
              <w:keepNext w:val="0"/>
              <w:keepLines w:val="0"/>
              <w:suppressLineNumbers w:val="0"/>
              <w:spacing w:before="0" w:beforeAutospacing="0" w:after="0" w:afterAutospacing="0" w:line="300" w:lineRule="exact"/>
              <w:ind w:left="0" w:right="0" w:firstLine="0" w:firstLineChars="0"/>
              <w:jc w:val="center"/>
              <w:rPr>
                <w:rFonts w:hint="default" w:hAnsi="宋体"/>
                <w:color w:val="auto"/>
                <w:kern w:val="44"/>
                <w:sz w:val="21"/>
                <w:szCs w:val="21"/>
              </w:rPr>
            </w:pPr>
            <w:r>
              <w:rPr>
                <w:rFonts w:hint="eastAsia" w:hAnsi="宋体"/>
                <w:b/>
                <w:color w:val="auto"/>
                <w:kern w:val="44"/>
                <w:sz w:val="21"/>
                <w:szCs w:val="21"/>
              </w:rPr>
              <w:t>二、规章制度</w:t>
            </w:r>
          </w:p>
        </w:tc>
      </w:tr>
      <w:tr w14:paraId="438F5DE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trPr>
        <w:tc>
          <w:tcPr>
            <w:tcW w:w="364" w:type="pct"/>
            <w:tcBorders>
              <w:tl2br w:val="nil"/>
              <w:tr2bl w:val="nil"/>
            </w:tcBorders>
            <w:vAlign w:val="center"/>
          </w:tcPr>
          <w:p w14:paraId="5FA51608">
            <w:pPr>
              <w:keepNext w:val="0"/>
              <w:keepLines w:val="0"/>
              <w:suppressLineNumbers w:val="0"/>
              <w:spacing w:before="0" w:beforeAutospacing="0" w:after="0" w:afterAutospacing="0" w:line="300" w:lineRule="exact"/>
              <w:ind w:left="0" w:right="0" w:firstLine="0" w:firstLineChars="0"/>
              <w:jc w:val="center"/>
              <w:rPr>
                <w:rFonts w:hint="eastAsia" w:hAnsi="宋体" w:eastAsia="宋体"/>
                <w:color w:val="auto"/>
                <w:kern w:val="44"/>
                <w:sz w:val="21"/>
                <w:szCs w:val="21"/>
                <w:lang w:val="en-US" w:eastAsia="zh-CN"/>
              </w:rPr>
            </w:pPr>
            <w:r>
              <w:rPr>
                <w:rFonts w:hint="eastAsia"/>
                <w:color w:val="auto"/>
                <w:kern w:val="44"/>
                <w:sz w:val="21"/>
                <w:szCs w:val="21"/>
                <w:lang w:val="en-US" w:eastAsia="zh-CN"/>
              </w:rPr>
              <w:t>7</w:t>
            </w:r>
          </w:p>
        </w:tc>
        <w:tc>
          <w:tcPr>
            <w:tcW w:w="1967" w:type="pct"/>
            <w:tcBorders>
              <w:tl2br w:val="nil"/>
              <w:tr2bl w:val="nil"/>
            </w:tcBorders>
            <w:vAlign w:val="center"/>
          </w:tcPr>
          <w:p w14:paraId="75FB259A">
            <w:pPr>
              <w:keepNext w:val="0"/>
              <w:keepLines w:val="0"/>
              <w:suppressLineNumbers w:val="0"/>
              <w:spacing w:before="0" w:beforeAutospacing="0" w:after="0" w:afterAutospacing="0" w:line="300" w:lineRule="exact"/>
              <w:ind w:left="0" w:right="0" w:firstLine="0" w:firstLineChars="0"/>
              <w:jc w:val="left"/>
              <w:rPr>
                <w:rFonts w:hint="default" w:hAnsi="宋体"/>
                <w:color w:val="auto"/>
                <w:kern w:val="44"/>
                <w:sz w:val="21"/>
                <w:szCs w:val="21"/>
              </w:rPr>
            </w:pPr>
            <w:r>
              <w:rPr>
                <w:rFonts w:hint="eastAsia" w:hAnsi="宋体"/>
                <w:color w:val="auto"/>
                <w:kern w:val="44"/>
                <w:sz w:val="21"/>
                <w:szCs w:val="21"/>
              </w:rPr>
              <w:t>矿山企业应建立健全安全生产责任制，制定安全生产规章制度、安全教育培训制度和各岗位的安全操作规程。明确各岗位人员的责任和考核标准。</w:t>
            </w:r>
          </w:p>
        </w:tc>
        <w:tc>
          <w:tcPr>
            <w:tcW w:w="928" w:type="pct"/>
            <w:tcBorders>
              <w:tl2br w:val="nil"/>
              <w:tr2bl w:val="nil"/>
            </w:tcBorders>
            <w:vAlign w:val="center"/>
          </w:tcPr>
          <w:p w14:paraId="5414A51A">
            <w:pPr>
              <w:keepNext w:val="0"/>
              <w:keepLines w:val="0"/>
              <w:suppressLineNumbers w:val="0"/>
              <w:spacing w:before="0" w:beforeAutospacing="0" w:after="0" w:afterAutospacing="0" w:line="300" w:lineRule="exact"/>
              <w:ind w:left="0" w:right="0" w:firstLine="0" w:firstLineChars="0"/>
              <w:jc w:val="center"/>
              <w:rPr>
                <w:rFonts w:hint="default" w:hAnsi="宋体"/>
                <w:color w:val="auto"/>
                <w:kern w:val="44"/>
                <w:sz w:val="21"/>
                <w:szCs w:val="21"/>
              </w:rPr>
            </w:pPr>
            <w:r>
              <w:rPr>
                <w:rFonts w:hint="eastAsia"/>
                <w:color w:val="auto"/>
                <w:sz w:val="21"/>
                <w:szCs w:val="21"/>
              </w:rPr>
              <w:t>《金属非金属矿山安全规程》(</w:t>
            </w:r>
            <w:r>
              <w:rPr>
                <w:rFonts w:hint="eastAsia"/>
                <w:bCs/>
                <w:color w:val="auto"/>
                <w:sz w:val="21"/>
                <w:szCs w:val="21"/>
              </w:rPr>
              <w:t>GBl6423</w:t>
            </w:r>
            <w:r>
              <w:rPr>
                <w:rFonts w:hint="eastAsia"/>
                <w:color w:val="auto"/>
                <w:sz w:val="21"/>
                <w:szCs w:val="21"/>
              </w:rPr>
              <w:t>-</w:t>
            </w:r>
            <w:r>
              <w:rPr>
                <w:rFonts w:hint="eastAsia"/>
                <w:bCs/>
                <w:color w:val="auto"/>
                <w:sz w:val="21"/>
                <w:szCs w:val="21"/>
              </w:rPr>
              <w:t>2020</w:t>
            </w:r>
            <w:r>
              <w:rPr>
                <w:rFonts w:hint="eastAsia"/>
                <w:color w:val="auto"/>
                <w:sz w:val="21"/>
                <w:szCs w:val="21"/>
              </w:rPr>
              <w:t>)第4.1.2条</w:t>
            </w:r>
          </w:p>
        </w:tc>
        <w:tc>
          <w:tcPr>
            <w:tcW w:w="1383" w:type="pct"/>
            <w:tcBorders>
              <w:tl2br w:val="nil"/>
              <w:tr2bl w:val="nil"/>
            </w:tcBorders>
            <w:vAlign w:val="center"/>
          </w:tcPr>
          <w:p w14:paraId="4D504D43">
            <w:pPr>
              <w:keepNext w:val="0"/>
              <w:keepLines w:val="0"/>
              <w:suppressLineNumbers w:val="0"/>
              <w:spacing w:before="0" w:beforeAutospacing="0" w:after="0" w:afterAutospacing="0" w:line="300" w:lineRule="exact"/>
              <w:ind w:left="0" w:right="0" w:firstLine="0" w:firstLineChars="0"/>
              <w:jc w:val="left"/>
              <w:rPr>
                <w:rFonts w:hint="default" w:hAnsi="宋体"/>
                <w:color w:val="auto"/>
                <w:kern w:val="44"/>
                <w:sz w:val="21"/>
                <w:szCs w:val="21"/>
              </w:rPr>
            </w:pPr>
            <w:r>
              <w:rPr>
                <w:rFonts w:hint="eastAsia" w:cs="宋体"/>
                <w:color w:val="auto"/>
                <w:kern w:val="44"/>
                <w:sz w:val="21"/>
                <w:szCs w:val="21"/>
                <w:lang w:eastAsia="zh-CN"/>
              </w:rPr>
              <w:t>可研报告中明确了相关内容</w:t>
            </w:r>
            <w:r>
              <w:rPr>
                <w:rFonts w:hint="eastAsia" w:hAnsi="宋体" w:cs="宋体"/>
                <w:color w:val="auto"/>
                <w:kern w:val="44"/>
                <w:sz w:val="21"/>
                <w:szCs w:val="21"/>
              </w:rPr>
              <w:t>。</w:t>
            </w:r>
          </w:p>
        </w:tc>
        <w:tc>
          <w:tcPr>
            <w:tcW w:w="356" w:type="pct"/>
            <w:tcBorders>
              <w:tl2br w:val="nil"/>
              <w:tr2bl w:val="nil"/>
            </w:tcBorders>
            <w:vAlign w:val="center"/>
          </w:tcPr>
          <w:p w14:paraId="2A21A24E">
            <w:pPr>
              <w:keepNext w:val="0"/>
              <w:keepLines w:val="0"/>
              <w:suppressLineNumbers w:val="0"/>
              <w:spacing w:before="0" w:beforeAutospacing="0" w:after="0" w:afterAutospacing="0" w:line="300" w:lineRule="exact"/>
              <w:ind w:left="0" w:right="0" w:firstLine="0" w:firstLineChars="0"/>
              <w:jc w:val="center"/>
              <w:rPr>
                <w:rFonts w:hint="default" w:hAnsi="宋体"/>
                <w:color w:val="auto"/>
                <w:kern w:val="44"/>
                <w:sz w:val="21"/>
                <w:szCs w:val="21"/>
              </w:rPr>
            </w:pPr>
            <w:r>
              <w:rPr>
                <w:rFonts w:hint="eastAsia" w:hAnsi="宋体"/>
                <w:color w:val="auto"/>
                <w:kern w:val="44"/>
                <w:sz w:val="21"/>
                <w:szCs w:val="21"/>
              </w:rPr>
              <w:t>符合</w:t>
            </w:r>
          </w:p>
        </w:tc>
      </w:tr>
      <w:tr w14:paraId="725DF5D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trPr>
        <w:tc>
          <w:tcPr>
            <w:tcW w:w="364" w:type="pct"/>
            <w:tcBorders>
              <w:tl2br w:val="nil"/>
              <w:tr2bl w:val="nil"/>
            </w:tcBorders>
            <w:vAlign w:val="center"/>
          </w:tcPr>
          <w:p w14:paraId="0EFA2180">
            <w:pPr>
              <w:keepNext w:val="0"/>
              <w:keepLines w:val="0"/>
              <w:suppressLineNumbers w:val="0"/>
              <w:spacing w:before="0" w:beforeAutospacing="0" w:after="0" w:afterAutospacing="0" w:line="300" w:lineRule="exact"/>
              <w:ind w:left="0" w:right="0" w:firstLine="0" w:firstLineChars="0"/>
              <w:jc w:val="center"/>
              <w:rPr>
                <w:rFonts w:hint="eastAsia" w:hAnsi="宋体" w:eastAsia="宋体"/>
                <w:color w:val="auto"/>
                <w:kern w:val="44"/>
                <w:sz w:val="21"/>
                <w:szCs w:val="21"/>
                <w:lang w:eastAsia="zh-CN"/>
              </w:rPr>
            </w:pPr>
            <w:r>
              <w:rPr>
                <w:rFonts w:hint="eastAsia"/>
                <w:color w:val="auto"/>
                <w:kern w:val="44"/>
                <w:sz w:val="21"/>
                <w:szCs w:val="21"/>
                <w:lang w:val="en-US" w:eastAsia="zh-CN"/>
              </w:rPr>
              <w:t>8</w:t>
            </w:r>
          </w:p>
        </w:tc>
        <w:tc>
          <w:tcPr>
            <w:tcW w:w="1967" w:type="pct"/>
            <w:tcBorders>
              <w:tl2br w:val="nil"/>
              <w:tr2bl w:val="nil"/>
            </w:tcBorders>
            <w:vAlign w:val="center"/>
          </w:tcPr>
          <w:p w14:paraId="10E1B94F">
            <w:pPr>
              <w:pStyle w:val="40"/>
              <w:keepNext w:val="0"/>
              <w:keepLines w:val="0"/>
              <w:suppressLineNumbers w:val="0"/>
              <w:spacing w:before="0" w:beforeAutospacing="0" w:after="0" w:afterAutospacing="0" w:line="300" w:lineRule="exact"/>
              <w:ind w:left="0" w:right="0"/>
              <w:jc w:val="both"/>
              <w:rPr>
                <w:rFonts w:hint="default" w:ascii="宋体"/>
                <w:color w:val="auto"/>
                <w:sz w:val="21"/>
                <w:szCs w:val="21"/>
              </w:rPr>
            </w:pPr>
            <w:r>
              <w:rPr>
                <w:rFonts w:hint="default" w:ascii="宋体"/>
                <w:color w:val="auto"/>
                <w:sz w:val="21"/>
                <w:szCs w:val="21"/>
              </w:rPr>
              <w:t>制定作业安全规程和各工种操作规程。</w:t>
            </w:r>
          </w:p>
        </w:tc>
        <w:tc>
          <w:tcPr>
            <w:tcW w:w="928" w:type="pct"/>
            <w:tcBorders>
              <w:tl2br w:val="nil"/>
              <w:tr2bl w:val="nil"/>
            </w:tcBorders>
            <w:vAlign w:val="center"/>
          </w:tcPr>
          <w:p w14:paraId="048618FE">
            <w:pPr>
              <w:pStyle w:val="40"/>
              <w:keepNext w:val="0"/>
              <w:keepLines w:val="0"/>
              <w:suppressLineNumbers w:val="0"/>
              <w:spacing w:before="0" w:beforeAutospacing="0" w:after="0" w:afterAutospacing="0" w:line="300" w:lineRule="exact"/>
              <w:ind w:left="0" w:right="0"/>
              <w:rPr>
                <w:rFonts w:hint="default" w:ascii="宋体"/>
                <w:color w:val="auto"/>
                <w:sz w:val="21"/>
                <w:szCs w:val="21"/>
              </w:rPr>
            </w:pPr>
            <w:r>
              <w:rPr>
                <w:rFonts w:hint="eastAsia" w:ascii="宋体"/>
                <w:color w:val="auto"/>
                <w:sz w:val="21"/>
                <w:szCs w:val="21"/>
              </w:rPr>
              <w:t>《非煤矿矿山企业安全生产许可证实施办法》</w:t>
            </w:r>
          </w:p>
          <w:p w14:paraId="3C05CEB1">
            <w:pPr>
              <w:pStyle w:val="40"/>
              <w:keepNext w:val="0"/>
              <w:keepLines w:val="0"/>
              <w:suppressLineNumbers w:val="0"/>
              <w:spacing w:before="0" w:beforeAutospacing="0" w:after="0" w:afterAutospacing="0" w:line="300" w:lineRule="exact"/>
              <w:ind w:left="0" w:right="0"/>
              <w:rPr>
                <w:rFonts w:hint="default" w:ascii="宋体"/>
                <w:color w:val="auto"/>
                <w:sz w:val="21"/>
                <w:szCs w:val="21"/>
              </w:rPr>
            </w:pPr>
            <w:r>
              <w:rPr>
                <w:rFonts w:hint="eastAsia" w:ascii="宋体"/>
                <w:color w:val="auto"/>
                <w:sz w:val="21"/>
                <w:szCs w:val="21"/>
              </w:rPr>
              <w:t>第六条</w:t>
            </w:r>
          </w:p>
        </w:tc>
        <w:tc>
          <w:tcPr>
            <w:tcW w:w="1383" w:type="pct"/>
            <w:tcBorders>
              <w:tl2br w:val="nil"/>
              <w:tr2bl w:val="nil"/>
            </w:tcBorders>
            <w:vAlign w:val="center"/>
          </w:tcPr>
          <w:p w14:paraId="0E4F83EB">
            <w:pPr>
              <w:keepNext w:val="0"/>
              <w:keepLines w:val="0"/>
              <w:suppressLineNumbers w:val="0"/>
              <w:spacing w:before="0" w:beforeAutospacing="0" w:after="0" w:afterAutospacing="0" w:line="300" w:lineRule="exact"/>
              <w:ind w:left="0" w:right="0" w:firstLine="0" w:firstLineChars="0"/>
              <w:rPr>
                <w:rFonts w:hint="default" w:hAnsi="宋体"/>
                <w:color w:val="auto"/>
                <w:kern w:val="44"/>
                <w:sz w:val="21"/>
                <w:szCs w:val="21"/>
              </w:rPr>
            </w:pPr>
            <w:r>
              <w:rPr>
                <w:rFonts w:hint="eastAsia" w:cs="宋体"/>
                <w:color w:val="auto"/>
                <w:kern w:val="44"/>
                <w:sz w:val="21"/>
                <w:szCs w:val="21"/>
                <w:lang w:eastAsia="zh-CN"/>
              </w:rPr>
              <w:t>可研报告中明确了相关内容</w:t>
            </w:r>
            <w:r>
              <w:rPr>
                <w:rFonts w:hint="eastAsia" w:hAnsi="宋体" w:cs="宋体"/>
                <w:color w:val="auto"/>
                <w:kern w:val="44"/>
                <w:sz w:val="21"/>
                <w:szCs w:val="21"/>
              </w:rPr>
              <w:t>。</w:t>
            </w:r>
            <w:r>
              <w:rPr>
                <w:rFonts w:hint="eastAsia" w:cs="宋体"/>
                <w:color w:val="auto"/>
                <w:sz w:val="21"/>
                <w:szCs w:val="21"/>
                <w:lang w:val="en-US" w:eastAsia="zh-CN"/>
              </w:rPr>
              <w:t>。</w:t>
            </w:r>
          </w:p>
        </w:tc>
        <w:tc>
          <w:tcPr>
            <w:tcW w:w="356" w:type="pct"/>
            <w:tcBorders>
              <w:tl2br w:val="nil"/>
              <w:tr2bl w:val="nil"/>
            </w:tcBorders>
            <w:vAlign w:val="center"/>
          </w:tcPr>
          <w:p w14:paraId="005C5FB6">
            <w:pPr>
              <w:keepNext w:val="0"/>
              <w:keepLines w:val="0"/>
              <w:suppressLineNumbers w:val="0"/>
              <w:spacing w:before="0" w:beforeAutospacing="0" w:after="0" w:afterAutospacing="0" w:line="300" w:lineRule="exact"/>
              <w:ind w:left="0" w:right="0" w:firstLine="0" w:firstLineChars="0"/>
              <w:jc w:val="center"/>
              <w:rPr>
                <w:rFonts w:hint="default" w:hAnsi="宋体"/>
                <w:color w:val="auto"/>
                <w:kern w:val="44"/>
                <w:sz w:val="21"/>
                <w:szCs w:val="21"/>
              </w:rPr>
            </w:pPr>
            <w:r>
              <w:rPr>
                <w:rFonts w:hint="eastAsia" w:hAnsi="宋体"/>
                <w:color w:val="auto"/>
                <w:kern w:val="44"/>
                <w:sz w:val="21"/>
                <w:szCs w:val="21"/>
              </w:rPr>
              <w:t>符合</w:t>
            </w:r>
          </w:p>
        </w:tc>
      </w:tr>
      <w:tr w14:paraId="21912FB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trPr>
        <w:tc>
          <w:tcPr>
            <w:tcW w:w="364" w:type="pct"/>
            <w:tcBorders>
              <w:tl2br w:val="nil"/>
              <w:tr2bl w:val="nil"/>
            </w:tcBorders>
            <w:vAlign w:val="center"/>
          </w:tcPr>
          <w:p w14:paraId="16F9BBE3">
            <w:pPr>
              <w:keepNext w:val="0"/>
              <w:keepLines w:val="0"/>
              <w:suppressLineNumbers w:val="0"/>
              <w:spacing w:before="0" w:beforeAutospacing="0" w:after="0" w:afterAutospacing="0" w:line="300" w:lineRule="exact"/>
              <w:ind w:left="0" w:right="0" w:firstLine="0" w:firstLineChars="0"/>
              <w:jc w:val="center"/>
              <w:rPr>
                <w:rFonts w:hint="eastAsia" w:hAnsi="宋体" w:eastAsia="宋体"/>
                <w:color w:val="auto"/>
                <w:kern w:val="44"/>
                <w:sz w:val="21"/>
                <w:szCs w:val="21"/>
                <w:lang w:eastAsia="zh-CN"/>
              </w:rPr>
            </w:pPr>
            <w:r>
              <w:rPr>
                <w:rFonts w:hint="eastAsia"/>
                <w:color w:val="auto"/>
                <w:kern w:val="44"/>
                <w:sz w:val="21"/>
                <w:szCs w:val="21"/>
                <w:lang w:val="en-US" w:eastAsia="zh-CN"/>
              </w:rPr>
              <w:t>9</w:t>
            </w:r>
          </w:p>
        </w:tc>
        <w:tc>
          <w:tcPr>
            <w:tcW w:w="1967" w:type="pct"/>
            <w:tcBorders>
              <w:tl2br w:val="nil"/>
              <w:tr2bl w:val="nil"/>
            </w:tcBorders>
            <w:vAlign w:val="center"/>
          </w:tcPr>
          <w:p w14:paraId="53E25C1D">
            <w:pPr>
              <w:pStyle w:val="40"/>
              <w:keepNext w:val="0"/>
              <w:keepLines w:val="0"/>
              <w:suppressLineNumbers w:val="0"/>
              <w:spacing w:before="0" w:beforeAutospacing="0" w:after="0" w:afterAutospacing="0" w:line="300" w:lineRule="exact"/>
              <w:ind w:left="0" w:right="0"/>
              <w:jc w:val="both"/>
              <w:rPr>
                <w:rFonts w:hint="default" w:ascii="宋体"/>
                <w:color w:val="auto"/>
                <w:sz w:val="21"/>
                <w:szCs w:val="21"/>
              </w:rPr>
            </w:pPr>
            <w:r>
              <w:rPr>
                <w:rFonts w:hint="eastAsia" w:ascii="宋体"/>
                <w:color w:val="auto"/>
                <w:sz w:val="21"/>
                <w:szCs w:val="21"/>
              </w:rPr>
              <w:t>矿山企业是落实领导带班下井制度的责任主体，必须确保每个班次至少有</w:t>
            </w:r>
            <w:r>
              <w:rPr>
                <w:rFonts w:hint="default" w:ascii="宋体"/>
                <w:color w:val="auto"/>
                <w:sz w:val="21"/>
                <w:szCs w:val="21"/>
              </w:rPr>
              <w:t>1</w:t>
            </w:r>
            <w:r>
              <w:rPr>
                <w:rFonts w:hint="eastAsia" w:ascii="宋体"/>
                <w:color w:val="auto"/>
                <w:sz w:val="21"/>
                <w:szCs w:val="21"/>
              </w:rPr>
              <w:t>名领导在井下现场带班，并与工人同时下井、同时升井。矿山企业的主要负责人对落实领导带班下井制度全面负责。</w:t>
            </w:r>
          </w:p>
        </w:tc>
        <w:tc>
          <w:tcPr>
            <w:tcW w:w="928" w:type="pct"/>
            <w:tcBorders>
              <w:tl2br w:val="nil"/>
              <w:tr2bl w:val="nil"/>
            </w:tcBorders>
            <w:vAlign w:val="center"/>
          </w:tcPr>
          <w:p w14:paraId="43CD258B">
            <w:pPr>
              <w:pStyle w:val="40"/>
              <w:keepNext w:val="0"/>
              <w:keepLines w:val="0"/>
              <w:suppressLineNumbers w:val="0"/>
              <w:spacing w:before="0" w:beforeAutospacing="0" w:after="0" w:afterAutospacing="0" w:line="300" w:lineRule="exact"/>
              <w:ind w:left="0" w:right="0"/>
              <w:rPr>
                <w:rFonts w:hint="default" w:ascii="宋体"/>
                <w:color w:val="auto"/>
                <w:sz w:val="21"/>
                <w:szCs w:val="21"/>
              </w:rPr>
            </w:pPr>
            <w:r>
              <w:rPr>
                <w:rFonts w:hint="eastAsia" w:ascii="宋体"/>
                <w:color w:val="auto"/>
                <w:sz w:val="21"/>
                <w:szCs w:val="21"/>
              </w:rPr>
              <w:t>《金属非金属地下矿山企业领导带班下井及监督检查暂行规定》第四条</w:t>
            </w:r>
          </w:p>
        </w:tc>
        <w:tc>
          <w:tcPr>
            <w:tcW w:w="1383" w:type="pct"/>
            <w:tcBorders>
              <w:tl2br w:val="nil"/>
              <w:tr2bl w:val="nil"/>
            </w:tcBorders>
            <w:vAlign w:val="center"/>
          </w:tcPr>
          <w:p w14:paraId="1D484A4C">
            <w:pPr>
              <w:keepNext w:val="0"/>
              <w:keepLines w:val="0"/>
              <w:suppressLineNumbers w:val="0"/>
              <w:spacing w:before="0" w:beforeAutospacing="0" w:after="0" w:afterAutospacing="0" w:line="300" w:lineRule="exact"/>
              <w:ind w:left="0" w:right="0" w:firstLine="0" w:firstLineChars="0"/>
              <w:rPr>
                <w:rFonts w:hint="default" w:hAnsi="宋体"/>
                <w:color w:val="auto"/>
                <w:kern w:val="44"/>
                <w:sz w:val="21"/>
                <w:szCs w:val="21"/>
              </w:rPr>
            </w:pPr>
            <w:r>
              <w:rPr>
                <w:rFonts w:hint="eastAsia" w:cs="宋体"/>
                <w:color w:val="auto"/>
                <w:sz w:val="21"/>
                <w:szCs w:val="21"/>
                <w:lang w:val="en-US" w:eastAsia="zh-CN"/>
              </w:rPr>
              <w:t>可研报告中无相关内容。</w:t>
            </w:r>
          </w:p>
        </w:tc>
        <w:tc>
          <w:tcPr>
            <w:tcW w:w="356" w:type="pct"/>
            <w:tcBorders>
              <w:tl2br w:val="nil"/>
              <w:tr2bl w:val="nil"/>
            </w:tcBorders>
            <w:vAlign w:val="center"/>
          </w:tcPr>
          <w:p w14:paraId="70B96149">
            <w:pPr>
              <w:keepNext w:val="0"/>
              <w:keepLines w:val="0"/>
              <w:suppressLineNumbers w:val="0"/>
              <w:spacing w:before="0" w:beforeAutospacing="0" w:after="0" w:afterAutospacing="0" w:line="300" w:lineRule="exact"/>
              <w:ind w:left="0" w:right="0" w:firstLine="0" w:firstLineChars="0"/>
              <w:jc w:val="center"/>
              <w:rPr>
                <w:rFonts w:hint="default" w:hAnsi="宋体"/>
                <w:color w:val="auto"/>
                <w:kern w:val="44"/>
                <w:sz w:val="21"/>
                <w:szCs w:val="21"/>
              </w:rPr>
            </w:pPr>
            <w:r>
              <w:rPr>
                <w:rFonts w:hint="eastAsia" w:hAnsi="宋体"/>
                <w:color w:val="auto"/>
                <w:kern w:val="44"/>
                <w:sz w:val="21"/>
                <w:szCs w:val="21"/>
              </w:rPr>
              <w:t>不符合</w:t>
            </w:r>
          </w:p>
        </w:tc>
      </w:tr>
      <w:tr w14:paraId="122E9D0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trPr>
        <w:tc>
          <w:tcPr>
            <w:tcW w:w="5000" w:type="pct"/>
            <w:gridSpan w:val="5"/>
            <w:tcBorders>
              <w:tl2br w:val="nil"/>
              <w:tr2bl w:val="nil"/>
            </w:tcBorders>
            <w:vAlign w:val="center"/>
          </w:tcPr>
          <w:p w14:paraId="2653AA65">
            <w:pPr>
              <w:keepNext w:val="0"/>
              <w:keepLines w:val="0"/>
              <w:suppressLineNumbers w:val="0"/>
              <w:spacing w:before="0" w:beforeAutospacing="0" w:after="0" w:afterAutospacing="0" w:line="300" w:lineRule="exact"/>
              <w:ind w:left="0" w:right="0" w:firstLine="0" w:firstLineChars="0"/>
              <w:jc w:val="center"/>
              <w:rPr>
                <w:rFonts w:hint="default" w:hAnsi="宋体"/>
                <w:b/>
                <w:color w:val="auto"/>
                <w:kern w:val="44"/>
                <w:sz w:val="21"/>
                <w:szCs w:val="21"/>
              </w:rPr>
            </w:pPr>
            <w:r>
              <w:rPr>
                <w:rFonts w:hint="eastAsia" w:hAnsi="宋体"/>
                <w:b/>
                <w:color w:val="auto"/>
                <w:kern w:val="44"/>
                <w:sz w:val="21"/>
                <w:szCs w:val="21"/>
              </w:rPr>
              <w:t>三、安全培训、教育与考核</w:t>
            </w:r>
          </w:p>
        </w:tc>
      </w:tr>
      <w:tr w14:paraId="43C781E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trPr>
        <w:tc>
          <w:tcPr>
            <w:tcW w:w="364" w:type="pct"/>
            <w:tcBorders>
              <w:tl2br w:val="nil"/>
              <w:tr2bl w:val="nil"/>
            </w:tcBorders>
            <w:vAlign w:val="center"/>
          </w:tcPr>
          <w:p w14:paraId="56FA9D8E">
            <w:pPr>
              <w:keepNext w:val="0"/>
              <w:keepLines w:val="0"/>
              <w:suppressLineNumbers w:val="0"/>
              <w:spacing w:before="0" w:beforeAutospacing="0" w:after="0" w:afterAutospacing="0" w:line="300" w:lineRule="exact"/>
              <w:ind w:left="0" w:right="0" w:firstLine="0" w:firstLineChars="0"/>
              <w:jc w:val="center"/>
              <w:rPr>
                <w:rFonts w:hint="default" w:hAnsi="宋体" w:eastAsia="宋体"/>
                <w:color w:val="auto"/>
                <w:kern w:val="44"/>
                <w:sz w:val="21"/>
                <w:szCs w:val="21"/>
                <w:lang w:val="en-US" w:eastAsia="zh-CN"/>
              </w:rPr>
            </w:pPr>
            <w:r>
              <w:rPr>
                <w:rFonts w:hint="eastAsia"/>
                <w:color w:val="auto"/>
                <w:kern w:val="44"/>
                <w:sz w:val="21"/>
                <w:szCs w:val="21"/>
                <w:lang w:val="en-US" w:eastAsia="zh-CN"/>
              </w:rPr>
              <w:t>10</w:t>
            </w:r>
          </w:p>
        </w:tc>
        <w:tc>
          <w:tcPr>
            <w:tcW w:w="1967" w:type="pct"/>
            <w:tcBorders>
              <w:tl2br w:val="nil"/>
              <w:tr2bl w:val="nil"/>
            </w:tcBorders>
            <w:vAlign w:val="center"/>
          </w:tcPr>
          <w:p w14:paraId="2AD3FF23">
            <w:pPr>
              <w:keepNext w:val="0"/>
              <w:keepLines w:val="0"/>
              <w:suppressLineNumbers w:val="0"/>
              <w:spacing w:before="0" w:beforeAutospacing="0" w:after="0" w:afterAutospacing="0" w:line="300" w:lineRule="exact"/>
              <w:ind w:left="0" w:right="0" w:firstLine="0" w:firstLineChars="0"/>
              <w:jc w:val="left"/>
              <w:rPr>
                <w:rFonts w:hint="default" w:hAnsi="宋体"/>
                <w:color w:val="auto"/>
                <w:kern w:val="44"/>
                <w:sz w:val="21"/>
                <w:szCs w:val="21"/>
              </w:rPr>
            </w:pPr>
            <w:r>
              <w:rPr>
                <w:rFonts w:hint="eastAsia" w:hAnsi="宋体"/>
                <w:color w:val="auto"/>
                <w:kern w:val="44"/>
                <w:sz w:val="21"/>
                <w:szCs w:val="21"/>
              </w:rPr>
              <w:t>矿山企业应对矿山从业人员进行安全生产教育和培训，保证各岗位人员具备必要的安全生产知识，熟悉本矿山安全生产规章制度和本岗位安全操作规程，掌握本岗位的安全操作技能。未经安全生产教育和培训合格的，不准许上岗。</w:t>
            </w:r>
          </w:p>
        </w:tc>
        <w:tc>
          <w:tcPr>
            <w:tcW w:w="928" w:type="pct"/>
            <w:tcBorders>
              <w:tl2br w:val="nil"/>
              <w:tr2bl w:val="nil"/>
            </w:tcBorders>
            <w:vAlign w:val="center"/>
          </w:tcPr>
          <w:p w14:paraId="79E34666">
            <w:pPr>
              <w:keepNext w:val="0"/>
              <w:keepLines w:val="0"/>
              <w:suppressLineNumbers w:val="0"/>
              <w:spacing w:before="0" w:beforeAutospacing="0" w:after="0" w:afterAutospacing="0" w:line="300" w:lineRule="exact"/>
              <w:ind w:left="0" w:right="0" w:firstLine="0" w:firstLineChars="0"/>
              <w:jc w:val="center"/>
              <w:rPr>
                <w:rFonts w:hint="default" w:hAnsi="宋体"/>
                <w:color w:val="auto"/>
                <w:kern w:val="44"/>
                <w:sz w:val="21"/>
                <w:szCs w:val="21"/>
              </w:rPr>
            </w:pPr>
            <w:r>
              <w:rPr>
                <w:rFonts w:hint="eastAsia"/>
                <w:color w:val="auto"/>
                <w:sz w:val="21"/>
                <w:szCs w:val="21"/>
              </w:rPr>
              <w:t>《金属非金属矿山安全规程》(</w:t>
            </w:r>
            <w:r>
              <w:rPr>
                <w:rFonts w:hint="eastAsia"/>
                <w:bCs/>
                <w:color w:val="auto"/>
                <w:sz w:val="21"/>
                <w:szCs w:val="21"/>
              </w:rPr>
              <w:t>GBl6423</w:t>
            </w:r>
            <w:r>
              <w:rPr>
                <w:rFonts w:hint="eastAsia"/>
                <w:color w:val="auto"/>
                <w:sz w:val="21"/>
                <w:szCs w:val="21"/>
              </w:rPr>
              <w:t>-</w:t>
            </w:r>
            <w:r>
              <w:rPr>
                <w:rFonts w:hint="eastAsia"/>
                <w:bCs/>
                <w:color w:val="auto"/>
                <w:sz w:val="21"/>
                <w:szCs w:val="21"/>
              </w:rPr>
              <w:t>2020</w:t>
            </w:r>
            <w:r>
              <w:rPr>
                <w:rFonts w:hint="eastAsia"/>
                <w:color w:val="auto"/>
                <w:sz w:val="21"/>
                <w:szCs w:val="21"/>
              </w:rPr>
              <w:t>)第4.5.1条</w:t>
            </w:r>
          </w:p>
        </w:tc>
        <w:tc>
          <w:tcPr>
            <w:tcW w:w="1383" w:type="pct"/>
            <w:tcBorders>
              <w:tl2br w:val="nil"/>
              <w:tr2bl w:val="nil"/>
            </w:tcBorders>
            <w:vAlign w:val="center"/>
          </w:tcPr>
          <w:p w14:paraId="2B12795D">
            <w:pPr>
              <w:keepNext w:val="0"/>
              <w:keepLines w:val="0"/>
              <w:suppressLineNumbers w:val="0"/>
              <w:spacing w:before="0" w:beforeAutospacing="0" w:after="0" w:afterAutospacing="0" w:line="300" w:lineRule="exact"/>
              <w:ind w:left="0" w:right="0" w:firstLine="0" w:firstLineChars="0"/>
              <w:jc w:val="left"/>
              <w:rPr>
                <w:rFonts w:hint="default" w:hAnsi="宋体"/>
                <w:color w:val="auto"/>
                <w:kern w:val="44"/>
                <w:sz w:val="21"/>
                <w:szCs w:val="21"/>
              </w:rPr>
            </w:pPr>
            <w:r>
              <w:rPr>
                <w:rFonts w:hint="eastAsia" w:cs="宋体"/>
                <w:color w:val="auto"/>
                <w:sz w:val="21"/>
                <w:szCs w:val="21"/>
                <w:lang w:val="en-US" w:eastAsia="zh-CN"/>
              </w:rPr>
              <w:t>可研报告中明确了相关内容。</w:t>
            </w:r>
          </w:p>
        </w:tc>
        <w:tc>
          <w:tcPr>
            <w:tcW w:w="356" w:type="pct"/>
            <w:tcBorders>
              <w:tl2br w:val="nil"/>
              <w:tr2bl w:val="nil"/>
            </w:tcBorders>
            <w:vAlign w:val="center"/>
          </w:tcPr>
          <w:p w14:paraId="79FC50B5">
            <w:pPr>
              <w:keepNext w:val="0"/>
              <w:keepLines w:val="0"/>
              <w:suppressLineNumbers w:val="0"/>
              <w:spacing w:before="0" w:beforeAutospacing="0" w:after="0" w:afterAutospacing="0" w:line="300" w:lineRule="exact"/>
              <w:ind w:left="0" w:right="0" w:firstLine="0" w:firstLineChars="0"/>
              <w:jc w:val="center"/>
              <w:rPr>
                <w:rFonts w:hint="default" w:hAnsi="宋体"/>
                <w:color w:val="auto"/>
                <w:kern w:val="44"/>
                <w:sz w:val="21"/>
                <w:szCs w:val="21"/>
              </w:rPr>
            </w:pPr>
            <w:r>
              <w:rPr>
                <w:rFonts w:hint="eastAsia" w:hAnsi="宋体"/>
                <w:color w:val="auto"/>
                <w:kern w:val="44"/>
                <w:sz w:val="21"/>
                <w:szCs w:val="21"/>
              </w:rPr>
              <w:t>符合</w:t>
            </w:r>
          </w:p>
        </w:tc>
      </w:tr>
      <w:tr w14:paraId="7CB485E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trPr>
        <w:tc>
          <w:tcPr>
            <w:tcW w:w="364" w:type="pct"/>
            <w:tcBorders>
              <w:tl2br w:val="nil"/>
              <w:tr2bl w:val="nil"/>
            </w:tcBorders>
            <w:vAlign w:val="center"/>
          </w:tcPr>
          <w:p w14:paraId="166535FF">
            <w:pPr>
              <w:keepNext w:val="0"/>
              <w:keepLines w:val="0"/>
              <w:suppressLineNumbers w:val="0"/>
              <w:spacing w:before="0" w:beforeAutospacing="0" w:after="0" w:afterAutospacing="0" w:line="300" w:lineRule="exact"/>
              <w:ind w:left="0" w:right="0" w:firstLine="0" w:firstLineChars="0"/>
              <w:jc w:val="center"/>
              <w:rPr>
                <w:rFonts w:hint="default" w:hAnsi="宋体" w:eastAsia="宋体"/>
                <w:color w:val="auto"/>
                <w:kern w:val="44"/>
                <w:sz w:val="21"/>
                <w:szCs w:val="21"/>
                <w:lang w:val="en-US" w:eastAsia="zh-CN"/>
              </w:rPr>
            </w:pPr>
            <w:r>
              <w:rPr>
                <w:rFonts w:hint="eastAsia"/>
                <w:color w:val="auto"/>
                <w:kern w:val="44"/>
                <w:sz w:val="21"/>
                <w:szCs w:val="21"/>
                <w:lang w:val="en-US" w:eastAsia="zh-CN"/>
              </w:rPr>
              <w:t>11</w:t>
            </w:r>
          </w:p>
        </w:tc>
        <w:tc>
          <w:tcPr>
            <w:tcW w:w="1967" w:type="pct"/>
            <w:tcBorders>
              <w:tl2br w:val="nil"/>
              <w:tr2bl w:val="nil"/>
            </w:tcBorders>
            <w:vAlign w:val="center"/>
          </w:tcPr>
          <w:p w14:paraId="24D5C302">
            <w:pPr>
              <w:keepNext w:val="0"/>
              <w:keepLines w:val="0"/>
              <w:suppressLineNumbers w:val="0"/>
              <w:spacing w:before="0" w:beforeAutospacing="0" w:after="0" w:afterAutospacing="0" w:line="300" w:lineRule="exact"/>
              <w:ind w:left="0" w:right="0" w:firstLine="0" w:firstLineChars="0"/>
              <w:rPr>
                <w:rFonts w:hint="default" w:hAnsi="宋体"/>
                <w:color w:val="auto"/>
                <w:kern w:val="44"/>
                <w:sz w:val="21"/>
                <w:szCs w:val="21"/>
              </w:rPr>
            </w:pPr>
            <w:r>
              <w:rPr>
                <w:rFonts w:hint="eastAsia" w:hAnsi="宋体"/>
                <w:color w:val="auto"/>
                <w:kern w:val="44"/>
                <w:sz w:val="21"/>
                <w:szCs w:val="21"/>
              </w:rPr>
              <w:t>新进地下矿山的生产作业人员应接受不少于72h的安全培训；经考试合格后，由从事地下矿山作业2年以上的老工人带领工作至少4个月，熟悉本工种操作技术并经考核合格方可独立工作。</w:t>
            </w:r>
          </w:p>
        </w:tc>
        <w:tc>
          <w:tcPr>
            <w:tcW w:w="928" w:type="pct"/>
            <w:tcBorders>
              <w:tl2br w:val="nil"/>
              <w:tr2bl w:val="nil"/>
            </w:tcBorders>
            <w:vAlign w:val="center"/>
          </w:tcPr>
          <w:p w14:paraId="46887F01">
            <w:pPr>
              <w:keepNext w:val="0"/>
              <w:keepLines w:val="0"/>
              <w:suppressLineNumbers w:val="0"/>
              <w:spacing w:before="0" w:beforeAutospacing="0" w:after="0" w:afterAutospacing="0" w:line="300" w:lineRule="exact"/>
              <w:ind w:left="0" w:right="0" w:firstLine="0" w:firstLineChars="0"/>
              <w:jc w:val="center"/>
              <w:rPr>
                <w:rFonts w:hint="default" w:hAnsi="宋体" w:cs="宋体"/>
                <w:color w:val="auto"/>
                <w:kern w:val="44"/>
                <w:sz w:val="21"/>
                <w:szCs w:val="21"/>
              </w:rPr>
            </w:pPr>
            <w:r>
              <w:rPr>
                <w:rFonts w:hint="eastAsia" w:hAnsi="宋体" w:cs="宋体"/>
                <w:color w:val="auto"/>
                <w:sz w:val="21"/>
                <w:szCs w:val="21"/>
              </w:rPr>
              <w:t>《金属非金属矿山安全规程》(</w:t>
            </w:r>
            <w:r>
              <w:rPr>
                <w:rFonts w:hint="eastAsia" w:hAnsi="宋体" w:cs="宋体"/>
                <w:bCs/>
                <w:color w:val="auto"/>
                <w:sz w:val="21"/>
                <w:szCs w:val="21"/>
              </w:rPr>
              <w:t>GBl6423</w:t>
            </w:r>
            <w:r>
              <w:rPr>
                <w:rFonts w:hint="eastAsia" w:hAnsi="宋体" w:cs="宋体"/>
                <w:color w:val="auto"/>
                <w:sz w:val="21"/>
                <w:szCs w:val="21"/>
              </w:rPr>
              <w:t>-</w:t>
            </w:r>
            <w:r>
              <w:rPr>
                <w:rFonts w:hint="eastAsia" w:hAnsi="宋体" w:cs="宋体"/>
                <w:bCs/>
                <w:color w:val="auto"/>
                <w:sz w:val="21"/>
                <w:szCs w:val="21"/>
              </w:rPr>
              <w:t>2020</w:t>
            </w:r>
            <w:r>
              <w:rPr>
                <w:rFonts w:hint="eastAsia" w:hAnsi="宋体" w:cs="宋体"/>
                <w:color w:val="auto"/>
                <w:sz w:val="21"/>
                <w:szCs w:val="21"/>
              </w:rPr>
              <w:t>)第4.5.3条</w:t>
            </w:r>
          </w:p>
        </w:tc>
        <w:tc>
          <w:tcPr>
            <w:tcW w:w="1383" w:type="pct"/>
            <w:tcBorders>
              <w:tl2br w:val="nil"/>
              <w:tr2bl w:val="nil"/>
            </w:tcBorders>
            <w:vAlign w:val="center"/>
          </w:tcPr>
          <w:p w14:paraId="18BE34DA">
            <w:pPr>
              <w:keepNext w:val="0"/>
              <w:keepLines w:val="0"/>
              <w:suppressLineNumbers w:val="0"/>
              <w:spacing w:before="0" w:beforeAutospacing="0" w:after="0" w:afterAutospacing="0" w:line="300" w:lineRule="exact"/>
              <w:ind w:left="0" w:right="0" w:firstLine="0" w:firstLineChars="0"/>
              <w:jc w:val="left"/>
              <w:rPr>
                <w:rFonts w:hint="default" w:hAnsi="宋体" w:eastAsia="宋体" w:cs="宋体"/>
                <w:color w:val="auto"/>
                <w:kern w:val="44"/>
                <w:sz w:val="21"/>
                <w:szCs w:val="21"/>
                <w:lang w:val="en-US" w:eastAsia="zh-CN"/>
              </w:rPr>
            </w:pPr>
            <w:r>
              <w:rPr>
                <w:rFonts w:hint="eastAsia" w:cs="宋体"/>
                <w:color w:val="auto"/>
                <w:sz w:val="21"/>
                <w:szCs w:val="21"/>
                <w:lang w:val="en-US" w:eastAsia="zh-CN"/>
              </w:rPr>
              <w:t>可研报告中无相关内容。</w:t>
            </w:r>
          </w:p>
        </w:tc>
        <w:tc>
          <w:tcPr>
            <w:tcW w:w="356" w:type="pct"/>
            <w:tcBorders>
              <w:tl2br w:val="nil"/>
              <w:tr2bl w:val="nil"/>
            </w:tcBorders>
            <w:vAlign w:val="center"/>
          </w:tcPr>
          <w:p w14:paraId="6B382C6D">
            <w:pPr>
              <w:keepNext w:val="0"/>
              <w:keepLines w:val="0"/>
              <w:suppressLineNumbers w:val="0"/>
              <w:spacing w:before="0" w:beforeAutospacing="0" w:after="0" w:afterAutospacing="0" w:line="300" w:lineRule="exact"/>
              <w:ind w:left="0" w:right="0" w:firstLine="0" w:firstLineChars="0"/>
              <w:jc w:val="center"/>
              <w:rPr>
                <w:rFonts w:hint="default" w:hAnsi="宋体"/>
                <w:color w:val="auto"/>
                <w:kern w:val="44"/>
                <w:sz w:val="21"/>
                <w:szCs w:val="21"/>
              </w:rPr>
            </w:pPr>
            <w:r>
              <w:rPr>
                <w:rFonts w:hint="eastAsia"/>
                <w:color w:val="auto"/>
                <w:kern w:val="44"/>
                <w:sz w:val="21"/>
                <w:szCs w:val="21"/>
                <w:lang w:val="en-US" w:eastAsia="zh-CN"/>
              </w:rPr>
              <w:t>不</w:t>
            </w:r>
            <w:r>
              <w:rPr>
                <w:rFonts w:hint="eastAsia" w:hAnsi="宋体"/>
                <w:color w:val="auto"/>
                <w:kern w:val="44"/>
                <w:sz w:val="21"/>
                <w:szCs w:val="21"/>
              </w:rPr>
              <w:t>符合</w:t>
            </w:r>
          </w:p>
        </w:tc>
      </w:tr>
      <w:tr w14:paraId="65E25DE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1" w:hRule="atLeast"/>
        </w:trPr>
        <w:tc>
          <w:tcPr>
            <w:tcW w:w="5000" w:type="pct"/>
            <w:gridSpan w:val="5"/>
            <w:tcBorders>
              <w:tl2br w:val="nil"/>
              <w:tr2bl w:val="nil"/>
            </w:tcBorders>
            <w:vAlign w:val="center"/>
          </w:tcPr>
          <w:p w14:paraId="384DCD0C">
            <w:pPr>
              <w:keepNext w:val="0"/>
              <w:keepLines w:val="0"/>
              <w:suppressLineNumbers w:val="0"/>
              <w:spacing w:before="0" w:beforeAutospacing="0" w:after="0" w:afterAutospacing="0" w:line="300" w:lineRule="exact"/>
              <w:ind w:left="0" w:right="0" w:firstLine="0" w:firstLineChars="0"/>
              <w:jc w:val="center"/>
              <w:rPr>
                <w:rFonts w:hint="default" w:hAnsi="宋体"/>
                <w:b/>
                <w:color w:val="auto"/>
                <w:kern w:val="44"/>
                <w:sz w:val="21"/>
                <w:szCs w:val="21"/>
              </w:rPr>
            </w:pPr>
            <w:r>
              <w:rPr>
                <w:rFonts w:hint="eastAsia" w:hAnsi="宋体"/>
                <w:b/>
                <w:color w:val="auto"/>
                <w:kern w:val="44"/>
                <w:sz w:val="21"/>
                <w:szCs w:val="21"/>
              </w:rPr>
              <w:t>四、安全投入</w:t>
            </w:r>
          </w:p>
        </w:tc>
      </w:tr>
      <w:tr w14:paraId="64E9715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trPr>
        <w:tc>
          <w:tcPr>
            <w:tcW w:w="364" w:type="pct"/>
            <w:tcBorders>
              <w:tl2br w:val="nil"/>
              <w:tr2bl w:val="nil"/>
            </w:tcBorders>
            <w:vAlign w:val="center"/>
          </w:tcPr>
          <w:p w14:paraId="101C0E62">
            <w:pPr>
              <w:keepNext w:val="0"/>
              <w:keepLines w:val="0"/>
              <w:suppressLineNumbers w:val="0"/>
              <w:spacing w:before="0" w:beforeAutospacing="0" w:after="0" w:afterAutospacing="0" w:line="300" w:lineRule="exact"/>
              <w:ind w:left="0" w:right="0" w:firstLine="0" w:firstLineChars="0"/>
              <w:jc w:val="center"/>
              <w:rPr>
                <w:rFonts w:hint="eastAsia" w:hAnsi="宋体" w:eastAsia="宋体"/>
                <w:color w:val="auto"/>
                <w:kern w:val="44"/>
                <w:sz w:val="21"/>
                <w:szCs w:val="21"/>
                <w:lang w:val="en-US" w:eastAsia="zh-CN"/>
              </w:rPr>
            </w:pPr>
            <w:r>
              <w:rPr>
                <w:rFonts w:hint="eastAsia" w:hAnsi="宋体"/>
                <w:color w:val="auto"/>
                <w:kern w:val="44"/>
                <w:sz w:val="21"/>
                <w:szCs w:val="21"/>
              </w:rPr>
              <w:t>1</w:t>
            </w:r>
            <w:r>
              <w:rPr>
                <w:rFonts w:hint="eastAsia"/>
                <w:color w:val="auto"/>
                <w:kern w:val="44"/>
                <w:sz w:val="21"/>
                <w:szCs w:val="21"/>
                <w:lang w:val="en-US" w:eastAsia="zh-CN"/>
              </w:rPr>
              <w:t>2</w:t>
            </w:r>
          </w:p>
        </w:tc>
        <w:tc>
          <w:tcPr>
            <w:tcW w:w="1967" w:type="pct"/>
            <w:tcBorders>
              <w:tl2br w:val="nil"/>
              <w:tr2bl w:val="nil"/>
            </w:tcBorders>
            <w:vAlign w:val="center"/>
          </w:tcPr>
          <w:p w14:paraId="0A891947">
            <w:pPr>
              <w:keepNext w:val="0"/>
              <w:keepLines w:val="0"/>
              <w:suppressLineNumbers w:val="0"/>
              <w:spacing w:before="0" w:beforeAutospacing="0" w:after="0" w:afterAutospacing="0" w:line="300" w:lineRule="exact"/>
              <w:ind w:left="0" w:right="0" w:firstLine="0" w:firstLineChars="0"/>
              <w:rPr>
                <w:rFonts w:hint="default" w:hAnsi="宋体"/>
                <w:color w:val="auto"/>
                <w:kern w:val="44"/>
                <w:sz w:val="21"/>
                <w:szCs w:val="21"/>
              </w:rPr>
            </w:pPr>
            <w:r>
              <w:rPr>
                <w:rFonts w:hint="eastAsia" w:hAnsi="宋体"/>
                <w:color w:val="auto"/>
                <w:kern w:val="44"/>
                <w:sz w:val="21"/>
                <w:szCs w:val="21"/>
              </w:rPr>
              <w:t>矿山企业应为从业人员提供符合国家标准要求的劳动防护用品。进入矿山作业场所的人员，应按规定佩带防护用品。</w:t>
            </w:r>
          </w:p>
        </w:tc>
        <w:tc>
          <w:tcPr>
            <w:tcW w:w="928" w:type="pct"/>
            <w:tcBorders>
              <w:tl2br w:val="nil"/>
              <w:tr2bl w:val="nil"/>
            </w:tcBorders>
            <w:vAlign w:val="center"/>
          </w:tcPr>
          <w:p w14:paraId="317EC5CC">
            <w:pPr>
              <w:keepNext w:val="0"/>
              <w:keepLines w:val="0"/>
              <w:suppressLineNumbers w:val="0"/>
              <w:spacing w:before="0" w:beforeAutospacing="0" w:after="0" w:afterAutospacing="0" w:line="300" w:lineRule="exact"/>
              <w:ind w:left="0" w:right="0" w:firstLine="0" w:firstLineChars="0"/>
              <w:jc w:val="center"/>
              <w:rPr>
                <w:rFonts w:hint="default" w:hAnsi="宋体"/>
                <w:color w:val="auto"/>
                <w:kern w:val="44"/>
                <w:sz w:val="21"/>
                <w:szCs w:val="21"/>
              </w:rPr>
            </w:pPr>
            <w:r>
              <w:rPr>
                <w:rFonts w:hint="eastAsia" w:hAnsi="宋体" w:cs="宋体"/>
                <w:color w:val="auto"/>
                <w:sz w:val="21"/>
                <w:szCs w:val="21"/>
              </w:rPr>
              <w:t>《金属非金属矿山安全规程》(</w:t>
            </w:r>
            <w:r>
              <w:rPr>
                <w:rFonts w:hint="eastAsia" w:hAnsi="宋体" w:cs="宋体"/>
                <w:bCs/>
                <w:color w:val="auto"/>
                <w:sz w:val="21"/>
                <w:szCs w:val="21"/>
              </w:rPr>
              <w:t>GBl6423</w:t>
            </w:r>
            <w:r>
              <w:rPr>
                <w:rFonts w:hint="eastAsia" w:hAnsi="宋体" w:cs="宋体"/>
                <w:color w:val="auto"/>
                <w:sz w:val="21"/>
                <w:szCs w:val="21"/>
              </w:rPr>
              <w:t>-</w:t>
            </w:r>
            <w:r>
              <w:rPr>
                <w:rFonts w:hint="eastAsia" w:hAnsi="宋体" w:cs="宋体"/>
                <w:bCs/>
                <w:color w:val="auto"/>
                <w:sz w:val="21"/>
                <w:szCs w:val="21"/>
              </w:rPr>
              <w:t>2020</w:t>
            </w:r>
            <w:r>
              <w:rPr>
                <w:rFonts w:hint="eastAsia" w:hAnsi="宋体" w:cs="宋体"/>
                <w:color w:val="auto"/>
                <w:sz w:val="21"/>
                <w:szCs w:val="21"/>
              </w:rPr>
              <w:t>)第4.1.8条</w:t>
            </w:r>
          </w:p>
        </w:tc>
        <w:tc>
          <w:tcPr>
            <w:tcW w:w="1383" w:type="pct"/>
            <w:tcBorders>
              <w:tl2br w:val="nil"/>
              <w:tr2bl w:val="nil"/>
            </w:tcBorders>
            <w:vAlign w:val="center"/>
          </w:tcPr>
          <w:p w14:paraId="4F749B3E">
            <w:pPr>
              <w:keepNext w:val="0"/>
              <w:keepLines w:val="0"/>
              <w:suppressLineNumbers w:val="0"/>
              <w:spacing w:before="0" w:beforeAutospacing="0" w:after="0" w:afterAutospacing="0" w:line="300" w:lineRule="exact"/>
              <w:ind w:left="0" w:right="0" w:firstLine="0" w:firstLineChars="0"/>
              <w:rPr>
                <w:rFonts w:hint="default" w:hAnsi="宋体"/>
                <w:color w:val="auto"/>
                <w:kern w:val="44"/>
                <w:sz w:val="21"/>
                <w:szCs w:val="21"/>
              </w:rPr>
            </w:pPr>
            <w:r>
              <w:rPr>
                <w:rFonts w:hint="eastAsia" w:cs="宋体"/>
                <w:color w:val="auto"/>
                <w:sz w:val="21"/>
                <w:szCs w:val="21"/>
                <w:lang w:val="en-US" w:eastAsia="zh-CN"/>
              </w:rPr>
              <w:t>可研报告中明确了相关内容。</w:t>
            </w:r>
          </w:p>
        </w:tc>
        <w:tc>
          <w:tcPr>
            <w:tcW w:w="356" w:type="pct"/>
            <w:tcBorders>
              <w:tl2br w:val="nil"/>
              <w:tr2bl w:val="nil"/>
            </w:tcBorders>
            <w:vAlign w:val="center"/>
          </w:tcPr>
          <w:p w14:paraId="4766FECD">
            <w:pPr>
              <w:keepNext w:val="0"/>
              <w:keepLines w:val="0"/>
              <w:suppressLineNumbers w:val="0"/>
              <w:spacing w:before="0" w:beforeAutospacing="0" w:after="0" w:afterAutospacing="0" w:line="300" w:lineRule="exact"/>
              <w:ind w:left="0" w:right="0" w:firstLine="0" w:firstLineChars="0"/>
              <w:jc w:val="center"/>
              <w:rPr>
                <w:rFonts w:hint="default" w:hAnsi="宋体"/>
                <w:color w:val="auto"/>
                <w:kern w:val="44"/>
                <w:sz w:val="21"/>
                <w:szCs w:val="21"/>
              </w:rPr>
            </w:pPr>
            <w:r>
              <w:rPr>
                <w:rFonts w:hint="eastAsia" w:hAnsi="宋体"/>
                <w:color w:val="auto"/>
                <w:kern w:val="44"/>
                <w:sz w:val="21"/>
                <w:szCs w:val="21"/>
              </w:rPr>
              <w:t>符合</w:t>
            </w:r>
          </w:p>
        </w:tc>
      </w:tr>
      <w:tr w14:paraId="21ECA32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trPr>
        <w:tc>
          <w:tcPr>
            <w:tcW w:w="364" w:type="pct"/>
            <w:tcBorders>
              <w:tl2br w:val="nil"/>
              <w:tr2bl w:val="nil"/>
            </w:tcBorders>
            <w:vAlign w:val="center"/>
          </w:tcPr>
          <w:p w14:paraId="3FE03055">
            <w:pPr>
              <w:keepNext w:val="0"/>
              <w:keepLines w:val="0"/>
              <w:suppressLineNumbers w:val="0"/>
              <w:spacing w:before="0" w:beforeAutospacing="0" w:after="0" w:afterAutospacing="0" w:line="300" w:lineRule="exact"/>
              <w:ind w:left="0" w:right="0" w:firstLine="0" w:firstLineChars="0"/>
              <w:jc w:val="center"/>
              <w:rPr>
                <w:rFonts w:hint="eastAsia" w:hAnsi="宋体" w:eastAsia="宋体"/>
                <w:color w:val="auto"/>
                <w:kern w:val="44"/>
                <w:sz w:val="21"/>
                <w:szCs w:val="21"/>
                <w:lang w:val="en-US" w:eastAsia="zh-CN"/>
              </w:rPr>
            </w:pPr>
            <w:r>
              <w:rPr>
                <w:rFonts w:hint="eastAsia" w:hAnsi="宋体"/>
                <w:color w:val="auto"/>
                <w:kern w:val="44"/>
                <w:sz w:val="21"/>
                <w:szCs w:val="21"/>
              </w:rPr>
              <w:t>1</w:t>
            </w:r>
            <w:r>
              <w:rPr>
                <w:rFonts w:hint="eastAsia"/>
                <w:color w:val="auto"/>
                <w:kern w:val="44"/>
                <w:sz w:val="21"/>
                <w:szCs w:val="21"/>
                <w:lang w:val="en-US" w:eastAsia="zh-CN"/>
              </w:rPr>
              <w:t>3</w:t>
            </w:r>
          </w:p>
        </w:tc>
        <w:tc>
          <w:tcPr>
            <w:tcW w:w="1967" w:type="pct"/>
            <w:tcBorders>
              <w:tl2br w:val="nil"/>
              <w:tr2bl w:val="nil"/>
            </w:tcBorders>
            <w:vAlign w:val="center"/>
          </w:tcPr>
          <w:p w14:paraId="21BD09C9">
            <w:pPr>
              <w:keepNext w:val="0"/>
              <w:keepLines w:val="0"/>
              <w:suppressLineNumbers w:val="0"/>
              <w:spacing w:before="0" w:beforeAutospacing="0" w:after="0" w:afterAutospacing="0" w:line="300" w:lineRule="exact"/>
              <w:ind w:left="0" w:right="0" w:firstLine="0" w:firstLineChars="0"/>
              <w:rPr>
                <w:rFonts w:hint="default" w:hAnsi="宋体"/>
                <w:color w:val="auto"/>
                <w:kern w:val="44"/>
                <w:sz w:val="21"/>
                <w:szCs w:val="21"/>
              </w:rPr>
            </w:pPr>
            <w:r>
              <w:rPr>
                <w:rFonts w:hint="eastAsia" w:hAnsi="宋体"/>
                <w:color w:val="auto"/>
                <w:kern w:val="44"/>
                <w:sz w:val="21"/>
                <w:szCs w:val="21"/>
              </w:rPr>
              <w:t>生产经营单位应当安排用于配备劳动防护用品、进行安全生产培训的经费。</w:t>
            </w:r>
          </w:p>
        </w:tc>
        <w:tc>
          <w:tcPr>
            <w:tcW w:w="928" w:type="pct"/>
            <w:tcBorders>
              <w:tl2br w:val="nil"/>
              <w:tr2bl w:val="nil"/>
            </w:tcBorders>
            <w:vAlign w:val="center"/>
          </w:tcPr>
          <w:p w14:paraId="1E1679F2">
            <w:pPr>
              <w:keepNext w:val="0"/>
              <w:keepLines w:val="0"/>
              <w:suppressLineNumbers w:val="0"/>
              <w:spacing w:before="0" w:beforeAutospacing="0" w:after="0" w:afterAutospacing="0" w:line="300" w:lineRule="exact"/>
              <w:ind w:left="0" w:right="0" w:firstLine="0" w:firstLineChars="0"/>
              <w:jc w:val="center"/>
              <w:rPr>
                <w:rFonts w:hint="default" w:hAnsi="宋体"/>
                <w:color w:val="auto"/>
                <w:kern w:val="44"/>
                <w:sz w:val="21"/>
                <w:szCs w:val="21"/>
              </w:rPr>
            </w:pPr>
            <w:r>
              <w:rPr>
                <w:rFonts w:hint="eastAsia" w:hAnsi="宋体"/>
                <w:color w:val="auto"/>
                <w:kern w:val="44"/>
                <w:sz w:val="21"/>
                <w:szCs w:val="21"/>
              </w:rPr>
              <w:t>《中华人民共和国安全生产法》第四十七条</w:t>
            </w:r>
          </w:p>
        </w:tc>
        <w:tc>
          <w:tcPr>
            <w:tcW w:w="1383" w:type="pct"/>
            <w:tcBorders>
              <w:tl2br w:val="nil"/>
              <w:tr2bl w:val="nil"/>
            </w:tcBorders>
            <w:vAlign w:val="center"/>
          </w:tcPr>
          <w:p w14:paraId="7C7E2BA6">
            <w:pPr>
              <w:keepNext w:val="0"/>
              <w:keepLines w:val="0"/>
              <w:suppressLineNumbers w:val="0"/>
              <w:spacing w:before="0" w:beforeAutospacing="0" w:after="0" w:afterAutospacing="0" w:line="300" w:lineRule="exact"/>
              <w:ind w:left="0" w:right="0" w:firstLine="0" w:firstLineChars="0"/>
              <w:rPr>
                <w:rFonts w:hint="default" w:hAnsi="宋体"/>
                <w:color w:val="auto"/>
                <w:kern w:val="44"/>
                <w:sz w:val="21"/>
                <w:szCs w:val="21"/>
              </w:rPr>
            </w:pPr>
            <w:r>
              <w:rPr>
                <w:rFonts w:hint="eastAsia" w:cs="宋体"/>
                <w:color w:val="auto"/>
                <w:sz w:val="21"/>
                <w:szCs w:val="21"/>
                <w:lang w:val="en-US" w:eastAsia="zh-CN"/>
              </w:rPr>
              <w:t>可研报告中无相关内容。</w:t>
            </w:r>
          </w:p>
        </w:tc>
        <w:tc>
          <w:tcPr>
            <w:tcW w:w="356" w:type="pct"/>
            <w:tcBorders>
              <w:tl2br w:val="nil"/>
              <w:tr2bl w:val="nil"/>
            </w:tcBorders>
            <w:vAlign w:val="center"/>
          </w:tcPr>
          <w:p w14:paraId="389AB214">
            <w:pPr>
              <w:keepNext w:val="0"/>
              <w:keepLines w:val="0"/>
              <w:suppressLineNumbers w:val="0"/>
              <w:spacing w:before="0" w:beforeAutospacing="0" w:after="0" w:afterAutospacing="0" w:line="300" w:lineRule="exact"/>
              <w:ind w:left="0" w:right="0" w:firstLine="0" w:firstLineChars="0"/>
              <w:jc w:val="center"/>
              <w:rPr>
                <w:rFonts w:hint="default" w:hAnsi="宋体"/>
                <w:color w:val="auto"/>
                <w:kern w:val="44"/>
                <w:sz w:val="21"/>
                <w:szCs w:val="21"/>
              </w:rPr>
            </w:pPr>
            <w:r>
              <w:rPr>
                <w:rFonts w:hint="eastAsia" w:hAnsi="宋体"/>
                <w:color w:val="auto"/>
                <w:kern w:val="44"/>
                <w:sz w:val="21"/>
                <w:szCs w:val="21"/>
              </w:rPr>
              <w:t>不符合</w:t>
            </w:r>
          </w:p>
        </w:tc>
      </w:tr>
      <w:tr w14:paraId="7FEAC78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trPr>
        <w:tc>
          <w:tcPr>
            <w:tcW w:w="364" w:type="pct"/>
            <w:tcBorders>
              <w:tl2br w:val="nil"/>
              <w:tr2bl w:val="nil"/>
            </w:tcBorders>
            <w:vAlign w:val="center"/>
          </w:tcPr>
          <w:p w14:paraId="5385E36E">
            <w:pPr>
              <w:keepNext w:val="0"/>
              <w:keepLines w:val="0"/>
              <w:suppressLineNumbers w:val="0"/>
              <w:spacing w:before="0" w:beforeAutospacing="0" w:after="0" w:afterAutospacing="0" w:line="300" w:lineRule="exact"/>
              <w:ind w:left="0" w:right="0" w:firstLine="0" w:firstLineChars="0"/>
              <w:jc w:val="center"/>
              <w:rPr>
                <w:rFonts w:hint="eastAsia" w:hAnsi="宋体" w:eastAsia="宋体"/>
                <w:color w:val="auto"/>
                <w:kern w:val="44"/>
                <w:sz w:val="21"/>
                <w:szCs w:val="21"/>
                <w:lang w:val="en-US" w:eastAsia="zh-CN"/>
              </w:rPr>
            </w:pPr>
            <w:r>
              <w:rPr>
                <w:rFonts w:hint="eastAsia" w:hAnsi="宋体"/>
                <w:color w:val="auto"/>
                <w:kern w:val="44"/>
                <w:sz w:val="21"/>
                <w:szCs w:val="21"/>
              </w:rPr>
              <w:t>1</w:t>
            </w:r>
            <w:r>
              <w:rPr>
                <w:rFonts w:hint="eastAsia"/>
                <w:color w:val="auto"/>
                <w:kern w:val="44"/>
                <w:sz w:val="21"/>
                <w:szCs w:val="21"/>
                <w:lang w:val="en-US" w:eastAsia="zh-CN"/>
              </w:rPr>
              <w:t>4</w:t>
            </w:r>
          </w:p>
        </w:tc>
        <w:tc>
          <w:tcPr>
            <w:tcW w:w="1967" w:type="pct"/>
            <w:tcBorders>
              <w:tl2br w:val="nil"/>
              <w:tr2bl w:val="nil"/>
            </w:tcBorders>
            <w:vAlign w:val="center"/>
          </w:tcPr>
          <w:p w14:paraId="4129BAC7">
            <w:pPr>
              <w:keepNext w:val="0"/>
              <w:keepLines w:val="0"/>
              <w:suppressLineNumbers w:val="0"/>
              <w:spacing w:before="0" w:beforeAutospacing="0" w:after="0" w:afterAutospacing="0" w:line="300" w:lineRule="exact"/>
              <w:ind w:left="0" w:right="0" w:firstLine="0" w:firstLineChars="0"/>
              <w:rPr>
                <w:rFonts w:hint="default" w:hAnsi="宋体" w:cs="宋体"/>
                <w:color w:val="auto"/>
                <w:spacing w:val="8"/>
                <w:kern w:val="0"/>
                <w:sz w:val="21"/>
                <w:szCs w:val="21"/>
              </w:rPr>
            </w:pPr>
            <w:r>
              <w:rPr>
                <w:rFonts w:hint="eastAsia" w:hAnsi="宋体" w:cs="宋体"/>
                <w:color w:val="auto"/>
                <w:spacing w:val="8"/>
                <w:kern w:val="0"/>
                <w:sz w:val="21"/>
                <w:szCs w:val="21"/>
              </w:rPr>
              <w:t>生产经营单位必须依法参加工伤保险，为从业人员缴纳保险费。</w:t>
            </w:r>
          </w:p>
        </w:tc>
        <w:tc>
          <w:tcPr>
            <w:tcW w:w="928" w:type="pct"/>
            <w:tcBorders>
              <w:tl2br w:val="nil"/>
              <w:tr2bl w:val="nil"/>
            </w:tcBorders>
            <w:vAlign w:val="center"/>
          </w:tcPr>
          <w:p w14:paraId="13EE0A21">
            <w:pPr>
              <w:keepNext w:val="0"/>
              <w:keepLines w:val="0"/>
              <w:suppressLineNumbers w:val="0"/>
              <w:spacing w:before="0" w:beforeAutospacing="0" w:after="0" w:afterAutospacing="0" w:line="300" w:lineRule="exact"/>
              <w:ind w:left="0" w:right="0" w:firstLine="0" w:firstLineChars="0"/>
              <w:jc w:val="center"/>
              <w:rPr>
                <w:rFonts w:hint="default" w:hAnsi="宋体"/>
                <w:color w:val="auto"/>
                <w:kern w:val="44"/>
                <w:sz w:val="21"/>
                <w:szCs w:val="21"/>
              </w:rPr>
            </w:pPr>
            <w:r>
              <w:rPr>
                <w:rFonts w:hint="eastAsia" w:hAnsi="宋体"/>
                <w:color w:val="auto"/>
                <w:kern w:val="44"/>
                <w:sz w:val="21"/>
                <w:szCs w:val="21"/>
              </w:rPr>
              <w:t>《中华人民共和国安全生产法》第五十一条</w:t>
            </w:r>
          </w:p>
        </w:tc>
        <w:tc>
          <w:tcPr>
            <w:tcW w:w="1383" w:type="pct"/>
            <w:tcBorders>
              <w:tl2br w:val="nil"/>
              <w:tr2bl w:val="nil"/>
            </w:tcBorders>
            <w:vAlign w:val="center"/>
          </w:tcPr>
          <w:p w14:paraId="1A401D09">
            <w:pPr>
              <w:keepNext w:val="0"/>
              <w:keepLines w:val="0"/>
              <w:suppressLineNumbers w:val="0"/>
              <w:spacing w:before="0" w:beforeAutospacing="0" w:after="0" w:afterAutospacing="0" w:line="300" w:lineRule="exact"/>
              <w:ind w:left="0" w:right="0" w:firstLine="0" w:firstLineChars="0"/>
              <w:rPr>
                <w:rFonts w:hint="default" w:hAnsi="宋体"/>
                <w:bCs/>
                <w:color w:val="auto"/>
                <w:kern w:val="44"/>
                <w:sz w:val="21"/>
                <w:szCs w:val="21"/>
              </w:rPr>
            </w:pPr>
            <w:r>
              <w:rPr>
                <w:rFonts w:hint="eastAsia" w:cs="宋体"/>
                <w:color w:val="auto"/>
                <w:sz w:val="21"/>
                <w:szCs w:val="21"/>
                <w:lang w:val="en-US" w:eastAsia="zh-CN"/>
              </w:rPr>
              <w:t>可研报告中无相关内容。</w:t>
            </w:r>
          </w:p>
        </w:tc>
        <w:tc>
          <w:tcPr>
            <w:tcW w:w="356" w:type="pct"/>
            <w:tcBorders>
              <w:tl2br w:val="nil"/>
              <w:tr2bl w:val="nil"/>
            </w:tcBorders>
            <w:vAlign w:val="center"/>
          </w:tcPr>
          <w:p w14:paraId="26FF72A6">
            <w:pPr>
              <w:keepNext w:val="0"/>
              <w:keepLines w:val="0"/>
              <w:suppressLineNumbers w:val="0"/>
              <w:spacing w:before="0" w:beforeAutospacing="0" w:after="0" w:afterAutospacing="0" w:line="300" w:lineRule="exact"/>
              <w:ind w:left="0" w:right="0" w:firstLine="0" w:firstLineChars="0"/>
              <w:jc w:val="center"/>
              <w:rPr>
                <w:rFonts w:hint="default" w:hAnsi="宋体"/>
                <w:bCs/>
                <w:color w:val="auto"/>
                <w:kern w:val="44"/>
                <w:sz w:val="21"/>
                <w:szCs w:val="21"/>
              </w:rPr>
            </w:pPr>
            <w:r>
              <w:rPr>
                <w:rFonts w:hint="eastAsia" w:hAnsi="宋体"/>
                <w:color w:val="auto"/>
                <w:kern w:val="44"/>
                <w:sz w:val="21"/>
                <w:szCs w:val="21"/>
              </w:rPr>
              <w:t>符合</w:t>
            </w:r>
          </w:p>
        </w:tc>
      </w:tr>
      <w:tr w14:paraId="44468C4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trPr>
        <w:tc>
          <w:tcPr>
            <w:tcW w:w="364" w:type="pct"/>
            <w:tcBorders>
              <w:tl2br w:val="nil"/>
              <w:tr2bl w:val="nil"/>
            </w:tcBorders>
            <w:vAlign w:val="center"/>
          </w:tcPr>
          <w:p w14:paraId="227BC231">
            <w:pPr>
              <w:keepNext w:val="0"/>
              <w:keepLines w:val="0"/>
              <w:suppressLineNumbers w:val="0"/>
              <w:spacing w:before="0" w:beforeAutospacing="0" w:after="0" w:afterAutospacing="0" w:line="300" w:lineRule="exact"/>
              <w:ind w:left="0" w:right="0" w:firstLine="0" w:firstLineChars="0"/>
              <w:jc w:val="center"/>
              <w:rPr>
                <w:rFonts w:hint="eastAsia" w:hAnsi="宋体" w:eastAsia="宋体"/>
                <w:color w:val="auto"/>
                <w:kern w:val="44"/>
                <w:sz w:val="21"/>
                <w:szCs w:val="21"/>
                <w:lang w:val="en-US" w:eastAsia="zh-CN"/>
              </w:rPr>
            </w:pPr>
            <w:r>
              <w:rPr>
                <w:rFonts w:hint="eastAsia" w:hAnsi="宋体"/>
                <w:color w:val="auto"/>
                <w:kern w:val="44"/>
                <w:sz w:val="21"/>
                <w:szCs w:val="21"/>
              </w:rPr>
              <w:t>1</w:t>
            </w:r>
            <w:r>
              <w:rPr>
                <w:rFonts w:hint="eastAsia"/>
                <w:color w:val="auto"/>
                <w:kern w:val="44"/>
                <w:sz w:val="21"/>
                <w:szCs w:val="21"/>
                <w:lang w:val="en-US" w:eastAsia="zh-CN"/>
              </w:rPr>
              <w:t>5</w:t>
            </w:r>
          </w:p>
        </w:tc>
        <w:tc>
          <w:tcPr>
            <w:tcW w:w="1967" w:type="pct"/>
            <w:tcBorders>
              <w:tl2br w:val="nil"/>
              <w:tr2bl w:val="nil"/>
            </w:tcBorders>
            <w:vAlign w:val="center"/>
          </w:tcPr>
          <w:p w14:paraId="72183298">
            <w:pPr>
              <w:keepNext w:val="0"/>
              <w:keepLines w:val="0"/>
              <w:suppressLineNumbers w:val="0"/>
              <w:spacing w:before="0" w:beforeAutospacing="0" w:after="0" w:afterAutospacing="0" w:line="300" w:lineRule="exact"/>
              <w:ind w:left="0" w:right="0" w:firstLine="0" w:firstLineChars="0"/>
              <w:rPr>
                <w:rFonts w:hint="default" w:hAnsi="宋体" w:cs="宋体"/>
                <w:color w:val="auto"/>
                <w:spacing w:val="8"/>
                <w:kern w:val="0"/>
                <w:sz w:val="21"/>
                <w:szCs w:val="21"/>
              </w:rPr>
            </w:pPr>
            <w:r>
              <w:rPr>
                <w:rFonts w:hint="eastAsia" w:hAnsi="宋体" w:cs="宋体"/>
                <w:color w:val="auto"/>
                <w:spacing w:val="8"/>
                <w:kern w:val="0"/>
                <w:sz w:val="21"/>
                <w:szCs w:val="21"/>
              </w:rPr>
              <w:t>非煤矿山开采企业根据当月开采的原矿产量，于月末提取企业安全生产费用。金属矿山，其中露天矿山每吨5元，地下矿山每吨15元；非金属矿山，其中露天矿山每吨3元，地下矿山每吨8元。</w:t>
            </w:r>
          </w:p>
        </w:tc>
        <w:tc>
          <w:tcPr>
            <w:tcW w:w="928" w:type="pct"/>
            <w:tcBorders>
              <w:tl2br w:val="nil"/>
              <w:tr2bl w:val="nil"/>
            </w:tcBorders>
            <w:vAlign w:val="center"/>
          </w:tcPr>
          <w:p w14:paraId="4A03D94D">
            <w:pPr>
              <w:keepNext w:val="0"/>
              <w:keepLines w:val="0"/>
              <w:suppressLineNumbers w:val="0"/>
              <w:spacing w:before="0" w:beforeAutospacing="0" w:after="0" w:afterAutospacing="0" w:line="300" w:lineRule="exact"/>
              <w:ind w:left="0" w:right="0" w:firstLine="0" w:firstLineChars="0"/>
              <w:jc w:val="center"/>
              <w:rPr>
                <w:rFonts w:hint="default" w:hAnsi="宋体"/>
                <w:color w:val="auto"/>
                <w:kern w:val="44"/>
                <w:sz w:val="21"/>
                <w:szCs w:val="21"/>
              </w:rPr>
            </w:pPr>
            <w:r>
              <w:rPr>
                <w:rFonts w:hint="eastAsia" w:hAnsi="宋体"/>
                <w:color w:val="auto"/>
                <w:kern w:val="44"/>
                <w:sz w:val="21"/>
                <w:szCs w:val="21"/>
              </w:rPr>
              <w:t>《财政部、应急部关于印发﹤企业安全生产费用提取和使用管理办法﹥的通知》第十条</w:t>
            </w:r>
          </w:p>
        </w:tc>
        <w:tc>
          <w:tcPr>
            <w:tcW w:w="1383" w:type="pct"/>
            <w:tcBorders>
              <w:tl2br w:val="nil"/>
              <w:tr2bl w:val="nil"/>
            </w:tcBorders>
            <w:vAlign w:val="center"/>
          </w:tcPr>
          <w:p w14:paraId="36882AB5">
            <w:pPr>
              <w:keepNext w:val="0"/>
              <w:keepLines w:val="0"/>
              <w:suppressLineNumbers w:val="0"/>
              <w:spacing w:before="0" w:beforeAutospacing="0" w:after="0" w:afterAutospacing="0" w:line="300" w:lineRule="exact"/>
              <w:ind w:left="0" w:right="0" w:firstLine="0" w:firstLineChars="0"/>
              <w:rPr>
                <w:rFonts w:hint="default" w:hAnsi="宋体"/>
                <w:bCs/>
                <w:color w:val="auto"/>
                <w:kern w:val="44"/>
                <w:sz w:val="21"/>
                <w:szCs w:val="21"/>
              </w:rPr>
            </w:pPr>
            <w:r>
              <w:rPr>
                <w:rFonts w:hint="eastAsia" w:cs="宋体"/>
                <w:color w:val="auto"/>
                <w:sz w:val="21"/>
                <w:szCs w:val="21"/>
                <w:lang w:val="en-US" w:eastAsia="zh-CN"/>
              </w:rPr>
              <w:t>可研报告中无相关内容。</w:t>
            </w:r>
          </w:p>
        </w:tc>
        <w:tc>
          <w:tcPr>
            <w:tcW w:w="356" w:type="pct"/>
            <w:tcBorders>
              <w:tl2br w:val="nil"/>
              <w:tr2bl w:val="nil"/>
            </w:tcBorders>
            <w:vAlign w:val="center"/>
          </w:tcPr>
          <w:p w14:paraId="48B970F3">
            <w:pPr>
              <w:keepNext w:val="0"/>
              <w:keepLines w:val="0"/>
              <w:suppressLineNumbers w:val="0"/>
              <w:spacing w:before="0" w:beforeAutospacing="0" w:after="0" w:afterAutospacing="0" w:line="300" w:lineRule="exact"/>
              <w:ind w:left="0" w:right="0" w:firstLine="0" w:firstLineChars="0"/>
              <w:jc w:val="center"/>
              <w:rPr>
                <w:rFonts w:hint="default" w:hAnsi="宋体"/>
                <w:bCs/>
                <w:color w:val="auto"/>
                <w:kern w:val="44"/>
                <w:sz w:val="21"/>
                <w:szCs w:val="21"/>
              </w:rPr>
            </w:pPr>
            <w:r>
              <w:rPr>
                <w:rFonts w:hint="eastAsia" w:hAnsi="宋体"/>
                <w:bCs/>
                <w:color w:val="auto"/>
                <w:kern w:val="44"/>
                <w:sz w:val="21"/>
                <w:szCs w:val="21"/>
              </w:rPr>
              <w:t>符合</w:t>
            </w:r>
          </w:p>
        </w:tc>
      </w:tr>
      <w:tr w14:paraId="2AC381B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47" w:hRule="atLeast"/>
        </w:trPr>
        <w:tc>
          <w:tcPr>
            <w:tcW w:w="5000" w:type="pct"/>
            <w:gridSpan w:val="5"/>
            <w:tcBorders>
              <w:tl2br w:val="nil"/>
              <w:tr2bl w:val="nil"/>
            </w:tcBorders>
            <w:vAlign w:val="center"/>
          </w:tcPr>
          <w:p w14:paraId="2417D1D9">
            <w:pPr>
              <w:keepNext w:val="0"/>
              <w:keepLines w:val="0"/>
              <w:suppressLineNumbers w:val="0"/>
              <w:spacing w:before="0" w:beforeAutospacing="0" w:after="0" w:afterAutospacing="0" w:line="300" w:lineRule="exact"/>
              <w:ind w:left="0" w:right="0" w:firstLine="0" w:firstLineChars="0"/>
              <w:jc w:val="center"/>
              <w:rPr>
                <w:rFonts w:hint="default" w:hAnsi="宋体"/>
                <w:b/>
                <w:color w:val="auto"/>
                <w:sz w:val="21"/>
                <w:szCs w:val="21"/>
              </w:rPr>
            </w:pPr>
            <w:r>
              <w:rPr>
                <w:rFonts w:hint="eastAsia" w:hAnsi="宋体"/>
                <w:b/>
                <w:color w:val="auto"/>
                <w:sz w:val="21"/>
                <w:szCs w:val="21"/>
              </w:rPr>
              <w:t>五、日常监督与安全管理</w:t>
            </w:r>
          </w:p>
        </w:tc>
      </w:tr>
      <w:tr w14:paraId="136D369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trPr>
        <w:tc>
          <w:tcPr>
            <w:tcW w:w="364" w:type="pct"/>
            <w:tcBorders>
              <w:tl2br w:val="nil"/>
              <w:tr2bl w:val="nil"/>
            </w:tcBorders>
            <w:vAlign w:val="center"/>
          </w:tcPr>
          <w:p w14:paraId="69A15D69">
            <w:pPr>
              <w:keepNext w:val="0"/>
              <w:keepLines w:val="0"/>
              <w:suppressLineNumbers w:val="0"/>
              <w:spacing w:before="0" w:beforeAutospacing="0" w:after="0" w:afterAutospacing="0" w:line="300" w:lineRule="exact"/>
              <w:ind w:left="0" w:right="0" w:firstLine="0" w:firstLineChars="0"/>
              <w:jc w:val="center"/>
              <w:rPr>
                <w:rFonts w:hint="eastAsia" w:hAnsi="宋体" w:eastAsia="宋体" w:cs="宋体"/>
                <w:color w:val="auto"/>
                <w:kern w:val="44"/>
                <w:sz w:val="21"/>
                <w:szCs w:val="21"/>
                <w:lang w:val="en-US" w:eastAsia="zh-CN"/>
              </w:rPr>
            </w:pPr>
            <w:r>
              <w:rPr>
                <w:rFonts w:hint="eastAsia" w:hAnsi="宋体" w:cs="宋体"/>
                <w:color w:val="auto"/>
                <w:kern w:val="44"/>
                <w:sz w:val="21"/>
                <w:szCs w:val="21"/>
              </w:rPr>
              <w:t>1</w:t>
            </w:r>
            <w:r>
              <w:rPr>
                <w:rFonts w:hint="eastAsia" w:cs="宋体"/>
                <w:color w:val="auto"/>
                <w:kern w:val="44"/>
                <w:sz w:val="21"/>
                <w:szCs w:val="21"/>
                <w:lang w:val="en-US" w:eastAsia="zh-CN"/>
              </w:rPr>
              <w:t>6</w:t>
            </w:r>
          </w:p>
        </w:tc>
        <w:tc>
          <w:tcPr>
            <w:tcW w:w="1967" w:type="pct"/>
            <w:tcBorders>
              <w:tl2br w:val="nil"/>
              <w:tr2bl w:val="nil"/>
            </w:tcBorders>
            <w:vAlign w:val="center"/>
          </w:tcPr>
          <w:p w14:paraId="60808632">
            <w:pPr>
              <w:keepNext w:val="0"/>
              <w:keepLines w:val="0"/>
              <w:suppressLineNumbers w:val="0"/>
              <w:spacing w:before="0" w:beforeAutospacing="0" w:after="0" w:afterAutospacing="0" w:line="300" w:lineRule="exact"/>
              <w:ind w:left="0" w:right="0" w:firstLine="0" w:firstLineChars="0"/>
              <w:rPr>
                <w:rFonts w:hint="default" w:hAnsi="宋体" w:cs="宋体"/>
                <w:color w:val="auto"/>
                <w:spacing w:val="8"/>
                <w:kern w:val="0"/>
                <w:sz w:val="21"/>
                <w:szCs w:val="21"/>
              </w:rPr>
            </w:pPr>
            <w:r>
              <w:rPr>
                <w:rFonts w:hint="eastAsia" w:hAnsi="宋体" w:cs="宋体"/>
                <w:color w:val="auto"/>
                <w:spacing w:val="8"/>
                <w:kern w:val="0"/>
                <w:sz w:val="21"/>
                <w:szCs w:val="21"/>
              </w:rPr>
              <w:t>生产经营单位不得使用应当淘汰的危及生产安全的工艺、设备。</w:t>
            </w:r>
          </w:p>
        </w:tc>
        <w:tc>
          <w:tcPr>
            <w:tcW w:w="928" w:type="pct"/>
            <w:tcBorders>
              <w:tl2br w:val="nil"/>
              <w:tr2bl w:val="nil"/>
            </w:tcBorders>
            <w:vAlign w:val="center"/>
          </w:tcPr>
          <w:p w14:paraId="2C7E9B32">
            <w:pPr>
              <w:keepNext w:val="0"/>
              <w:keepLines w:val="0"/>
              <w:suppressLineNumbers w:val="0"/>
              <w:spacing w:before="0" w:beforeAutospacing="0" w:after="0" w:afterAutospacing="0" w:line="300" w:lineRule="exact"/>
              <w:ind w:left="0" w:right="0" w:firstLine="0" w:firstLineChars="0"/>
              <w:jc w:val="center"/>
              <w:rPr>
                <w:rFonts w:hint="default" w:hAnsi="宋体" w:cs="宋体"/>
                <w:color w:val="auto"/>
                <w:kern w:val="44"/>
                <w:sz w:val="21"/>
                <w:szCs w:val="21"/>
              </w:rPr>
            </w:pPr>
            <w:r>
              <w:rPr>
                <w:rFonts w:hint="eastAsia" w:hAnsi="宋体" w:cs="宋体"/>
                <w:color w:val="auto"/>
                <w:kern w:val="44"/>
                <w:sz w:val="21"/>
                <w:szCs w:val="21"/>
              </w:rPr>
              <w:t>《中华人民共和国安全生产法》第三十八条</w:t>
            </w:r>
          </w:p>
        </w:tc>
        <w:tc>
          <w:tcPr>
            <w:tcW w:w="1383" w:type="pct"/>
            <w:tcBorders>
              <w:tl2br w:val="nil"/>
              <w:tr2bl w:val="nil"/>
            </w:tcBorders>
            <w:vAlign w:val="center"/>
          </w:tcPr>
          <w:p w14:paraId="126E2B4E">
            <w:pPr>
              <w:keepNext w:val="0"/>
              <w:keepLines w:val="0"/>
              <w:suppressLineNumbers w:val="0"/>
              <w:spacing w:before="0" w:beforeAutospacing="0" w:after="0" w:afterAutospacing="0" w:line="300" w:lineRule="exact"/>
              <w:ind w:left="0" w:right="0" w:firstLine="0" w:firstLineChars="0"/>
              <w:rPr>
                <w:rFonts w:hint="default" w:hAnsi="宋体"/>
                <w:bCs/>
                <w:color w:val="auto"/>
                <w:kern w:val="44"/>
                <w:sz w:val="21"/>
                <w:szCs w:val="21"/>
              </w:rPr>
            </w:pPr>
            <w:r>
              <w:rPr>
                <w:rFonts w:hint="eastAsia" w:hAnsi="宋体"/>
                <w:bCs/>
                <w:color w:val="auto"/>
                <w:kern w:val="44"/>
                <w:sz w:val="21"/>
                <w:szCs w:val="21"/>
              </w:rPr>
              <w:t>该矿山未</w:t>
            </w:r>
            <w:r>
              <w:rPr>
                <w:rFonts w:hint="eastAsia" w:hAnsi="宋体" w:cs="宋体"/>
                <w:color w:val="auto"/>
                <w:spacing w:val="8"/>
                <w:kern w:val="0"/>
                <w:sz w:val="21"/>
                <w:szCs w:val="21"/>
              </w:rPr>
              <w:t>使用淘汰的危及生产安全的工艺、设备。</w:t>
            </w:r>
          </w:p>
        </w:tc>
        <w:tc>
          <w:tcPr>
            <w:tcW w:w="356" w:type="pct"/>
            <w:tcBorders>
              <w:tl2br w:val="nil"/>
              <w:tr2bl w:val="nil"/>
            </w:tcBorders>
            <w:vAlign w:val="center"/>
          </w:tcPr>
          <w:p w14:paraId="05B81CB8">
            <w:pPr>
              <w:keepNext w:val="0"/>
              <w:keepLines w:val="0"/>
              <w:suppressLineNumbers w:val="0"/>
              <w:spacing w:before="0" w:beforeAutospacing="0" w:after="0" w:afterAutospacing="0" w:line="300" w:lineRule="exact"/>
              <w:ind w:left="0" w:right="0" w:firstLine="0" w:firstLineChars="0"/>
              <w:jc w:val="center"/>
              <w:rPr>
                <w:rFonts w:hint="default" w:hAnsi="宋体"/>
                <w:bCs/>
                <w:color w:val="auto"/>
                <w:kern w:val="44"/>
                <w:sz w:val="21"/>
                <w:szCs w:val="21"/>
              </w:rPr>
            </w:pPr>
            <w:r>
              <w:rPr>
                <w:rFonts w:hint="eastAsia" w:hAnsi="宋体"/>
                <w:bCs/>
                <w:color w:val="auto"/>
                <w:kern w:val="44"/>
                <w:sz w:val="21"/>
                <w:szCs w:val="21"/>
              </w:rPr>
              <w:t>符合</w:t>
            </w:r>
          </w:p>
        </w:tc>
      </w:tr>
      <w:tr w14:paraId="25D24B7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trPr>
        <w:tc>
          <w:tcPr>
            <w:tcW w:w="364" w:type="pct"/>
            <w:tcBorders>
              <w:tl2br w:val="nil"/>
              <w:tr2bl w:val="nil"/>
            </w:tcBorders>
            <w:vAlign w:val="center"/>
          </w:tcPr>
          <w:p w14:paraId="7E942829">
            <w:pPr>
              <w:keepNext w:val="0"/>
              <w:keepLines w:val="0"/>
              <w:suppressLineNumbers w:val="0"/>
              <w:spacing w:before="0" w:beforeAutospacing="0" w:after="0" w:afterAutospacing="0" w:line="300" w:lineRule="exact"/>
              <w:ind w:left="0" w:right="0" w:firstLine="0" w:firstLineChars="0"/>
              <w:jc w:val="center"/>
              <w:rPr>
                <w:rFonts w:hint="eastAsia" w:hAnsi="宋体" w:eastAsia="宋体" w:cs="宋体"/>
                <w:color w:val="auto"/>
                <w:kern w:val="44"/>
                <w:sz w:val="21"/>
                <w:szCs w:val="21"/>
                <w:lang w:val="en-US" w:eastAsia="zh-CN"/>
              </w:rPr>
            </w:pPr>
            <w:r>
              <w:rPr>
                <w:rFonts w:hint="eastAsia" w:hAnsi="宋体" w:cs="宋体"/>
                <w:color w:val="auto"/>
                <w:kern w:val="44"/>
                <w:sz w:val="21"/>
                <w:szCs w:val="21"/>
              </w:rPr>
              <w:t>1</w:t>
            </w:r>
            <w:r>
              <w:rPr>
                <w:rFonts w:hint="eastAsia" w:cs="宋体"/>
                <w:color w:val="auto"/>
                <w:kern w:val="44"/>
                <w:sz w:val="21"/>
                <w:szCs w:val="21"/>
                <w:lang w:val="en-US" w:eastAsia="zh-CN"/>
              </w:rPr>
              <w:t>7</w:t>
            </w:r>
          </w:p>
        </w:tc>
        <w:tc>
          <w:tcPr>
            <w:tcW w:w="1967" w:type="pct"/>
            <w:tcBorders>
              <w:tl2br w:val="nil"/>
              <w:tr2bl w:val="nil"/>
            </w:tcBorders>
            <w:vAlign w:val="center"/>
          </w:tcPr>
          <w:p w14:paraId="71A2A2C2">
            <w:pPr>
              <w:keepNext w:val="0"/>
              <w:keepLines w:val="0"/>
              <w:suppressLineNumbers w:val="0"/>
              <w:spacing w:before="0" w:beforeAutospacing="0" w:after="0" w:afterAutospacing="0" w:line="300" w:lineRule="exact"/>
              <w:ind w:left="0" w:right="0" w:firstLine="0" w:firstLineChars="0"/>
              <w:rPr>
                <w:rFonts w:hint="default" w:hAnsi="宋体" w:cs="宋体"/>
                <w:color w:val="auto"/>
                <w:spacing w:val="8"/>
                <w:kern w:val="0"/>
                <w:sz w:val="21"/>
                <w:szCs w:val="21"/>
              </w:rPr>
            </w:pPr>
            <w:r>
              <w:rPr>
                <w:rFonts w:hint="eastAsia" w:hAnsi="宋体" w:cs="宋体"/>
                <w:color w:val="auto"/>
                <w:spacing w:val="8"/>
                <w:kern w:val="0"/>
                <w:sz w:val="21"/>
                <w:szCs w:val="21"/>
              </w:rPr>
              <w:t>矿山使用的涉及人身安全的设备应由专业生产单位生产，并经具有专业资质的检测、检验机构检测、检验合格，方可投入使用；矿山生产期间，应定期由具有专业资质的检测、检验机构进行检测、检验，并出具检测、检验报告。</w:t>
            </w:r>
          </w:p>
        </w:tc>
        <w:tc>
          <w:tcPr>
            <w:tcW w:w="928" w:type="pct"/>
            <w:tcBorders>
              <w:tl2br w:val="nil"/>
              <w:tr2bl w:val="nil"/>
            </w:tcBorders>
            <w:vAlign w:val="center"/>
          </w:tcPr>
          <w:p w14:paraId="6BA454B6">
            <w:pPr>
              <w:keepNext w:val="0"/>
              <w:keepLines w:val="0"/>
              <w:suppressLineNumbers w:val="0"/>
              <w:spacing w:before="0" w:beforeAutospacing="0" w:after="0" w:afterAutospacing="0" w:line="300" w:lineRule="exact"/>
              <w:ind w:left="0" w:right="0" w:firstLine="0" w:firstLineChars="0"/>
              <w:jc w:val="center"/>
              <w:rPr>
                <w:rFonts w:hint="default" w:hAnsi="宋体" w:cs="宋体"/>
                <w:color w:val="auto"/>
                <w:kern w:val="44"/>
                <w:sz w:val="21"/>
                <w:szCs w:val="21"/>
              </w:rPr>
            </w:pPr>
            <w:r>
              <w:rPr>
                <w:rFonts w:hint="eastAsia" w:hAnsi="宋体" w:cs="宋体"/>
                <w:color w:val="auto"/>
                <w:sz w:val="21"/>
                <w:szCs w:val="21"/>
              </w:rPr>
              <w:t>《金属非金属矿山安全规程》(</w:t>
            </w:r>
            <w:r>
              <w:rPr>
                <w:rFonts w:hint="eastAsia" w:hAnsi="宋体" w:cs="宋体"/>
                <w:bCs/>
                <w:color w:val="auto"/>
                <w:sz w:val="21"/>
                <w:szCs w:val="21"/>
              </w:rPr>
              <w:t>GBl6423</w:t>
            </w:r>
            <w:r>
              <w:rPr>
                <w:rFonts w:hint="eastAsia" w:hAnsi="宋体" w:cs="宋体"/>
                <w:color w:val="auto"/>
                <w:sz w:val="21"/>
                <w:szCs w:val="21"/>
              </w:rPr>
              <w:t>-</w:t>
            </w:r>
            <w:r>
              <w:rPr>
                <w:rFonts w:hint="eastAsia" w:hAnsi="宋体" w:cs="宋体"/>
                <w:bCs/>
                <w:color w:val="auto"/>
                <w:sz w:val="21"/>
                <w:szCs w:val="21"/>
              </w:rPr>
              <w:t>2020</w:t>
            </w:r>
            <w:r>
              <w:rPr>
                <w:rFonts w:hint="eastAsia" w:hAnsi="宋体" w:cs="宋体"/>
                <w:color w:val="auto"/>
                <w:sz w:val="21"/>
                <w:szCs w:val="21"/>
              </w:rPr>
              <w:t>)第4.7.5条</w:t>
            </w:r>
          </w:p>
        </w:tc>
        <w:tc>
          <w:tcPr>
            <w:tcW w:w="1383" w:type="pct"/>
            <w:tcBorders>
              <w:tl2br w:val="nil"/>
              <w:tr2bl w:val="nil"/>
            </w:tcBorders>
            <w:vAlign w:val="center"/>
          </w:tcPr>
          <w:p w14:paraId="1840C1B7">
            <w:pPr>
              <w:keepNext w:val="0"/>
              <w:keepLines w:val="0"/>
              <w:suppressLineNumbers w:val="0"/>
              <w:spacing w:before="0" w:beforeAutospacing="0" w:after="0" w:afterAutospacing="0" w:line="300" w:lineRule="exact"/>
              <w:ind w:left="0" w:right="0" w:firstLine="0" w:firstLineChars="0"/>
              <w:rPr>
                <w:rFonts w:hint="default" w:hAnsi="宋体"/>
                <w:bCs/>
                <w:color w:val="auto"/>
                <w:kern w:val="44"/>
                <w:sz w:val="21"/>
                <w:szCs w:val="21"/>
              </w:rPr>
            </w:pPr>
            <w:r>
              <w:rPr>
                <w:rFonts w:hint="eastAsia" w:hAnsi="宋体"/>
                <w:bCs/>
                <w:color w:val="auto"/>
                <w:kern w:val="44"/>
                <w:sz w:val="21"/>
                <w:szCs w:val="21"/>
              </w:rPr>
              <w:t>该矿山使用的设备均选用专业生产单位生产的合格设备。矿用局扇、主扇、空压机等危险性较大的设备经检验检测合格后方允许投入使用。</w:t>
            </w:r>
          </w:p>
        </w:tc>
        <w:tc>
          <w:tcPr>
            <w:tcW w:w="356" w:type="pct"/>
            <w:tcBorders>
              <w:tl2br w:val="nil"/>
              <w:tr2bl w:val="nil"/>
            </w:tcBorders>
            <w:vAlign w:val="center"/>
          </w:tcPr>
          <w:p w14:paraId="09402FDC">
            <w:pPr>
              <w:keepNext w:val="0"/>
              <w:keepLines w:val="0"/>
              <w:suppressLineNumbers w:val="0"/>
              <w:spacing w:before="0" w:beforeAutospacing="0" w:after="0" w:afterAutospacing="0" w:line="300" w:lineRule="exact"/>
              <w:ind w:left="0" w:right="0" w:firstLine="0" w:firstLineChars="0"/>
              <w:jc w:val="center"/>
              <w:rPr>
                <w:rFonts w:hint="default" w:hAnsi="宋体"/>
                <w:bCs/>
                <w:color w:val="auto"/>
                <w:kern w:val="44"/>
                <w:sz w:val="21"/>
                <w:szCs w:val="21"/>
              </w:rPr>
            </w:pPr>
            <w:r>
              <w:rPr>
                <w:rFonts w:hint="eastAsia" w:hAnsi="宋体"/>
                <w:bCs/>
                <w:color w:val="auto"/>
                <w:kern w:val="44"/>
                <w:sz w:val="21"/>
                <w:szCs w:val="21"/>
              </w:rPr>
              <w:t>符合</w:t>
            </w:r>
          </w:p>
        </w:tc>
      </w:tr>
      <w:tr w14:paraId="2A27FDE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trPr>
        <w:tc>
          <w:tcPr>
            <w:tcW w:w="364" w:type="pct"/>
            <w:tcBorders>
              <w:tl2br w:val="nil"/>
              <w:tr2bl w:val="nil"/>
            </w:tcBorders>
            <w:vAlign w:val="center"/>
          </w:tcPr>
          <w:p w14:paraId="3E08D8E2">
            <w:pPr>
              <w:keepNext w:val="0"/>
              <w:keepLines w:val="0"/>
              <w:suppressLineNumbers w:val="0"/>
              <w:spacing w:before="0" w:beforeAutospacing="0" w:after="0" w:afterAutospacing="0" w:line="300" w:lineRule="exact"/>
              <w:ind w:left="0" w:right="0" w:firstLine="0" w:firstLineChars="0"/>
              <w:jc w:val="center"/>
              <w:rPr>
                <w:rFonts w:hint="eastAsia" w:hAnsi="宋体" w:eastAsia="宋体" w:cs="宋体"/>
                <w:color w:val="auto"/>
                <w:kern w:val="44"/>
                <w:sz w:val="21"/>
                <w:szCs w:val="21"/>
                <w:lang w:val="en-US" w:eastAsia="zh-CN"/>
              </w:rPr>
            </w:pPr>
            <w:r>
              <w:rPr>
                <w:rFonts w:hint="eastAsia" w:hAnsi="宋体" w:cs="宋体"/>
                <w:color w:val="auto"/>
                <w:kern w:val="44"/>
                <w:sz w:val="21"/>
                <w:szCs w:val="21"/>
              </w:rPr>
              <w:t>1</w:t>
            </w:r>
            <w:r>
              <w:rPr>
                <w:rFonts w:hint="eastAsia" w:cs="宋体"/>
                <w:color w:val="auto"/>
                <w:kern w:val="44"/>
                <w:sz w:val="21"/>
                <w:szCs w:val="21"/>
                <w:lang w:val="en-US" w:eastAsia="zh-CN"/>
              </w:rPr>
              <w:t>8</w:t>
            </w:r>
          </w:p>
        </w:tc>
        <w:tc>
          <w:tcPr>
            <w:tcW w:w="1967" w:type="pct"/>
            <w:tcBorders>
              <w:tl2br w:val="nil"/>
              <w:tr2bl w:val="nil"/>
            </w:tcBorders>
            <w:vAlign w:val="center"/>
          </w:tcPr>
          <w:p w14:paraId="4CFC59CC">
            <w:pPr>
              <w:keepNext w:val="0"/>
              <w:keepLines w:val="0"/>
              <w:suppressLineNumbers w:val="0"/>
              <w:spacing w:before="0" w:beforeAutospacing="0" w:after="0" w:afterAutospacing="0" w:line="300" w:lineRule="exact"/>
              <w:ind w:left="0" w:right="0" w:firstLine="0" w:firstLineChars="0"/>
              <w:rPr>
                <w:rFonts w:hint="default" w:hAnsi="宋体" w:cs="宋体"/>
                <w:color w:val="auto"/>
                <w:spacing w:val="8"/>
                <w:kern w:val="0"/>
                <w:sz w:val="21"/>
                <w:szCs w:val="21"/>
              </w:rPr>
            </w:pPr>
            <w:r>
              <w:rPr>
                <w:rFonts w:hint="eastAsia" w:hAnsi="宋体" w:cs="宋体"/>
                <w:color w:val="auto"/>
                <w:spacing w:val="8"/>
                <w:kern w:val="0"/>
                <w:sz w:val="21"/>
                <w:szCs w:val="21"/>
              </w:rPr>
              <w:t>地下矿山企业应建立健全下井人员出入矿井登记和检查制度。入井人员应随身携带符合安全要求的照明灯具和自救器。</w:t>
            </w:r>
          </w:p>
        </w:tc>
        <w:tc>
          <w:tcPr>
            <w:tcW w:w="928" w:type="pct"/>
            <w:tcBorders>
              <w:tl2br w:val="nil"/>
              <w:tr2bl w:val="nil"/>
            </w:tcBorders>
            <w:vAlign w:val="center"/>
          </w:tcPr>
          <w:p w14:paraId="503DAB4D">
            <w:pPr>
              <w:keepNext w:val="0"/>
              <w:keepLines w:val="0"/>
              <w:suppressLineNumbers w:val="0"/>
              <w:spacing w:before="0" w:beforeAutospacing="0" w:after="0" w:afterAutospacing="0" w:line="300" w:lineRule="exact"/>
              <w:ind w:left="0" w:right="0" w:firstLine="0" w:firstLineChars="0"/>
              <w:jc w:val="center"/>
              <w:rPr>
                <w:rFonts w:hint="default" w:hAnsi="宋体" w:cs="宋体"/>
                <w:color w:val="auto"/>
                <w:kern w:val="44"/>
                <w:sz w:val="21"/>
                <w:szCs w:val="21"/>
              </w:rPr>
            </w:pPr>
            <w:r>
              <w:rPr>
                <w:rFonts w:hint="eastAsia" w:hAnsi="宋体" w:cs="宋体"/>
                <w:color w:val="auto"/>
                <w:sz w:val="21"/>
                <w:szCs w:val="21"/>
              </w:rPr>
              <w:t>《金属非金属矿山安全规程》(</w:t>
            </w:r>
            <w:r>
              <w:rPr>
                <w:rFonts w:hint="eastAsia" w:hAnsi="宋体" w:cs="宋体"/>
                <w:bCs/>
                <w:color w:val="auto"/>
                <w:sz w:val="21"/>
                <w:szCs w:val="21"/>
              </w:rPr>
              <w:t>GBl6423</w:t>
            </w:r>
            <w:r>
              <w:rPr>
                <w:rFonts w:hint="eastAsia" w:hAnsi="宋体" w:cs="宋体"/>
                <w:color w:val="auto"/>
                <w:sz w:val="21"/>
                <w:szCs w:val="21"/>
              </w:rPr>
              <w:t>-</w:t>
            </w:r>
            <w:r>
              <w:rPr>
                <w:rFonts w:hint="eastAsia" w:hAnsi="宋体" w:cs="宋体"/>
                <w:bCs/>
                <w:color w:val="auto"/>
                <w:sz w:val="21"/>
                <w:szCs w:val="21"/>
              </w:rPr>
              <w:t>2020</w:t>
            </w:r>
            <w:r>
              <w:rPr>
                <w:rFonts w:hint="eastAsia" w:hAnsi="宋体" w:cs="宋体"/>
                <w:color w:val="auto"/>
                <w:sz w:val="21"/>
                <w:szCs w:val="21"/>
              </w:rPr>
              <w:t>)第4.7.8条</w:t>
            </w:r>
          </w:p>
        </w:tc>
        <w:tc>
          <w:tcPr>
            <w:tcW w:w="1383" w:type="pct"/>
            <w:tcBorders>
              <w:tl2br w:val="nil"/>
              <w:tr2bl w:val="nil"/>
            </w:tcBorders>
            <w:vAlign w:val="center"/>
          </w:tcPr>
          <w:p w14:paraId="5D5CBA12">
            <w:pPr>
              <w:keepNext w:val="0"/>
              <w:keepLines w:val="0"/>
              <w:suppressLineNumbers w:val="0"/>
              <w:spacing w:before="0" w:beforeAutospacing="0" w:after="0" w:afterAutospacing="0" w:line="300" w:lineRule="exact"/>
              <w:ind w:left="0" w:right="0" w:firstLine="0" w:firstLineChars="0"/>
              <w:rPr>
                <w:rFonts w:hint="eastAsia" w:hAnsi="宋体" w:eastAsia="宋体"/>
                <w:bCs/>
                <w:color w:val="auto"/>
                <w:kern w:val="44"/>
                <w:sz w:val="21"/>
                <w:szCs w:val="21"/>
                <w:lang w:eastAsia="zh-CN"/>
              </w:rPr>
            </w:pPr>
            <w:r>
              <w:rPr>
                <w:rFonts w:hint="eastAsia" w:hAnsi="宋体"/>
                <w:bCs/>
                <w:color w:val="auto"/>
                <w:kern w:val="44"/>
                <w:sz w:val="21"/>
                <w:szCs w:val="21"/>
              </w:rPr>
              <w:t>该矿山建立下井人员出入井管理系统</w:t>
            </w:r>
            <w:r>
              <w:rPr>
                <w:rFonts w:hint="eastAsia" w:hAnsi="宋体"/>
                <w:bCs/>
                <w:color w:val="auto"/>
                <w:kern w:val="44"/>
                <w:sz w:val="21"/>
                <w:szCs w:val="21"/>
                <w:lang w:eastAsia="zh-CN"/>
              </w:rPr>
              <w:t>。</w:t>
            </w:r>
          </w:p>
        </w:tc>
        <w:tc>
          <w:tcPr>
            <w:tcW w:w="356" w:type="pct"/>
            <w:tcBorders>
              <w:tl2br w:val="nil"/>
              <w:tr2bl w:val="nil"/>
            </w:tcBorders>
            <w:vAlign w:val="center"/>
          </w:tcPr>
          <w:p w14:paraId="1D302820">
            <w:pPr>
              <w:keepNext w:val="0"/>
              <w:keepLines w:val="0"/>
              <w:suppressLineNumbers w:val="0"/>
              <w:spacing w:before="0" w:beforeAutospacing="0" w:after="0" w:afterAutospacing="0" w:line="300" w:lineRule="exact"/>
              <w:ind w:left="0" w:right="0" w:firstLine="0" w:firstLineChars="0"/>
              <w:jc w:val="center"/>
              <w:rPr>
                <w:rFonts w:hint="default" w:hAnsi="宋体"/>
                <w:bCs/>
                <w:color w:val="auto"/>
                <w:kern w:val="44"/>
                <w:sz w:val="21"/>
                <w:szCs w:val="21"/>
              </w:rPr>
            </w:pPr>
            <w:r>
              <w:rPr>
                <w:rFonts w:hint="eastAsia" w:hAnsi="宋体"/>
                <w:bCs/>
                <w:color w:val="auto"/>
                <w:kern w:val="44"/>
                <w:sz w:val="21"/>
                <w:szCs w:val="21"/>
              </w:rPr>
              <w:t>符合</w:t>
            </w:r>
          </w:p>
        </w:tc>
      </w:tr>
      <w:tr w14:paraId="08DC668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34" w:hRule="atLeast"/>
        </w:trPr>
        <w:tc>
          <w:tcPr>
            <w:tcW w:w="5000" w:type="pct"/>
            <w:gridSpan w:val="5"/>
            <w:tcBorders>
              <w:tl2br w:val="nil"/>
              <w:tr2bl w:val="nil"/>
            </w:tcBorders>
            <w:vAlign w:val="center"/>
          </w:tcPr>
          <w:p w14:paraId="56A185CF">
            <w:pPr>
              <w:keepNext w:val="0"/>
              <w:keepLines w:val="0"/>
              <w:suppressLineNumbers w:val="0"/>
              <w:spacing w:before="0" w:beforeAutospacing="0" w:after="0" w:afterAutospacing="0" w:line="300" w:lineRule="exact"/>
              <w:ind w:left="0" w:right="0" w:firstLine="0" w:firstLineChars="0"/>
              <w:jc w:val="center"/>
              <w:rPr>
                <w:rFonts w:hint="default" w:hAnsi="宋体"/>
                <w:bCs/>
                <w:color w:val="auto"/>
                <w:kern w:val="44"/>
                <w:sz w:val="21"/>
                <w:szCs w:val="21"/>
              </w:rPr>
            </w:pPr>
            <w:r>
              <w:rPr>
                <w:rFonts w:hint="eastAsia" w:hAnsi="宋体"/>
                <w:b/>
                <w:color w:val="auto"/>
                <w:spacing w:val="16"/>
                <w:kern w:val="44"/>
                <w:sz w:val="21"/>
                <w:szCs w:val="21"/>
              </w:rPr>
              <w:t>六、应急救援与其它</w:t>
            </w:r>
          </w:p>
        </w:tc>
      </w:tr>
      <w:tr w14:paraId="30A15BA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trPr>
        <w:tc>
          <w:tcPr>
            <w:tcW w:w="364" w:type="pct"/>
            <w:tcBorders>
              <w:tl2br w:val="nil"/>
              <w:tr2bl w:val="nil"/>
            </w:tcBorders>
            <w:vAlign w:val="center"/>
          </w:tcPr>
          <w:p w14:paraId="764F0D35">
            <w:pPr>
              <w:keepNext w:val="0"/>
              <w:keepLines w:val="0"/>
              <w:suppressLineNumbers w:val="0"/>
              <w:spacing w:before="0" w:beforeAutospacing="0" w:after="0" w:afterAutospacing="0" w:line="300" w:lineRule="exact"/>
              <w:ind w:left="0" w:right="0" w:firstLine="0" w:firstLineChars="0"/>
              <w:jc w:val="center"/>
              <w:rPr>
                <w:rFonts w:hint="eastAsia" w:hAnsi="宋体" w:eastAsia="宋体" w:cs="宋体"/>
                <w:color w:val="auto"/>
                <w:kern w:val="0"/>
                <w:sz w:val="21"/>
                <w:szCs w:val="21"/>
                <w:lang w:val="en-US" w:eastAsia="zh-CN"/>
              </w:rPr>
            </w:pPr>
            <w:r>
              <w:rPr>
                <w:rFonts w:hint="eastAsia" w:hAnsi="宋体" w:cs="宋体"/>
                <w:color w:val="auto"/>
                <w:kern w:val="0"/>
                <w:sz w:val="21"/>
                <w:szCs w:val="21"/>
              </w:rPr>
              <w:t>1</w:t>
            </w:r>
            <w:r>
              <w:rPr>
                <w:rFonts w:hint="eastAsia" w:cs="宋体"/>
                <w:color w:val="auto"/>
                <w:kern w:val="0"/>
                <w:sz w:val="21"/>
                <w:szCs w:val="21"/>
                <w:lang w:val="en-US" w:eastAsia="zh-CN"/>
              </w:rPr>
              <w:t>9</w:t>
            </w:r>
          </w:p>
        </w:tc>
        <w:tc>
          <w:tcPr>
            <w:tcW w:w="1967" w:type="pct"/>
            <w:tcBorders>
              <w:tl2br w:val="nil"/>
              <w:tr2bl w:val="nil"/>
            </w:tcBorders>
            <w:vAlign w:val="center"/>
          </w:tcPr>
          <w:p w14:paraId="197C4661">
            <w:pPr>
              <w:keepNext w:val="0"/>
              <w:keepLines w:val="0"/>
              <w:suppressLineNumbers w:val="0"/>
              <w:spacing w:before="0" w:beforeAutospacing="0" w:after="0" w:afterAutospacing="0" w:line="300" w:lineRule="exact"/>
              <w:ind w:left="0" w:right="0" w:firstLine="0" w:firstLineChars="0"/>
              <w:rPr>
                <w:rFonts w:hint="default" w:hAnsi="宋体" w:cs="宋体"/>
                <w:color w:val="auto"/>
                <w:kern w:val="0"/>
                <w:sz w:val="21"/>
                <w:szCs w:val="21"/>
              </w:rPr>
            </w:pPr>
            <w:r>
              <w:rPr>
                <w:rFonts w:hint="eastAsia" w:hAnsi="宋体" w:cs="宋体"/>
                <w:color w:val="auto"/>
                <w:kern w:val="0"/>
                <w:sz w:val="21"/>
                <w:szCs w:val="21"/>
              </w:rPr>
              <w:t>安全生产管理机构负责本矿山安全生产的日常管理工作，组织或者参与制定安全生产规章制度、岗位操作规程、安全事故应急预案，组织安全生产教育和培训工作，组织本矿山应急救援演练。</w:t>
            </w:r>
          </w:p>
        </w:tc>
        <w:tc>
          <w:tcPr>
            <w:tcW w:w="928" w:type="pct"/>
            <w:tcBorders>
              <w:tl2br w:val="nil"/>
              <w:tr2bl w:val="nil"/>
            </w:tcBorders>
            <w:vAlign w:val="center"/>
          </w:tcPr>
          <w:p w14:paraId="1BA51F0E">
            <w:pPr>
              <w:keepNext w:val="0"/>
              <w:keepLines w:val="0"/>
              <w:suppressLineNumbers w:val="0"/>
              <w:spacing w:before="0" w:beforeAutospacing="0" w:after="0" w:afterAutospacing="0" w:line="300" w:lineRule="exact"/>
              <w:ind w:left="0" w:right="0" w:firstLine="0" w:firstLineChars="0"/>
              <w:jc w:val="center"/>
              <w:rPr>
                <w:rFonts w:hint="default" w:hAnsi="宋体" w:cs="宋体"/>
                <w:color w:val="auto"/>
                <w:kern w:val="0"/>
                <w:sz w:val="21"/>
                <w:szCs w:val="21"/>
              </w:rPr>
            </w:pPr>
            <w:r>
              <w:rPr>
                <w:rFonts w:hint="eastAsia" w:hAnsi="宋体" w:cs="宋体"/>
                <w:color w:val="auto"/>
                <w:sz w:val="21"/>
                <w:szCs w:val="21"/>
              </w:rPr>
              <w:t>《金属非金属矿山安全规程》(</w:t>
            </w:r>
            <w:r>
              <w:rPr>
                <w:rFonts w:hint="eastAsia" w:hAnsi="宋体" w:cs="宋体"/>
                <w:bCs/>
                <w:color w:val="auto"/>
                <w:sz w:val="21"/>
                <w:szCs w:val="21"/>
              </w:rPr>
              <w:t>GBl6423</w:t>
            </w:r>
            <w:r>
              <w:rPr>
                <w:rFonts w:hint="eastAsia" w:hAnsi="宋体" w:cs="宋体"/>
                <w:color w:val="auto"/>
                <w:sz w:val="21"/>
                <w:szCs w:val="21"/>
              </w:rPr>
              <w:t>-</w:t>
            </w:r>
            <w:r>
              <w:rPr>
                <w:rFonts w:hint="eastAsia" w:hAnsi="宋体" w:cs="宋体"/>
                <w:bCs/>
                <w:color w:val="auto"/>
                <w:sz w:val="21"/>
                <w:szCs w:val="21"/>
              </w:rPr>
              <w:t>2020</w:t>
            </w:r>
            <w:r>
              <w:rPr>
                <w:rFonts w:hint="eastAsia" w:hAnsi="宋体" w:cs="宋体"/>
                <w:color w:val="auto"/>
                <w:sz w:val="21"/>
                <w:szCs w:val="21"/>
              </w:rPr>
              <w:t>)第4.4.2条</w:t>
            </w:r>
          </w:p>
        </w:tc>
        <w:tc>
          <w:tcPr>
            <w:tcW w:w="1383" w:type="pct"/>
            <w:tcBorders>
              <w:tl2br w:val="nil"/>
              <w:tr2bl w:val="nil"/>
            </w:tcBorders>
            <w:vAlign w:val="center"/>
          </w:tcPr>
          <w:p w14:paraId="76D78B4D">
            <w:pPr>
              <w:keepNext w:val="0"/>
              <w:keepLines w:val="0"/>
              <w:suppressLineNumbers w:val="0"/>
              <w:spacing w:before="0" w:beforeAutospacing="0" w:after="0" w:afterAutospacing="0" w:line="300" w:lineRule="exact"/>
              <w:ind w:left="0" w:right="0" w:firstLine="0" w:firstLineChars="0"/>
              <w:rPr>
                <w:rFonts w:hint="eastAsia" w:hAnsi="宋体" w:eastAsia="宋体" w:cs="宋体"/>
                <w:color w:val="auto"/>
                <w:kern w:val="0"/>
                <w:sz w:val="21"/>
                <w:szCs w:val="21"/>
                <w:lang w:val="en-US" w:eastAsia="zh-CN"/>
              </w:rPr>
            </w:pPr>
            <w:r>
              <w:rPr>
                <w:rFonts w:hint="eastAsia" w:cs="宋体"/>
                <w:color w:val="auto"/>
                <w:sz w:val="21"/>
                <w:szCs w:val="21"/>
                <w:lang w:val="en-US" w:eastAsia="zh-CN"/>
              </w:rPr>
              <w:t>可研报告中明确了相关内容。</w:t>
            </w:r>
          </w:p>
        </w:tc>
        <w:tc>
          <w:tcPr>
            <w:tcW w:w="356" w:type="pct"/>
            <w:tcBorders>
              <w:tl2br w:val="nil"/>
              <w:tr2bl w:val="nil"/>
            </w:tcBorders>
            <w:vAlign w:val="center"/>
          </w:tcPr>
          <w:p w14:paraId="165190A0">
            <w:pPr>
              <w:keepNext w:val="0"/>
              <w:keepLines w:val="0"/>
              <w:suppressLineNumbers w:val="0"/>
              <w:spacing w:before="0" w:beforeAutospacing="0" w:after="0" w:afterAutospacing="0" w:line="300" w:lineRule="exact"/>
              <w:ind w:left="0" w:right="0" w:firstLine="0" w:firstLineChars="0"/>
              <w:jc w:val="center"/>
              <w:rPr>
                <w:rFonts w:hint="default" w:hAnsi="宋体" w:cs="宋体"/>
                <w:color w:val="auto"/>
                <w:kern w:val="0"/>
                <w:sz w:val="21"/>
                <w:szCs w:val="21"/>
              </w:rPr>
            </w:pPr>
            <w:r>
              <w:rPr>
                <w:rFonts w:hint="eastAsia" w:hAnsi="宋体" w:cs="宋体"/>
                <w:color w:val="auto"/>
                <w:kern w:val="0"/>
                <w:sz w:val="21"/>
                <w:szCs w:val="21"/>
              </w:rPr>
              <w:t>符合</w:t>
            </w:r>
          </w:p>
        </w:tc>
      </w:tr>
      <w:tr w14:paraId="3700410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trPr>
        <w:tc>
          <w:tcPr>
            <w:tcW w:w="364" w:type="pct"/>
            <w:tcBorders>
              <w:tl2br w:val="nil"/>
              <w:tr2bl w:val="nil"/>
            </w:tcBorders>
            <w:vAlign w:val="center"/>
          </w:tcPr>
          <w:p w14:paraId="718A364F">
            <w:pPr>
              <w:keepNext w:val="0"/>
              <w:keepLines w:val="0"/>
              <w:suppressLineNumbers w:val="0"/>
              <w:spacing w:before="0" w:beforeAutospacing="0" w:after="0" w:afterAutospacing="0" w:line="300" w:lineRule="exact"/>
              <w:ind w:left="0" w:right="0" w:firstLine="0" w:firstLineChars="0"/>
              <w:jc w:val="center"/>
              <w:rPr>
                <w:rFonts w:hint="default" w:hAnsi="宋体" w:eastAsia="宋体"/>
                <w:color w:val="auto"/>
                <w:kern w:val="44"/>
                <w:sz w:val="21"/>
                <w:szCs w:val="21"/>
                <w:lang w:val="en-US" w:eastAsia="zh-CN"/>
              </w:rPr>
            </w:pPr>
            <w:r>
              <w:rPr>
                <w:rFonts w:hint="eastAsia"/>
                <w:color w:val="auto"/>
                <w:kern w:val="44"/>
                <w:sz w:val="21"/>
                <w:szCs w:val="21"/>
                <w:lang w:val="en-US" w:eastAsia="zh-CN"/>
              </w:rPr>
              <w:t>20</w:t>
            </w:r>
          </w:p>
        </w:tc>
        <w:tc>
          <w:tcPr>
            <w:tcW w:w="1967" w:type="pct"/>
            <w:tcBorders>
              <w:tl2br w:val="nil"/>
              <w:tr2bl w:val="nil"/>
            </w:tcBorders>
            <w:vAlign w:val="center"/>
          </w:tcPr>
          <w:p w14:paraId="318C1D25">
            <w:pPr>
              <w:keepNext w:val="0"/>
              <w:keepLines w:val="0"/>
              <w:suppressLineNumbers w:val="0"/>
              <w:spacing w:before="0" w:beforeAutospacing="0" w:after="0" w:afterAutospacing="0" w:line="300" w:lineRule="exact"/>
              <w:ind w:left="0" w:right="0" w:firstLine="0" w:firstLineChars="0"/>
              <w:rPr>
                <w:rFonts w:hint="default"/>
                <w:color w:val="auto"/>
                <w:sz w:val="21"/>
                <w:szCs w:val="21"/>
              </w:rPr>
            </w:pPr>
            <w:r>
              <w:rPr>
                <w:rFonts w:hint="eastAsia"/>
                <w:color w:val="auto"/>
                <w:sz w:val="21"/>
                <w:szCs w:val="21"/>
              </w:rPr>
              <w:t>生产经营单位的主要负责人组织并实施本单位的安全生产事故应急救援预案。</w:t>
            </w:r>
          </w:p>
        </w:tc>
        <w:tc>
          <w:tcPr>
            <w:tcW w:w="928" w:type="pct"/>
            <w:tcBorders>
              <w:tl2br w:val="nil"/>
              <w:tr2bl w:val="nil"/>
            </w:tcBorders>
            <w:vAlign w:val="center"/>
          </w:tcPr>
          <w:p w14:paraId="7761090D">
            <w:pPr>
              <w:pStyle w:val="40"/>
              <w:keepNext w:val="0"/>
              <w:keepLines w:val="0"/>
              <w:suppressLineNumbers w:val="0"/>
              <w:spacing w:before="0" w:beforeAutospacing="0" w:after="0" w:afterAutospacing="0" w:line="300" w:lineRule="exact"/>
              <w:ind w:left="0" w:right="0"/>
              <w:rPr>
                <w:rFonts w:hint="default" w:ascii="宋体"/>
                <w:color w:val="auto"/>
                <w:szCs w:val="21"/>
              </w:rPr>
            </w:pPr>
            <w:r>
              <w:rPr>
                <w:rFonts w:hint="eastAsia" w:ascii="宋体" w:hAnsi="宋体" w:cs="宋体"/>
                <w:color w:val="auto"/>
                <w:sz w:val="21"/>
                <w:szCs w:val="21"/>
              </w:rPr>
              <w:t>《中华人民共和国安全生产法》第二十一条</w:t>
            </w:r>
          </w:p>
        </w:tc>
        <w:tc>
          <w:tcPr>
            <w:tcW w:w="1383" w:type="pct"/>
            <w:tcBorders>
              <w:tl2br w:val="nil"/>
              <w:tr2bl w:val="nil"/>
            </w:tcBorders>
            <w:vAlign w:val="center"/>
          </w:tcPr>
          <w:p w14:paraId="75AE23B6">
            <w:pPr>
              <w:keepNext w:val="0"/>
              <w:keepLines w:val="0"/>
              <w:suppressLineNumbers w:val="0"/>
              <w:spacing w:before="0" w:beforeAutospacing="0" w:after="0" w:afterAutospacing="0" w:line="300" w:lineRule="exact"/>
              <w:ind w:left="0" w:right="0" w:firstLine="0" w:firstLineChars="0"/>
              <w:rPr>
                <w:rFonts w:hint="default" w:hAnsi="宋体"/>
                <w:color w:val="auto"/>
                <w:kern w:val="0"/>
                <w:sz w:val="21"/>
                <w:szCs w:val="21"/>
              </w:rPr>
            </w:pPr>
            <w:r>
              <w:rPr>
                <w:rFonts w:hint="eastAsia" w:cs="宋体"/>
                <w:color w:val="auto"/>
                <w:kern w:val="0"/>
                <w:sz w:val="21"/>
                <w:szCs w:val="21"/>
                <w:lang w:val="en-US" w:eastAsia="zh-CN"/>
              </w:rPr>
              <w:t>可研报告对编制预案提出了要求。</w:t>
            </w:r>
          </w:p>
        </w:tc>
        <w:tc>
          <w:tcPr>
            <w:tcW w:w="356" w:type="pct"/>
            <w:tcBorders>
              <w:tl2br w:val="nil"/>
              <w:tr2bl w:val="nil"/>
            </w:tcBorders>
            <w:vAlign w:val="center"/>
          </w:tcPr>
          <w:p w14:paraId="6163D62B">
            <w:pPr>
              <w:keepNext w:val="0"/>
              <w:keepLines w:val="0"/>
              <w:suppressLineNumbers w:val="0"/>
              <w:spacing w:before="0" w:beforeAutospacing="0" w:after="0" w:afterAutospacing="0" w:line="300" w:lineRule="exact"/>
              <w:ind w:left="0" w:right="0" w:firstLine="0" w:firstLineChars="0"/>
              <w:jc w:val="center"/>
              <w:rPr>
                <w:rFonts w:hint="default" w:hAnsi="宋体"/>
                <w:color w:val="auto"/>
                <w:kern w:val="0"/>
                <w:sz w:val="21"/>
                <w:szCs w:val="21"/>
              </w:rPr>
            </w:pPr>
            <w:r>
              <w:rPr>
                <w:rFonts w:hint="eastAsia" w:hAnsi="宋体"/>
                <w:color w:val="auto"/>
                <w:kern w:val="0"/>
                <w:sz w:val="21"/>
                <w:szCs w:val="21"/>
              </w:rPr>
              <w:t>符合</w:t>
            </w:r>
          </w:p>
        </w:tc>
      </w:tr>
    </w:tbl>
    <w:p w14:paraId="2DFD923D">
      <w:pPr>
        <w:ind w:firstLine="560"/>
        <w:rPr>
          <w:color w:val="auto"/>
        </w:rPr>
      </w:pPr>
      <w:bookmarkStart w:id="131" w:name="_Toc24842"/>
      <w:r>
        <w:rPr>
          <w:rFonts w:hint="eastAsia"/>
          <w:color w:val="auto"/>
        </w:rPr>
        <w:t>经检查，可研中对矿山安全组织机构及人员配备、安全培训及特殊作业人员持证培训提出了要求。矿山安全管理存在以下问题，需完善问题：</w:t>
      </w:r>
    </w:p>
    <w:p w14:paraId="115304A6">
      <w:pPr>
        <w:ind w:firstLine="560"/>
        <w:rPr>
          <w:rFonts w:hint="eastAsia" w:eastAsia="宋体"/>
          <w:color w:val="auto"/>
          <w:lang w:eastAsia="zh-CN"/>
        </w:rPr>
      </w:pPr>
      <w:r>
        <w:rPr>
          <w:rFonts w:hint="eastAsia"/>
          <w:color w:val="auto"/>
        </w:rPr>
        <w:t>下</w:t>
      </w:r>
      <w:r>
        <w:rPr>
          <w:rFonts w:hint="eastAsia"/>
          <w:color w:val="auto"/>
          <w:lang w:val="en-US" w:eastAsia="zh-CN"/>
        </w:rPr>
        <w:t>一</w:t>
      </w:r>
      <w:r>
        <w:rPr>
          <w:rFonts w:hint="eastAsia"/>
          <w:color w:val="auto"/>
        </w:rPr>
        <w:t>步安全设施设计中应对</w:t>
      </w:r>
      <w:r>
        <w:rPr>
          <w:rFonts w:hint="eastAsia"/>
          <w:color w:val="auto"/>
          <w:lang w:eastAsia="zh-CN"/>
        </w:rPr>
        <w:t>注册安全工程师、“</w:t>
      </w:r>
      <w:r>
        <w:rPr>
          <w:rFonts w:hint="eastAsia"/>
          <w:color w:val="auto"/>
          <w:lang w:val="en-US" w:eastAsia="zh-CN"/>
        </w:rPr>
        <w:t>五职</w:t>
      </w:r>
      <w:r>
        <w:rPr>
          <w:rFonts w:hint="eastAsia"/>
          <w:color w:val="auto"/>
          <w:lang w:eastAsia="zh-CN"/>
        </w:rPr>
        <w:t>”</w:t>
      </w:r>
      <w:r>
        <w:rPr>
          <w:rFonts w:hint="eastAsia"/>
          <w:color w:val="auto"/>
          <w:lang w:val="en-US" w:eastAsia="zh-CN"/>
        </w:rPr>
        <w:t>矿长和“五科”负责人、</w:t>
      </w:r>
      <w:r>
        <w:rPr>
          <w:rFonts w:hint="eastAsia"/>
          <w:color w:val="auto"/>
        </w:rPr>
        <w:t>安全投入、</w:t>
      </w:r>
      <w:r>
        <w:rPr>
          <w:rFonts w:hint="eastAsia"/>
          <w:color w:val="auto"/>
          <w:lang w:eastAsia="zh-CN"/>
        </w:rPr>
        <w:t>员工培训、</w:t>
      </w:r>
      <w:r>
        <w:rPr>
          <w:rFonts w:hint="eastAsia"/>
          <w:color w:val="auto"/>
        </w:rPr>
        <w:t>安全运行管理</w:t>
      </w:r>
      <w:r>
        <w:rPr>
          <w:rFonts w:hint="eastAsia"/>
          <w:color w:val="auto"/>
          <w:lang w:eastAsia="zh-CN"/>
        </w:rPr>
        <w:t>等</w:t>
      </w:r>
      <w:r>
        <w:rPr>
          <w:rFonts w:hint="eastAsia"/>
          <w:color w:val="auto"/>
        </w:rPr>
        <w:t>相关内容进行完善。</w:t>
      </w:r>
    </w:p>
    <w:p w14:paraId="36EB16F5">
      <w:pPr>
        <w:pStyle w:val="3"/>
        <w:keepNext/>
        <w:spacing w:before="120" w:beforeLines="0" w:after="120" w:afterLines="0"/>
        <w:rPr>
          <w:color w:val="auto"/>
        </w:rPr>
      </w:pPr>
      <w:bookmarkStart w:id="132" w:name="_Toc9920"/>
      <w:r>
        <w:rPr>
          <w:rFonts w:hint="eastAsia"/>
          <w:color w:val="auto"/>
        </w:rPr>
        <w:t>3.1</w:t>
      </w:r>
      <w:r>
        <w:rPr>
          <w:rFonts w:hint="eastAsia"/>
          <w:color w:val="auto"/>
          <w:lang w:val="en-US" w:eastAsia="zh-CN"/>
        </w:rPr>
        <w:t>0</w:t>
      </w:r>
      <w:r>
        <w:rPr>
          <w:rFonts w:hint="eastAsia"/>
          <w:color w:val="auto"/>
        </w:rPr>
        <w:t xml:space="preserve"> 重大危险源辨识</w:t>
      </w:r>
      <w:bookmarkEnd w:id="131"/>
      <w:bookmarkEnd w:id="132"/>
      <w:bookmarkStart w:id="133" w:name="_Toc200534970"/>
      <w:bookmarkStart w:id="134" w:name="_Toc353779282"/>
      <w:bookmarkStart w:id="135" w:name="_Toc137891279"/>
      <w:bookmarkStart w:id="136" w:name="_Toc223516767"/>
      <w:bookmarkStart w:id="137" w:name="_Toc109318902"/>
      <w:bookmarkStart w:id="138" w:name="_Toc109735280"/>
    </w:p>
    <w:p w14:paraId="09C14DE5">
      <w:pPr>
        <w:ind w:firstLine="560"/>
        <w:rPr>
          <w:rFonts w:hAnsi="宋体" w:cs="宋体"/>
          <w:color w:val="auto"/>
          <w:szCs w:val="28"/>
        </w:rPr>
      </w:pPr>
      <w:r>
        <w:rPr>
          <w:rFonts w:hAnsi="宋体" w:cs="宋体"/>
          <w:color w:val="auto"/>
          <w:szCs w:val="28"/>
        </w:rPr>
        <w:t>依据《</w:t>
      </w:r>
      <w:r>
        <w:rPr>
          <w:rFonts w:hint="eastAsia" w:hAnsi="宋体" w:cs="宋体"/>
          <w:color w:val="auto"/>
          <w:szCs w:val="28"/>
        </w:rPr>
        <w:t>危险化学品重大危险源辨识》(</w:t>
      </w:r>
      <w:r>
        <w:rPr>
          <w:rFonts w:hAnsi="宋体" w:cs="宋体"/>
          <w:color w:val="auto"/>
          <w:szCs w:val="28"/>
        </w:rPr>
        <w:t>GB18218-20</w:t>
      </w:r>
      <w:r>
        <w:rPr>
          <w:rFonts w:hint="eastAsia" w:hAnsi="宋体" w:cs="宋体"/>
          <w:color w:val="auto"/>
          <w:szCs w:val="28"/>
        </w:rPr>
        <w:t>18)规定：危险化学品重大危险源是指长期地或临时地生产、储存、使用和经营危险化学品，且危险化学品的数量等于或超过临界量的单元：</w:t>
      </w:r>
    </w:p>
    <w:p w14:paraId="258401DB">
      <w:pPr>
        <w:ind w:firstLine="560"/>
        <w:rPr>
          <w:rFonts w:hAnsi="宋体" w:cs="宋体"/>
          <w:color w:val="auto"/>
          <w:szCs w:val="28"/>
        </w:rPr>
      </w:pPr>
      <w:r>
        <w:rPr>
          <w:rFonts w:hint="eastAsia" w:hAnsi="宋体" w:cs="宋体"/>
          <w:color w:val="auto"/>
          <w:szCs w:val="28"/>
        </w:rPr>
        <w:t>单元：涉及危险化学品的生产、储存装置、设施或场所，分为生产单元和储存单元。</w:t>
      </w:r>
    </w:p>
    <w:p w14:paraId="394D241E">
      <w:pPr>
        <w:ind w:firstLine="560"/>
        <w:rPr>
          <w:rFonts w:hAnsi="宋体" w:cs="宋体"/>
          <w:color w:val="auto"/>
          <w:szCs w:val="28"/>
        </w:rPr>
      </w:pPr>
      <w:r>
        <w:rPr>
          <w:rFonts w:hint="eastAsia" w:hAnsi="宋体" w:cs="宋体"/>
          <w:color w:val="auto"/>
          <w:szCs w:val="28"/>
        </w:rPr>
        <w:t>单元内存在危险物质的数量根据处理物质种类的多少分为以下两种情况：</w:t>
      </w:r>
    </w:p>
    <w:p w14:paraId="30BA1F61">
      <w:pPr>
        <w:ind w:firstLine="560"/>
        <w:rPr>
          <w:rFonts w:hAnsi="宋体" w:cs="宋体"/>
          <w:color w:val="auto"/>
          <w:szCs w:val="28"/>
        </w:rPr>
      </w:pPr>
      <w:r>
        <w:rPr>
          <w:rFonts w:hint="eastAsia" w:hAnsi="宋体" w:cs="宋体"/>
          <w:color w:val="auto"/>
          <w:szCs w:val="28"/>
        </w:rPr>
        <w:t>1)单元内存在的危险物质为单一品种，则该物质的数量即为单元内危险物质的总量，若等于或超过相应的临界量，则定为重大危险源。</w:t>
      </w:r>
    </w:p>
    <w:p w14:paraId="37F7E0C6">
      <w:pPr>
        <w:ind w:firstLine="560"/>
        <w:rPr>
          <w:rFonts w:hAnsi="宋体" w:cs="宋体"/>
          <w:color w:val="auto"/>
          <w:szCs w:val="28"/>
        </w:rPr>
      </w:pPr>
      <w:r>
        <w:rPr>
          <w:rFonts w:hint="eastAsia" w:hAnsi="宋体" w:cs="宋体"/>
          <w:color w:val="auto"/>
          <w:szCs w:val="28"/>
        </w:rPr>
        <w:t>2)单元内存在的危险物质为多品种时，则按下式计算，若满足下式，则定为重大危险源：</w:t>
      </w:r>
    </w:p>
    <w:p w14:paraId="0CA9C14C">
      <w:pPr>
        <w:ind w:firstLine="560"/>
        <w:rPr>
          <w:rFonts w:hAnsi="宋体" w:cs="宋体"/>
          <w:color w:val="auto"/>
          <w:szCs w:val="28"/>
        </w:rPr>
      </w:pPr>
      <w:r>
        <w:rPr>
          <w:rFonts w:hint="eastAsia" w:hAnsi="宋体" w:cs="宋体"/>
          <w:color w:val="auto"/>
          <w:szCs w:val="28"/>
        </w:rPr>
        <w:t>q</w:t>
      </w:r>
      <w:r>
        <w:rPr>
          <w:rFonts w:hint="eastAsia" w:hAnsi="宋体" w:cs="宋体"/>
          <w:color w:val="auto"/>
          <w:szCs w:val="28"/>
          <w:vertAlign w:val="subscript"/>
        </w:rPr>
        <w:t>1</w:t>
      </w:r>
      <w:r>
        <w:rPr>
          <w:rFonts w:hint="eastAsia" w:hAnsi="宋体" w:cs="宋体"/>
          <w:color w:val="auto"/>
          <w:szCs w:val="28"/>
        </w:rPr>
        <w:t>/Q</w:t>
      </w:r>
      <w:r>
        <w:rPr>
          <w:rFonts w:hint="eastAsia" w:hAnsi="宋体" w:cs="宋体"/>
          <w:color w:val="auto"/>
          <w:szCs w:val="28"/>
          <w:vertAlign w:val="subscript"/>
        </w:rPr>
        <w:t>1</w:t>
      </w:r>
      <w:r>
        <w:rPr>
          <w:rFonts w:hint="eastAsia" w:hAnsi="宋体" w:cs="宋体"/>
          <w:color w:val="auto"/>
          <w:szCs w:val="28"/>
        </w:rPr>
        <w:t>＋q</w:t>
      </w:r>
      <w:r>
        <w:rPr>
          <w:rFonts w:hint="eastAsia" w:hAnsi="宋体" w:cs="宋体"/>
          <w:color w:val="auto"/>
          <w:szCs w:val="28"/>
          <w:vertAlign w:val="subscript"/>
        </w:rPr>
        <w:t>2</w:t>
      </w:r>
      <w:r>
        <w:rPr>
          <w:rFonts w:hint="eastAsia" w:hAnsi="宋体" w:cs="宋体"/>
          <w:color w:val="auto"/>
          <w:szCs w:val="28"/>
        </w:rPr>
        <w:t>/Q</w:t>
      </w:r>
      <w:r>
        <w:rPr>
          <w:rFonts w:hint="eastAsia" w:hAnsi="宋体" w:cs="宋体"/>
          <w:color w:val="auto"/>
          <w:szCs w:val="28"/>
          <w:vertAlign w:val="subscript"/>
        </w:rPr>
        <w:t>2</w:t>
      </w:r>
      <w:r>
        <w:rPr>
          <w:rFonts w:hint="eastAsia" w:hAnsi="宋体" w:cs="宋体"/>
          <w:color w:val="auto"/>
          <w:szCs w:val="28"/>
        </w:rPr>
        <w:t>＋……＋q</w:t>
      </w:r>
      <w:r>
        <w:rPr>
          <w:rFonts w:hint="eastAsia" w:hAnsi="宋体" w:cs="宋体"/>
          <w:color w:val="auto"/>
          <w:szCs w:val="28"/>
          <w:vertAlign w:val="subscript"/>
        </w:rPr>
        <w:t>n</w:t>
      </w:r>
      <w:r>
        <w:rPr>
          <w:rFonts w:hint="eastAsia" w:hAnsi="宋体" w:cs="宋体"/>
          <w:color w:val="auto"/>
          <w:szCs w:val="28"/>
        </w:rPr>
        <w:t>/Q</w:t>
      </w:r>
      <w:r>
        <w:rPr>
          <w:rFonts w:hint="eastAsia" w:hAnsi="宋体" w:cs="宋体"/>
          <w:color w:val="auto"/>
          <w:szCs w:val="28"/>
          <w:vertAlign w:val="subscript"/>
        </w:rPr>
        <w:t>n</w:t>
      </w:r>
      <w:r>
        <w:rPr>
          <w:rFonts w:hint="eastAsia" w:hAnsi="宋体" w:cs="宋体"/>
          <w:color w:val="auto"/>
          <w:szCs w:val="28"/>
        </w:rPr>
        <w:t>≥1</w:t>
      </w:r>
    </w:p>
    <w:p w14:paraId="01707B24">
      <w:pPr>
        <w:ind w:firstLine="560"/>
        <w:rPr>
          <w:rFonts w:hAnsi="宋体" w:cs="宋体"/>
          <w:color w:val="auto"/>
          <w:szCs w:val="28"/>
        </w:rPr>
      </w:pPr>
      <w:r>
        <w:rPr>
          <w:rFonts w:hint="eastAsia" w:hAnsi="宋体" w:cs="宋体"/>
          <w:color w:val="auto"/>
          <w:szCs w:val="28"/>
        </w:rPr>
        <w:t>式中：q</w:t>
      </w:r>
      <w:r>
        <w:rPr>
          <w:rFonts w:hint="eastAsia" w:hAnsi="宋体" w:cs="宋体"/>
          <w:color w:val="auto"/>
          <w:szCs w:val="28"/>
          <w:vertAlign w:val="subscript"/>
        </w:rPr>
        <w:t>1</w:t>
      </w:r>
      <w:r>
        <w:rPr>
          <w:rFonts w:hint="eastAsia" w:hAnsi="宋体" w:cs="宋体"/>
          <w:color w:val="auto"/>
          <w:szCs w:val="28"/>
        </w:rPr>
        <w:t>、q</w:t>
      </w:r>
      <w:r>
        <w:rPr>
          <w:rFonts w:hint="eastAsia" w:hAnsi="宋体" w:cs="宋体"/>
          <w:color w:val="auto"/>
          <w:szCs w:val="28"/>
          <w:vertAlign w:val="subscript"/>
        </w:rPr>
        <w:t>2</w:t>
      </w:r>
      <w:r>
        <w:rPr>
          <w:rFonts w:hint="eastAsia" w:hAnsi="宋体" w:cs="宋体"/>
          <w:color w:val="auto"/>
          <w:szCs w:val="28"/>
        </w:rPr>
        <w:t>、……q</w:t>
      </w:r>
      <w:r>
        <w:rPr>
          <w:rFonts w:hint="eastAsia" w:hAnsi="宋体" w:cs="宋体"/>
          <w:color w:val="auto"/>
          <w:szCs w:val="28"/>
          <w:vertAlign w:val="subscript"/>
        </w:rPr>
        <w:t>n</w:t>
      </w:r>
      <w:r>
        <w:rPr>
          <w:rFonts w:hint="eastAsia" w:hAnsi="宋体" w:cs="宋体"/>
          <w:color w:val="auto"/>
          <w:szCs w:val="28"/>
        </w:rPr>
        <w:t>：每种危险物质实际存在量，t。</w:t>
      </w:r>
    </w:p>
    <w:p w14:paraId="05FF4CAA">
      <w:pPr>
        <w:ind w:firstLine="560"/>
        <w:rPr>
          <w:rFonts w:hAnsi="宋体" w:cs="宋体"/>
          <w:color w:val="auto"/>
          <w:szCs w:val="28"/>
        </w:rPr>
      </w:pPr>
      <w:r>
        <w:rPr>
          <w:rFonts w:hint="eastAsia" w:hAnsi="宋体" w:cs="宋体"/>
          <w:color w:val="auto"/>
          <w:szCs w:val="28"/>
        </w:rPr>
        <w:t>Q</w:t>
      </w:r>
      <w:r>
        <w:rPr>
          <w:rFonts w:hint="eastAsia" w:hAnsi="宋体" w:cs="宋体"/>
          <w:color w:val="auto"/>
          <w:szCs w:val="28"/>
          <w:vertAlign w:val="subscript"/>
        </w:rPr>
        <w:t>1</w:t>
      </w:r>
      <w:r>
        <w:rPr>
          <w:rFonts w:hint="eastAsia" w:hAnsi="宋体" w:cs="宋体"/>
          <w:color w:val="auto"/>
          <w:szCs w:val="28"/>
        </w:rPr>
        <w:t>、Q</w:t>
      </w:r>
      <w:r>
        <w:rPr>
          <w:rFonts w:hint="eastAsia" w:hAnsi="宋体" w:cs="宋体"/>
          <w:color w:val="auto"/>
          <w:szCs w:val="28"/>
          <w:vertAlign w:val="subscript"/>
        </w:rPr>
        <w:t>2</w:t>
      </w:r>
      <w:r>
        <w:rPr>
          <w:rFonts w:hint="eastAsia" w:hAnsi="宋体" w:cs="宋体"/>
          <w:color w:val="auto"/>
          <w:szCs w:val="28"/>
        </w:rPr>
        <w:t>、……Q</w:t>
      </w:r>
      <w:r>
        <w:rPr>
          <w:rFonts w:hint="eastAsia" w:hAnsi="宋体" w:cs="宋体"/>
          <w:color w:val="auto"/>
          <w:szCs w:val="28"/>
          <w:vertAlign w:val="subscript"/>
        </w:rPr>
        <w:t>n</w:t>
      </w:r>
      <w:r>
        <w:rPr>
          <w:rFonts w:hint="eastAsia" w:hAnsi="宋体" w:cs="宋体"/>
          <w:color w:val="auto"/>
          <w:szCs w:val="28"/>
        </w:rPr>
        <w:t>：与各危险物质相对应的生产场所和储存区的临界量，t。</w:t>
      </w:r>
    </w:p>
    <w:p w14:paraId="156D2E10">
      <w:pPr>
        <w:ind w:firstLine="560"/>
        <w:jc w:val="left"/>
        <w:rPr>
          <w:rFonts w:hint="eastAsia" w:hAnsi="宋体" w:eastAsia="宋体"/>
          <w:color w:val="auto"/>
          <w:szCs w:val="28"/>
          <w:lang w:eastAsia="zh-CN"/>
        </w:rPr>
      </w:pPr>
      <w:r>
        <w:rPr>
          <w:rFonts w:hAnsi="宋体" w:cs="宋体"/>
          <w:color w:val="auto"/>
          <w:szCs w:val="28"/>
        </w:rPr>
        <w:t>该矿山</w:t>
      </w:r>
      <w:r>
        <w:rPr>
          <w:rFonts w:hint="eastAsia" w:hAnsi="宋体" w:cs="宋体"/>
          <w:color w:val="auto"/>
          <w:szCs w:val="28"/>
        </w:rPr>
        <w:t>的柴油</w:t>
      </w:r>
      <w:r>
        <w:rPr>
          <w:rFonts w:hint="eastAsia" w:cs="宋体"/>
          <w:color w:val="auto"/>
          <w:szCs w:val="28"/>
          <w:lang w:val="en-US" w:eastAsia="zh-CN"/>
        </w:rPr>
        <w:t>设备主要通过外部加油车加油，矿区内最多在维修车间存放1桶</w:t>
      </w:r>
      <w:r>
        <w:rPr>
          <w:rFonts w:hint="eastAsia" w:hAnsi="宋体" w:cs="宋体"/>
          <w:color w:val="auto"/>
          <w:szCs w:val="28"/>
        </w:rPr>
        <w:t>柴油</w:t>
      </w:r>
      <w:r>
        <w:rPr>
          <w:rFonts w:hint="eastAsia" w:cs="宋体"/>
          <w:color w:val="auto"/>
          <w:szCs w:val="28"/>
          <w:lang w:val="en-US" w:eastAsia="zh-CN"/>
        </w:rPr>
        <w:t>(约134kg)，</w:t>
      </w:r>
      <w:r>
        <w:rPr>
          <w:rFonts w:hint="eastAsia" w:hAnsi="宋体" w:cs="宋体"/>
          <w:color w:val="auto"/>
          <w:szCs w:val="28"/>
          <w:lang w:eastAsia="zh-CN"/>
        </w:rPr>
        <w:t>储存量远远小于柴油临界量</w:t>
      </w:r>
      <w:r>
        <w:rPr>
          <w:rFonts w:hint="eastAsia" w:cs="宋体"/>
          <w:color w:val="auto"/>
          <w:szCs w:val="28"/>
          <w:lang w:val="en-US" w:eastAsia="zh-CN"/>
        </w:rPr>
        <w:t>5000t</w:t>
      </w:r>
      <w:r>
        <w:rPr>
          <w:rFonts w:hint="eastAsia" w:hAnsi="宋体" w:cs="宋体"/>
          <w:color w:val="auto"/>
          <w:szCs w:val="28"/>
          <w:lang w:eastAsia="zh-CN"/>
        </w:rPr>
        <w:t>，</w:t>
      </w:r>
      <w:r>
        <w:rPr>
          <w:rFonts w:hint="eastAsia" w:hAnsi="宋体" w:cs="宋体"/>
          <w:color w:val="auto"/>
          <w:szCs w:val="28"/>
        </w:rPr>
        <w:t>经辨识，</w:t>
      </w:r>
      <w:r>
        <w:rPr>
          <w:rFonts w:hAnsi="宋体" w:cs="宋体"/>
          <w:color w:val="auto"/>
          <w:szCs w:val="28"/>
        </w:rPr>
        <w:t>该矿山</w:t>
      </w:r>
      <w:r>
        <w:rPr>
          <w:rFonts w:hint="eastAsia" w:hAnsi="宋体" w:cs="宋体"/>
          <w:color w:val="auto"/>
          <w:szCs w:val="28"/>
          <w:lang w:eastAsia="zh-CN"/>
        </w:rPr>
        <w:t>储存的柴油未构成危险化学品重大危险源。</w:t>
      </w:r>
    </w:p>
    <w:p w14:paraId="37EAAC9F">
      <w:pPr>
        <w:ind w:firstLine="560"/>
        <w:jc w:val="left"/>
        <w:rPr>
          <w:rFonts w:hint="eastAsia" w:hAnsi="宋体"/>
          <w:color w:val="auto"/>
          <w:szCs w:val="28"/>
        </w:rPr>
      </w:pPr>
      <w:r>
        <w:rPr>
          <w:rFonts w:hint="eastAsia" w:hAnsi="宋体"/>
          <w:color w:val="auto"/>
          <w:szCs w:val="28"/>
        </w:rPr>
        <w:t>综上所述：该矿山未构成危险化学品重大危险源。</w:t>
      </w:r>
    </w:p>
    <w:p w14:paraId="6E04969E">
      <w:pPr>
        <w:ind w:firstLine="560"/>
        <w:jc w:val="left"/>
        <w:rPr>
          <w:rFonts w:hint="eastAsia" w:hAnsi="宋体"/>
          <w:color w:val="auto"/>
          <w:szCs w:val="28"/>
        </w:rPr>
      </w:pPr>
    </w:p>
    <w:p w14:paraId="30A21260">
      <w:pPr>
        <w:ind w:firstLine="0" w:firstLineChars="0"/>
        <w:rPr>
          <w:rFonts w:hAnsi="宋体" w:cs="宋体"/>
          <w:color w:val="auto"/>
          <w:szCs w:val="28"/>
        </w:rPr>
        <w:sectPr>
          <w:headerReference r:id="rId17" w:type="default"/>
          <w:footerReference r:id="rId19" w:type="default"/>
          <w:headerReference r:id="rId18" w:type="even"/>
          <w:footerReference r:id="rId20" w:type="even"/>
          <w:pgSz w:w="11906" w:h="16838"/>
          <w:pgMar w:top="1417" w:right="1304" w:bottom="1304" w:left="1304" w:header="850" w:footer="850" w:gutter="0"/>
          <w:pgBorders>
            <w:top w:val="none" w:sz="0" w:space="0"/>
            <w:left w:val="none" w:sz="0" w:space="0"/>
            <w:bottom w:val="none" w:sz="0" w:space="0"/>
            <w:right w:val="none" w:sz="0" w:space="0"/>
          </w:pgBorders>
          <w:pgNumType w:fmt="decimal" w:start="1"/>
          <w:cols w:space="720" w:num="1"/>
          <w:docGrid w:type="linesAndChars" w:linePitch="381" w:charSpace="0"/>
        </w:sectPr>
      </w:pPr>
    </w:p>
    <w:bookmarkEnd w:id="126"/>
    <w:bookmarkEnd w:id="127"/>
    <w:bookmarkEnd w:id="133"/>
    <w:bookmarkEnd w:id="134"/>
    <w:bookmarkEnd w:id="135"/>
    <w:bookmarkEnd w:id="136"/>
    <w:bookmarkEnd w:id="137"/>
    <w:bookmarkEnd w:id="138"/>
    <w:p w14:paraId="330231DB">
      <w:pPr>
        <w:pStyle w:val="2"/>
        <w:spacing w:before="120" w:beforeLines="0" w:after="120" w:afterLines="0" w:line="560" w:lineRule="exact"/>
        <w:jc w:val="center"/>
        <w:rPr>
          <w:color w:val="auto"/>
        </w:rPr>
      </w:pPr>
      <w:bookmarkStart w:id="139" w:name="_Toc242092186"/>
      <w:bookmarkStart w:id="140" w:name="_Toc353779285"/>
      <w:bookmarkStart w:id="141" w:name="_Toc242888389"/>
      <w:bookmarkStart w:id="142" w:name="_Toc2316"/>
      <w:bookmarkStart w:id="143" w:name="_Toc31804"/>
      <w:bookmarkStart w:id="144" w:name="_Toc200534974"/>
      <w:bookmarkStart w:id="145" w:name="_Toc391805442"/>
      <w:bookmarkStart w:id="146" w:name="_Toc365615951"/>
      <w:bookmarkStart w:id="147" w:name="_Toc403394791"/>
      <w:bookmarkStart w:id="148" w:name="_Toc338762980"/>
      <w:bookmarkStart w:id="149" w:name="_Toc117187269"/>
      <w:bookmarkStart w:id="150" w:name="_Toc256678564"/>
      <w:bookmarkStart w:id="151" w:name="_Toc67641515"/>
      <w:bookmarkStart w:id="152" w:name="_Toc67883238"/>
      <w:bookmarkStart w:id="153" w:name="_Toc225062612"/>
      <w:bookmarkStart w:id="154" w:name="_Toc85188019"/>
      <w:bookmarkStart w:id="155" w:name="_Toc276368290"/>
      <w:bookmarkStart w:id="156" w:name="_Toc85101975"/>
      <w:bookmarkStart w:id="157" w:name="_Toc225062070"/>
      <w:bookmarkStart w:id="158" w:name="_Toc272314787"/>
      <w:bookmarkStart w:id="159" w:name="_Toc67640583"/>
      <w:bookmarkStart w:id="160" w:name="_Toc68322073"/>
      <w:bookmarkStart w:id="161" w:name="_Toc67580860"/>
      <w:bookmarkStart w:id="162" w:name="_Toc67641031"/>
      <w:bookmarkStart w:id="163" w:name="_Toc67820482"/>
      <w:r>
        <w:rPr>
          <w:rFonts w:hAnsi="宋体" w:cs="黑体"/>
          <w:bCs/>
          <w:color w:val="auto"/>
        </w:rPr>
        <w:t>4</w:t>
      </w:r>
      <w:bookmarkEnd w:id="139"/>
      <w:bookmarkEnd w:id="140"/>
      <w:bookmarkEnd w:id="141"/>
      <w:bookmarkStart w:id="164" w:name="_Toc242092187"/>
      <w:bookmarkStart w:id="165" w:name="_Toc242888390"/>
      <w:r>
        <w:rPr>
          <w:rFonts w:hint="eastAsia" w:hAnsi="宋体" w:cs="黑体"/>
          <w:bCs/>
          <w:color w:val="auto"/>
        </w:rPr>
        <w:t xml:space="preserve"> 安全对策措施及建议</w:t>
      </w:r>
      <w:bookmarkEnd w:id="142"/>
      <w:bookmarkEnd w:id="143"/>
    </w:p>
    <w:p w14:paraId="709D0FB9">
      <w:pPr>
        <w:pStyle w:val="3"/>
        <w:rPr>
          <w:color w:val="auto"/>
        </w:rPr>
      </w:pPr>
      <w:bookmarkStart w:id="166" w:name="_Toc13201"/>
      <w:bookmarkStart w:id="167" w:name="_Toc353779286"/>
      <w:bookmarkStart w:id="168" w:name="_Toc26683"/>
      <w:r>
        <w:rPr>
          <w:rFonts w:hint="eastAsia"/>
          <w:color w:val="auto"/>
        </w:rPr>
        <w:t>4.</w:t>
      </w:r>
      <w:r>
        <w:rPr>
          <w:rFonts w:hint="eastAsia"/>
          <w:color w:val="auto"/>
          <w:lang w:val="en-US" w:eastAsia="zh-CN"/>
        </w:rPr>
        <w:t>1</w:t>
      </w:r>
      <w:r>
        <w:rPr>
          <w:color w:val="auto"/>
        </w:rPr>
        <w:t>安全对策措施</w:t>
      </w:r>
      <w:bookmarkEnd w:id="166"/>
    </w:p>
    <w:p w14:paraId="11BC50DE">
      <w:pPr>
        <w:ind w:firstLine="560"/>
        <w:rPr>
          <w:color w:val="auto"/>
        </w:rPr>
      </w:pPr>
      <w:r>
        <w:rPr>
          <w:color w:val="auto"/>
        </w:rPr>
        <w:t>本报告根据危险、有害因素辨识结果与定性、定量评价结果，遵循针对性、技术可行性、经济合理性原则，提出了以下消除或减弱危险、危害的</w:t>
      </w:r>
      <w:r>
        <w:rPr>
          <w:rFonts w:hint="eastAsia"/>
          <w:color w:val="auto"/>
        </w:rPr>
        <w:t>安全</w:t>
      </w:r>
      <w:r>
        <w:rPr>
          <w:color w:val="auto"/>
        </w:rPr>
        <w:t>技术</w:t>
      </w:r>
      <w:r>
        <w:rPr>
          <w:rFonts w:hint="eastAsia"/>
          <w:color w:val="auto"/>
        </w:rPr>
        <w:t>对策</w:t>
      </w:r>
      <w:r>
        <w:rPr>
          <w:color w:val="auto"/>
        </w:rPr>
        <w:t>措施</w:t>
      </w:r>
      <w:r>
        <w:rPr>
          <w:rFonts w:hint="eastAsia"/>
          <w:color w:val="auto"/>
        </w:rPr>
        <w:t>。</w:t>
      </w:r>
    </w:p>
    <w:p w14:paraId="2E569118">
      <w:pPr>
        <w:pStyle w:val="4"/>
        <w:rPr>
          <w:color w:val="auto"/>
        </w:rPr>
      </w:pPr>
      <w:r>
        <w:rPr>
          <w:rFonts w:hint="eastAsia"/>
          <w:color w:val="auto"/>
        </w:rPr>
        <w:t>4.2.1总平面布置单元</w:t>
      </w:r>
      <w:r>
        <w:rPr>
          <w:color w:val="auto"/>
        </w:rPr>
        <w:t>安全对策措施</w:t>
      </w:r>
    </w:p>
    <w:p w14:paraId="4E5DEB99">
      <w:pPr>
        <w:ind w:firstLine="560"/>
        <w:rPr>
          <w:color w:val="auto"/>
        </w:rPr>
      </w:pPr>
      <w:r>
        <w:rPr>
          <w:rFonts w:hint="eastAsia"/>
          <w:color w:val="auto"/>
        </w:rPr>
        <w:t>(1)</w:t>
      </w:r>
      <w:r>
        <w:rPr>
          <w:color w:val="auto"/>
        </w:rPr>
        <w:t>做好防排水工作</w:t>
      </w:r>
      <w:r>
        <w:rPr>
          <w:rFonts w:hint="eastAsia"/>
          <w:color w:val="auto"/>
        </w:rPr>
        <w:t>。工业场地、地表塌陷(沉降)区、井口周围在雨季前要</w:t>
      </w:r>
      <w:r>
        <w:rPr>
          <w:rFonts w:hint="eastAsia"/>
          <w:color w:val="auto"/>
          <w:lang w:eastAsia="zh-CN"/>
        </w:rPr>
        <w:t>保证排水沟通畅</w:t>
      </w:r>
      <w:r>
        <w:rPr>
          <w:rFonts w:hint="eastAsia"/>
          <w:color w:val="auto"/>
        </w:rPr>
        <w:t>，筑好防水堤，防止雨水、山坡汇水冲毁地面设施或倒灌流入井下。</w:t>
      </w:r>
    </w:p>
    <w:p w14:paraId="7F14539C">
      <w:pPr>
        <w:ind w:firstLine="560"/>
        <w:rPr>
          <w:rFonts w:hint="eastAsia"/>
          <w:color w:val="auto"/>
        </w:rPr>
      </w:pPr>
      <w:r>
        <w:rPr>
          <w:rFonts w:hint="eastAsia"/>
          <w:color w:val="auto"/>
        </w:rPr>
        <w:t>(</w:t>
      </w:r>
      <w:r>
        <w:rPr>
          <w:rFonts w:hint="eastAsia"/>
          <w:color w:val="auto"/>
          <w:lang w:val="en-US" w:eastAsia="zh-CN"/>
        </w:rPr>
        <w:t>2</w:t>
      </w:r>
      <w:r>
        <w:rPr>
          <w:rFonts w:hint="eastAsia"/>
          <w:color w:val="auto"/>
        </w:rPr>
        <w:t>)地震破坏性大，但发生的频率较低，当</w:t>
      </w:r>
      <w:r>
        <w:rPr>
          <w:color w:val="auto"/>
        </w:rPr>
        <w:t>有地震预报时及时将井上、井下人员、重要设备撤离到安全地点，灾后及时抢救。</w:t>
      </w:r>
      <w:r>
        <w:rPr>
          <w:rFonts w:hint="eastAsia"/>
          <w:color w:val="auto"/>
        </w:rPr>
        <w:t>地震灾害发生的频率虽然较小，但应引起高度重视。</w:t>
      </w:r>
    </w:p>
    <w:p w14:paraId="095B64C5">
      <w:pPr>
        <w:ind w:firstLine="560"/>
        <w:rPr>
          <w:color w:val="auto"/>
        </w:rPr>
      </w:pPr>
      <w:r>
        <w:rPr>
          <w:rFonts w:hint="eastAsia"/>
          <w:color w:val="auto"/>
        </w:rPr>
        <w:t>(</w:t>
      </w:r>
      <w:r>
        <w:rPr>
          <w:rFonts w:hint="eastAsia"/>
          <w:color w:val="auto"/>
          <w:lang w:val="en-US" w:eastAsia="zh-CN"/>
        </w:rPr>
        <w:t>3</w:t>
      </w:r>
      <w:r>
        <w:rPr>
          <w:rFonts w:hint="eastAsia"/>
          <w:color w:val="auto"/>
        </w:rPr>
        <w:t>)</w:t>
      </w:r>
      <w:r>
        <w:rPr>
          <w:rFonts w:hint="eastAsia" w:ascii="宋体" w:hAnsi="宋体" w:eastAsia="宋体" w:cs="宋体"/>
          <w:color w:val="auto"/>
        </w:rPr>
        <w:t>应经常对工业场地</w:t>
      </w:r>
      <w:r>
        <w:rPr>
          <w:rFonts w:hint="eastAsia" w:cs="宋体"/>
          <w:color w:val="auto"/>
          <w:lang w:val="en-US" w:eastAsia="zh-CN"/>
        </w:rPr>
        <w:t>旁的山体进行检查，建议做好边坡主动防护措施</w:t>
      </w:r>
      <w:r>
        <w:rPr>
          <w:rFonts w:hint="eastAsia" w:ascii="宋体" w:hAnsi="宋体" w:eastAsia="宋体" w:cs="宋体"/>
          <w:color w:val="auto"/>
        </w:rPr>
        <w:t>。</w:t>
      </w:r>
      <w:r>
        <w:rPr>
          <w:rFonts w:hint="eastAsia" w:cs="宋体"/>
          <w:color w:val="auto"/>
          <w:lang w:val="en-US" w:eastAsia="zh-CN"/>
        </w:rPr>
        <w:t>地面排水</w:t>
      </w:r>
      <w:r>
        <w:rPr>
          <w:rFonts w:hint="eastAsia" w:ascii="宋体" w:hAnsi="宋体" w:eastAsia="宋体" w:cs="宋体"/>
          <w:color w:val="auto"/>
        </w:rPr>
        <w:t>设施应定期检查，确保畅通，特别是汛期。</w:t>
      </w:r>
    </w:p>
    <w:p w14:paraId="63FC3B59">
      <w:pPr>
        <w:pStyle w:val="4"/>
        <w:rPr>
          <w:color w:val="auto"/>
        </w:rPr>
      </w:pPr>
      <w:r>
        <w:rPr>
          <w:rFonts w:hint="eastAsia"/>
          <w:color w:val="auto"/>
        </w:rPr>
        <w:t>4.2.2开拓单元</w:t>
      </w:r>
      <w:r>
        <w:rPr>
          <w:color w:val="auto"/>
        </w:rPr>
        <w:t>安全对策措施</w:t>
      </w:r>
    </w:p>
    <w:p w14:paraId="0E25DE48">
      <w:pPr>
        <w:ind w:firstLine="560"/>
        <w:rPr>
          <w:color w:val="auto"/>
        </w:rPr>
      </w:pPr>
      <w:r>
        <w:rPr>
          <w:rFonts w:hint="eastAsia"/>
          <w:color w:val="auto"/>
        </w:rPr>
        <w:t>1、预防冒顶、片帮事故的措施</w:t>
      </w:r>
    </w:p>
    <w:p w14:paraId="10CF84CB">
      <w:pPr>
        <w:ind w:firstLine="536"/>
        <w:rPr>
          <w:color w:val="auto"/>
          <w:szCs w:val="28"/>
        </w:rPr>
      </w:pPr>
      <w:r>
        <w:rPr>
          <w:rFonts w:hint="eastAsia" w:cs="宋体"/>
          <w:color w:val="auto"/>
          <w:spacing w:val="-6"/>
          <w:szCs w:val="28"/>
        </w:rPr>
        <w:t>(1)</w:t>
      </w:r>
      <w:r>
        <w:rPr>
          <w:color w:val="auto"/>
          <w:szCs w:val="28"/>
        </w:rPr>
        <w:t>井巷施工，施工单位应编制施工组织设计。施工前组织施工人员学习施工组织设计；施工中，应</w:t>
      </w:r>
      <w:r>
        <w:rPr>
          <w:rFonts w:hint="eastAsia"/>
          <w:color w:val="auto"/>
          <w:szCs w:val="28"/>
          <w:lang w:eastAsia="zh-CN"/>
        </w:rPr>
        <w:t>按照</w:t>
      </w:r>
      <w:r>
        <w:rPr>
          <w:color w:val="auto"/>
          <w:szCs w:val="28"/>
        </w:rPr>
        <w:t>施工组织设计的规定作业。</w:t>
      </w:r>
    </w:p>
    <w:p w14:paraId="07D0A1CC">
      <w:pPr>
        <w:ind w:firstLine="536"/>
        <w:rPr>
          <w:color w:val="auto"/>
          <w:szCs w:val="28"/>
        </w:rPr>
      </w:pPr>
      <w:r>
        <w:rPr>
          <w:rFonts w:hint="eastAsia" w:cs="宋体"/>
          <w:color w:val="auto"/>
          <w:spacing w:val="-6"/>
          <w:szCs w:val="28"/>
        </w:rPr>
        <w:t>(2)</w:t>
      </w:r>
      <w:r>
        <w:rPr>
          <w:color w:val="auto"/>
          <w:szCs w:val="28"/>
        </w:rPr>
        <w:t>施工中随时检查和处理帮、顶浮石，爆破后，由专人检查处理工作面，在确认安全后，其他人员方可进入作业。</w:t>
      </w:r>
    </w:p>
    <w:p w14:paraId="6AEBA1D7">
      <w:pPr>
        <w:ind w:firstLine="536"/>
        <w:rPr>
          <w:rFonts w:cs="宋体"/>
          <w:color w:val="auto"/>
          <w:szCs w:val="28"/>
        </w:rPr>
      </w:pPr>
      <w:r>
        <w:rPr>
          <w:rFonts w:hint="eastAsia" w:cs="宋体"/>
          <w:color w:val="auto"/>
          <w:spacing w:val="-6"/>
          <w:szCs w:val="28"/>
        </w:rPr>
        <w:t>(</w:t>
      </w:r>
      <w:r>
        <w:rPr>
          <w:rFonts w:hint="eastAsia" w:cs="宋体"/>
          <w:color w:val="auto"/>
          <w:spacing w:val="-6"/>
          <w:szCs w:val="28"/>
          <w:lang w:val="en-US" w:eastAsia="zh-CN"/>
        </w:rPr>
        <w:t>3</w:t>
      </w:r>
      <w:r>
        <w:rPr>
          <w:rFonts w:hint="eastAsia" w:cs="宋体"/>
          <w:color w:val="auto"/>
          <w:spacing w:val="-6"/>
          <w:szCs w:val="28"/>
        </w:rPr>
        <w:t>)</w:t>
      </w:r>
      <w:r>
        <w:rPr>
          <w:rFonts w:hint="eastAsia" w:cs="宋体"/>
          <w:color w:val="auto"/>
          <w:szCs w:val="28"/>
        </w:rPr>
        <w:t>在</w:t>
      </w:r>
      <w:r>
        <w:rPr>
          <w:rFonts w:hint="eastAsia" w:cs="宋体"/>
          <w:color w:val="auto"/>
          <w:szCs w:val="28"/>
          <w:lang w:val="en-US" w:eastAsia="zh-CN"/>
        </w:rPr>
        <w:t>局部破碎</w:t>
      </w:r>
      <w:r>
        <w:rPr>
          <w:rFonts w:hint="eastAsia" w:cs="宋体"/>
          <w:color w:val="auto"/>
          <w:szCs w:val="28"/>
        </w:rPr>
        <w:t>地段采掘时应及时进行支护，支护形式和质量应符合设计要求。</w:t>
      </w:r>
    </w:p>
    <w:p w14:paraId="61DA0E23">
      <w:pPr>
        <w:ind w:firstLine="536"/>
        <w:rPr>
          <w:rFonts w:cs="宋体"/>
          <w:color w:val="auto"/>
          <w:spacing w:val="-6"/>
          <w:szCs w:val="28"/>
        </w:rPr>
      </w:pPr>
      <w:r>
        <w:rPr>
          <w:rFonts w:hint="eastAsia" w:cs="宋体"/>
          <w:color w:val="auto"/>
          <w:spacing w:val="-6"/>
          <w:szCs w:val="28"/>
        </w:rPr>
        <w:t>(</w:t>
      </w:r>
      <w:r>
        <w:rPr>
          <w:rFonts w:hint="eastAsia" w:cs="宋体"/>
          <w:color w:val="auto"/>
          <w:spacing w:val="-6"/>
          <w:szCs w:val="28"/>
          <w:lang w:val="en-US" w:eastAsia="zh-CN"/>
        </w:rPr>
        <w:t>4</w:t>
      </w:r>
      <w:r>
        <w:rPr>
          <w:rFonts w:hint="eastAsia" w:cs="宋体"/>
          <w:color w:val="auto"/>
          <w:spacing w:val="-6"/>
          <w:szCs w:val="28"/>
        </w:rPr>
        <w:t>)建立顶板管理制度，放炮后有专人负责检查，及时清除浮石，保证井下作业人员安全。</w:t>
      </w:r>
    </w:p>
    <w:p w14:paraId="54C35626">
      <w:pPr>
        <w:ind w:firstLine="536"/>
        <w:rPr>
          <w:rFonts w:cs="宋体"/>
          <w:color w:val="auto"/>
          <w:spacing w:val="-6"/>
          <w:szCs w:val="28"/>
        </w:rPr>
      </w:pPr>
      <w:r>
        <w:rPr>
          <w:rFonts w:hint="eastAsia" w:cs="宋体"/>
          <w:color w:val="auto"/>
          <w:spacing w:val="-6"/>
          <w:szCs w:val="28"/>
        </w:rPr>
        <w:t>(</w:t>
      </w:r>
      <w:r>
        <w:rPr>
          <w:rFonts w:hint="eastAsia" w:cs="宋体"/>
          <w:color w:val="auto"/>
          <w:spacing w:val="-6"/>
          <w:szCs w:val="28"/>
          <w:lang w:val="en-US" w:eastAsia="zh-CN"/>
        </w:rPr>
        <w:t>5</w:t>
      </w:r>
      <w:r>
        <w:rPr>
          <w:rFonts w:hint="eastAsia" w:cs="宋体"/>
          <w:color w:val="auto"/>
          <w:spacing w:val="-6"/>
          <w:szCs w:val="28"/>
        </w:rPr>
        <w:t>)</w:t>
      </w:r>
      <w:r>
        <w:rPr>
          <w:rFonts w:hint="eastAsia" w:cs="宋体"/>
          <w:color w:val="auto"/>
          <w:spacing w:val="-6"/>
          <w:szCs w:val="28"/>
          <w:lang w:eastAsia="zh-CN"/>
        </w:rPr>
        <w:t>矿山应对采空区进行监测，</w:t>
      </w:r>
      <w:r>
        <w:rPr>
          <w:rFonts w:hint="eastAsia" w:cs="宋体"/>
          <w:color w:val="auto"/>
          <w:spacing w:val="-6"/>
          <w:szCs w:val="28"/>
        </w:rPr>
        <w:t>当有地压活动显现，与采空区对应的地表陷落区应设立警示标志，禁止行人、车辆进入，避免发生意外。</w:t>
      </w:r>
    </w:p>
    <w:p w14:paraId="3726998A">
      <w:pPr>
        <w:ind w:firstLine="536"/>
        <w:rPr>
          <w:rFonts w:hint="eastAsia" w:cs="宋体"/>
          <w:color w:val="auto"/>
          <w:spacing w:val="-6"/>
          <w:szCs w:val="28"/>
        </w:rPr>
      </w:pPr>
      <w:r>
        <w:rPr>
          <w:rFonts w:hint="eastAsia" w:cs="宋体"/>
          <w:color w:val="auto"/>
          <w:spacing w:val="-6"/>
          <w:szCs w:val="28"/>
        </w:rPr>
        <w:t>(</w:t>
      </w:r>
      <w:r>
        <w:rPr>
          <w:rFonts w:hint="eastAsia" w:cs="宋体"/>
          <w:color w:val="auto"/>
          <w:spacing w:val="-6"/>
          <w:szCs w:val="28"/>
          <w:lang w:val="en-US" w:eastAsia="zh-CN"/>
        </w:rPr>
        <w:t>6</w:t>
      </w:r>
      <w:r>
        <w:rPr>
          <w:rFonts w:hint="eastAsia" w:cs="宋体"/>
          <w:color w:val="auto"/>
          <w:spacing w:val="-6"/>
          <w:szCs w:val="28"/>
        </w:rPr>
        <w:t>)</w:t>
      </w:r>
      <w:r>
        <w:rPr>
          <w:rFonts w:hint="eastAsia" w:cs="宋体"/>
          <w:color w:val="auto"/>
          <w:spacing w:val="-6"/>
          <w:szCs w:val="28"/>
          <w:lang w:eastAsia="zh-CN"/>
        </w:rPr>
        <w:t>矿山</w:t>
      </w:r>
      <w:r>
        <w:rPr>
          <w:rFonts w:hint="eastAsia" w:cs="宋体"/>
          <w:color w:val="auto"/>
          <w:spacing w:val="-6"/>
          <w:szCs w:val="28"/>
        </w:rPr>
        <w:t>要保证采区有两个便于行人的安全出口与通往地面的安全出口相连通。</w:t>
      </w:r>
    </w:p>
    <w:p w14:paraId="05E5D3CB">
      <w:pPr>
        <w:ind w:firstLine="536"/>
        <w:rPr>
          <w:rFonts w:hint="eastAsia" w:eastAsia="宋体" w:cs="宋体"/>
          <w:color w:val="auto"/>
          <w:spacing w:val="-6"/>
          <w:szCs w:val="28"/>
          <w:lang w:eastAsia="zh-CN"/>
        </w:rPr>
      </w:pPr>
      <w:r>
        <w:rPr>
          <w:rFonts w:hint="eastAsia" w:cs="宋体"/>
          <w:color w:val="auto"/>
          <w:spacing w:val="-6"/>
          <w:szCs w:val="28"/>
        </w:rPr>
        <w:t>(</w:t>
      </w:r>
      <w:r>
        <w:rPr>
          <w:rFonts w:hint="eastAsia" w:cs="宋体"/>
          <w:color w:val="auto"/>
          <w:spacing w:val="-6"/>
          <w:szCs w:val="28"/>
          <w:lang w:val="en-US" w:eastAsia="zh-CN"/>
        </w:rPr>
        <w:t>7</w:t>
      </w:r>
      <w:r>
        <w:rPr>
          <w:rFonts w:hint="eastAsia" w:cs="宋体"/>
          <w:color w:val="auto"/>
          <w:spacing w:val="-6"/>
          <w:szCs w:val="28"/>
        </w:rPr>
        <w:t>)</w:t>
      </w:r>
      <w:r>
        <w:rPr>
          <w:rFonts w:hint="eastAsia" w:cs="宋体"/>
          <w:color w:val="auto"/>
          <w:spacing w:val="-6"/>
          <w:szCs w:val="28"/>
          <w:lang w:eastAsia="zh-CN"/>
        </w:rPr>
        <w:t>矿山应严格按照给定的塌陷角圈定岩石移动范围，移动范围内不得布置任何建筑物。</w:t>
      </w:r>
    </w:p>
    <w:p w14:paraId="37955898">
      <w:pPr>
        <w:ind w:firstLine="560"/>
        <w:rPr>
          <w:color w:val="auto"/>
        </w:rPr>
      </w:pPr>
      <w:r>
        <w:rPr>
          <w:rFonts w:hint="eastAsia"/>
          <w:color w:val="auto"/>
        </w:rPr>
        <w:t>2</w:t>
      </w:r>
      <w:r>
        <w:rPr>
          <w:rFonts w:hint="eastAsia"/>
          <w:color w:val="auto"/>
          <w:lang w:val="en-GB"/>
        </w:rPr>
        <w:t>、</w:t>
      </w:r>
      <w:r>
        <w:rPr>
          <w:color w:val="auto"/>
        </w:rPr>
        <w:t>预防</w:t>
      </w:r>
      <w:r>
        <w:rPr>
          <w:rFonts w:hint="eastAsia"/>
          <w:color w:val="auto"/>
        </w:rPr>
        <w:t>高处坠落事</w:t>
      </w:r>
      <w:r>
        <w:rPr>
          <w:color w:val="auto"/>
        </w:rPr>
        <w:t>故的措施</w:t>
      </w:r>
    </w:p>
    <w:p w14:paraId="35D57C45">
      <w:pPr>
        <w:ind w:firstLine="536"/>
        <w:rPr>
          <w:rFonts w:cs="宋体"/>
          <w:color w:val="auto"/>
          <w:spacing w:val="-6"/>
          <w:szCs w:val="28"/>
        </w:rPr>
      </w:pPr>
      <w:r>
        <w:rPr>
          <w:rFonts w:hint="eastAsia" w:cs="宋体"/>
          <w:color w:val="auto"/>
          <w:spacing w:val="-6"/>
          <w:szCs w:val="28"/>
        </w:rPr>
        <w:t>(1)高处作业人员必须系安全带或采取其它保护措施，作业时应设专人监护。</w:t>
      </w:r>
    </w:p>
    <w:p w14:paraId="4331B303">
      <w:pPr>
        <w:ind w:firstLine="536"/>
        <w:rPr>
          <w:rFonts w:cs="宋体"/>
          <w:color w:val="auto"/>
          <w:szCs w:val="28"/>
        </w:rPr>
      </w:pPr>
      <w:r>
        <w:rPr>
          <w:rFonts w:hint="eastAsia" w:cs="宋体"/>
          <w:color w:val="auto"/>
          <w:spacing w:val="-6"/>
          <w:szCs w:val="28"/>
        </w:rPr>
        <w:t>(2)</w:t>
      </w:r>
      <w:r>
        <w:rPr>
          <w:rFonts w:hint="eastAsia" w:cs="宋体"/>
          <w:color w:val="auto"/>
          <w:szCs w:val="28"/>
        </w:rPr>
        <w:t>天井梯子设置扶手。</w:t>
      </w:r>
    </w:p>
    <w:p w14:paraId="3CFAECF9">
      <w:pPr>
        <w:ind w:firstLine="536"/>
        <w:rPr>
          <w:rFonts w:cs="宋体"/>
          <w:color w:val="auto"/>
          <w:szCs w:val="28"/>
        </w:rPr>
      </w:pPr>
      <w:r>
        <w:rPr>
          <w:rFonts w:hint="eastAsia" w:cs="宋体"/>
          <w:color w:val="auto"/>
          <w:spacing w:val="-6"/>
          <w:szCs w:val="28"/>
        </w:rPr>
        <w:t>(3)</w:t>
      </w:r>
      <w:r>
        <w:rPr>
          <w:rFonts w:hint="eastAsia" w:cs="宋体"/>
          <w:color w:val="auto"/>
          <w:szCs w:val="28"/>
        </w:rPr>
        <w:t>天井掘进应确定合理的施工方案，安全防护设施齐全有效。</w:t>
      </w:r>
    </w:p>
    <w:p w14:paraId="474E998A">
      <w:pPr>
        <w:ind w:firstLine="536"/>
        <w:rPr>
          <w:rFonts w:cs="宋体"/>
          <w:color w:val="auto"/>
          <w:szCs w:val="28"/>
        </w:rPr>
      </w:pPr>
      <w:r>
        <w:rPr>
          <w:rFonts w:hint="eastAsia" w:cs="宋体"/>
          <w:color w:val="auto"/>
          <w:spacing w:val="-6"/>
          <w:szCs w:val="28"/>
        </w:rPr>
        <w:t>(4)</w:t>
      </w:r>
      <w:r>
        <w:rPr>
          <w:rFonts w:hint="eastAsia" w:cs="宋体"/>
          <w:color w:val="auto"/>
          <w:szCs w:val="28"/>
        </w:rPr>
        <w:t>在有关部位按GB2894-82设安全标志，以防止坠落事故的发生。</w:t>
      </w:r>
    </w:p>
    <w:p w14:paraId="4ABB7650">
      <w:pPr>
        <w:ind w:firstLine="536"/>
        <w:rPr>
          <w:rFonts w:cs="宋体"/>
          <w:color w:val="auto"/>
          <w:szCs w:val="28"/>
        </w:rPr>
      </w:pPr>
      <w:r>
        <w:rPr>
          <w:rFonts w:hint="eastAsia" w:cs="宋体"/>
          <w:color w:val="auto"/>
          <w:spacing w:val="-6"/>
          <w:szCs w:val="28"/>
        </w:rPr>
        <w:t>(5)</w:t>
      </w:r>
      <w:r>
        <w:rPr>
          <w:rFonts w:hint="eastAsia" w:cs="宋体"/>
          <w:color w:val="auto"/>
          <w:szCs w:val="28"/>
        </w:rPr>
        <w:t>地表塌陷区周围设置围栏和危险警示标志。</w:t>
      </w:r>
    </w:p>
    <w:p w14:paraId="775AEA58">
      <w:pPr>
        <w:ind w:firstLine="560"/>
        <w:rPr>
          <w:color w:val="auto"/>
        </w:rPr>
      </w:pPr>
      <w:r>
        <w:rPr>
          <w:rFonts w:hint="eastAsia"/>
          <w:color w:val="auto"/>
          <w:lang w:val="en-US" w:eastAsia="zh-CN"/>
        </w:rPr>
        <w:t>3、</w:t>
      </w:r>
      <w:r>
        <w:rPr>
          <w:rFonts w:hint="eastAsia"/>
          <w:color w:val="auto"/>
        </w:rPr>
        <w:t>采用普通法掘进天井，应遵守下列规定：</w:t>
      </w:r>
    </w:p>
    <w:p w14:paraId="4F696EA5">
      <w:pPr>
        <w:ind w:firstLine="560"/>
        <w:rPr>
          <w:color w:val="auto"/>
        </w:rPr>
      </w:pPr>
      <w:r>
        <w:rPr>
          <w:rFonts w:hint="eastAsia" w:cs="宋体"/>
          <w:color w:val="auto"/>
          <w:spacing w:val="-6"/>
          <w:szCs w:val="28"/>
        </w:rPr>
        <w:t>(1)</w:t>
      </w:r>
      <w:r>
        <w:rPr>
          <w:rFonts w:hint="eastAsia"/>
          <w:color w:val="auto"/>
        </w:rPr>
        <w:t>架设的工作台，应牢固可靠；</w:t>
      </w:r>
    </w:p>
    <w:p w14:paraId="45C4E62A">
      <w:pPr>
        <w:ind w:firstLine="560"/>
        <w:rPr>
          <w:color w:val="auto"/>
        </w:rPr>
      </w:pPr>
      <w:r>
        <w:rPr>
          <w:rFonts w:hint="eastAsia" w:cs="宋体"/>
          <w:color w:val="auto"/>
          <w:spacing w:val="-6"/>
          <w:szCs w:val="28"/>
        </w:rPr>
        <w:t>(</w:t>
      </w:r>
      <w:r>
        <w:rPr>
          <w:rFonts w:hint="eastAsia" w:cs="宋体"/>
          <w:color w:val="auto"/>
          <w:spacing w:val="-6"/>
          <w:szCs w:val="28"/>
          <w:lang w:val="en-US" w:eastAsia="zh-CN"/>
        </w:rPr>
        <w:t>2</w:t>
      </w:r>
      <w:r>
        <w:rPr>
          <w:rFonts w:hint="eastAsia" w:cs="宋体"/>
          <w:color w:val="auto"/>
          <w:spacing w:val="-6"/>
          <w:szCs w:val="28"/>
        </w:rPr>
        <w:t>)</w:t>
      </w:r>
      <w:r>
        <w:rPr>
          <w:rFonts w:hint="eastAsia"/>
          <w:color w:val="auto"/>
        </w:rPr>
        <w:t>及时设置安全可靠的支护棚，并使其至工作面的距离不大于6m；</w:t>
      </w:r>
    </w:p>
    <w:p w14:paraId="2FF92E35">
      <w:pPr>
        <w:ind w:firstLine="560"/>
        <w:rPr>
          <w:color w:val="auto"/>
        </w:rPr>
      </w:pPr>
      <w:r>
        <w:rPr>
          <w:rFonts w:hint="eastAsia" w:cs="宋体"/>
          <w:color w:val="auto"/>
          <w:spacing w:val="-6"/>
          <w:szCs w:val="28"/>
        </w:rPr>
        <w:t>(</w:t>
      </w:r>
      <w:r>
        <w:rPr>
          <w:rFonts w:hint="eastAsia" w:cs="宋体"/>
          <w:color w:val="auto"/>
          <w:spacing w:val="-6"/>
          <w:szCs w:val="28"/>
          <w:lang w:val="en-US" w:eastAsia="zh-CN"/>
        </w:rPr>
        <w:t>3</w:t>
      </w:r>
      <w:r>
        <w:rPr>
          <w:rFonts w:hint="eastAsia" w:cs="宋体"/>
          <w:color w:val="auto"/>
          <w:spacing w:val="-6"/>
          <w:szCs w:val="28"/>
        </w:rPr>
        <w:t>)</w:t>
      </w:r>
      <w:r>
        <w:rPr>
          <w:rFonts w:hint="eastAsia"/>
          <w:color w:val="auto"/>
        </w:rPr>
        <w:t>掘进高度超过7m时，应有装备完好的梯子间和溜碴间等设施，梯子间和溜碴间用隔板隔开；上部有护棚的梯子可视作梯子间；</w:t>
      </w:r>
    </w:p>
    <w:p w14:paraId="646C2261">
      <w:pPr>
        <w:ind w:firstLine="560"/>
        <w:rPr>
          <w:color w:val="auto"/>
        </w:rPr>
      </w:pPr>
      <w:r>
        <w:rPr>
          <w:rFonts w:hint="eastAsia" w:cs="宋体"/>
          <w:color w:val="auto"/>
          <w:spacing w:val="-6"/>
          <w:szCs w:val="28"/>
        </w:rPr>
        <w:t>(</w:t>
      </w:r>
      <w:r>
        <w:rPr>
          <w:rFonts w:hint="eastAsia" w:cs="宋体"/>
          <w:color w:val="auto"/>
          <w:spacing w:val="-6"/>
          <w:szCs w:val="28"/>
          <w:lang w:val="en-US" w:eastAsia="zh-CN"/>
        </w:rPr>
        <w:t>4</w:t>
      </w:r>
      <w:r>
        <w:rPr>
          <w:rFonts w:hint="eastAsia" w:cs="宋体"/>
          <w:color w:val="auto"/>
          <w:spacing w:val="-6"/>
          <w:szCs w:val="28"/>
        </w:rPr>
        <w:t>)</w:t>
      </w:r>
      <w:r>
        <w:rPr>
          <w:rFonts w:hint="eastAsia"/>
          <w:color w:val="auto"/>
        </w:rPr>
        <w:t>天井应尽快与其上部平巷贯通，贯通前宜不开或少开其他工程；需要增开其他工程时，应加强局部通风措施；</w:t>
      </w:r>
    </w:p>
    <w:p w14:paraId="4E3AB5B4">
      <w:pPr>
        <w:ind w:firstLine="560"/>
        <w:rPr>
          <w:color w:val="auto"/>
        </w:rPr>
      </w:pPr>
      <w:r>
        <w:rPr>
          <w:rFonts w:hint="eastAsia" w:cs="宋体"/>
          <w:color w:val="auto"/>
          <w:spacing w:val="-6"/>
          <w:szCs w:val="28"/>
        </w:rPr>
        <w:t>(</w:t>
      </w:r>
      <w:r>
        <w:rPr>
          <w:rFonts w:hint="eastAsia" w:cs="宋体"/>
          <w:color w:val="auto"/>
          <w:spacing w:val="-6"/>
          <w:szCs w:val="28"/>
          <w:lang w:val="en-US" w:eastAsia="zh-CN"/>
        </w:rPr>
        <w:t>5</w:t>
      </w:r>
      <w:r>
        <w:rPr>
          <w:rFonts w:hint="eastAsia" w:cs="宋体"/>
          <w:color w:val="auto"/>
          <w:spacing w:val="-6"/>
          <w:szCs w:val="28"/>
        </w:rPr>
        <w:t>)</w:t>
      </w:r>
      <w:r>
        <w:rPr>
          <w:rFonts w:hint="eastAsia"/>
          <w:color w:val="auto"/>
        </w:rPr>
        <w:t>天井掘进到距上部巷道约7m时，测量人员应给出贯通位置，并在上部巷道设置</w:t>
      </w:r>
      <w:r>
        <w:rPr>
          <w:rFonts w:hint="eastAsia"/>
          <w:color w:val="auto"/>
          <w:lang w:eastAsia="zh-CN"/>
        </w:rPr>
        <w:t>警示标志</w:t>
      </w:r>
      <w:r>
        <w:rPr>
          <w:rFonts w:hint="eastAsia"/>
          <w:color w:val="auto"/>
        </w:rPr>
        <w:t>和围栏。</w:t>
      </w:r>
    </w:p>
    <w:p w14:paraId="74B108CA">
      <w:pPr>
        <w:ind w:firstLine="560"/>
        <w:rPr>
          <w:color w:val="auto"/>
        </w:rPr>
      </w:pPr>
      <w:r>
        <w:rPr>
          <w:rFonts w:hint="eastAsia"/>
          <w:color w:val="auto"/>
          <w:lang w:val="en-US" w:eastAsia="zh-CN"/>
        </w:rPr>
        <w:t>4、</w:t>
      </w:r>
      <w:r>
        <w:rPr>
          <w:rFonts w:hint="eastAsia"/>
          <w:color w:val="auto"/>
        </w:rPr>
        <w:t>用吊罐法掘进天井，应遵守下列规定：</w:t>
      </w:r>
    </w:p>
    <w:p w14:paraId="55D938F9">
      <w:pPr>
        <w:ind w:firstLine="560"/>
        <w:rPr>
          <w:color w:val="auto"/>
        </w:rPr>
      </w:pPr>
      <w:r>
        <w:rPr>
          <w:rFonts w:hint="eastAsia" w:cs="宋体"/>
          <w:color w:val="auto"/>
          <w:spacing w:val="-6"/>
          <w:szCs w:val="28"/>
        </w:rPr>
        <w:t>(1)</w:t>
      </w:r>
      <w:r>
        <w:rPr>
          <w:rFonts w:hint="eastAsia"/>
          <w:color w:val="auto"/>
        </w:rPr>
        <w:t>上罐前，检查吊罐各部件的连接装置、保护盖板、钢丝绳、风水管接头，以及声光信号系统和通讯设施等是否完善、牢固，如有损坏或故障，经处理后方准作业；</w:t>
      </w:r>
    </w:p>
    <w:p w14:paraId="18EC2DED">
      <w:pPr>
        <w:ind w:firstLine="560"/>
        <w:rPr>
          <w:color w:val="auto"/>
        </w:rPr>
      </w:pPr>
      <w:r>
        <w:rPr>
          <w:rFonts w:hint="eastAsia" w:cs="宋体"/>
          <w:color w:val="auto"/>
          <w:spacing w:val="-6"/>
          <w:szCs w:val="28"/>
        </w:rPr>
        <w:t>(</w:t>
      </w:r>
      <w:r>
        <w:rPr>
          <w:rFonts w:hint="eastAsia" w:cs="宋体"/>
          <w:color w:val="auto"/>
          <w:spacing w:val="-6"/>
          <w:szCs w:val="28"/>
          <w:lang w:val="en-US" w:eastAsia="zh-CN"/>
        </w:rPr>
        <w:t>2</w:t>
      </w:r>
      <w:r>
        <w:rPr>
          <w:rFonts w:hint="eastAsia" w:cs="宋体"/>
          <w:color w:val="auto"/>
          <w:spacing w:val="-6"/>
          <w:szCs w:val="28"/>
        </w:rPr>
        <w:t>)</w:t>
      </w:r>
      <w:r>
        <w:rPr>
          <w:rFonts w:hint="eastAsia"/>
          <w:color w:val="auto"/>
        </w:rPr>
        <w:t>吊罐提升用的钢丝绳的安全系数不小于13，任何一个捻距内的断丝数不超过钢丝总数的5％，磨损不超过原直径的10％；</w:t>
      </w:r>
    </w:p>
    <w:p w14:paraId="73ACDF55">
      <w:pPr>
        <w:ind w:firstLine="560"/>
        <w:rPr>
          <w:color w:val="auto"/>
        </w:rPr>
      </w:pPr>
      <w:r>
        <w:rPr>
          <w:rFonts w:hint="eastAsia" w:cs="宋体"/>
          <w:color w:val="auto"/>
          <w:spacing w:val="-6"/>
          <w:szCs w:val="28"/>
        </w:rPr>
        <w:t>(</w:t>
      </w:r>
      <w:r>
        <w:rPr>
          <w:rFonts w:hint="eastAsia" w:cs="宋体"/>
          <w:color w:val="auto"/>
          <w:spacing w:val="-6"/>
          <w:szCs w:val="28"/>
          <w:lang w:val="en-US" w:eastAsia="zh-CN"/>
        </w:rPr>
        <w:t>3</w:t>
      </w:r>
      <w:r>
        <w:rPr>
          <w:rFonts w:hint="eastAsia" w:cs="宋体"/>
          <w:color w:val="auto"/>
          <w:spacing w:val="-6"/>
          <w:szCs w:val="28"/>
        </w:rPr>
        <w:t>)</w:t>
      </w:r>
      <w:r>
        <w:rPr>
          <w:rFonts w:hint="eastAsia"/>
          <w:color w:val="auto"/>
        </w:rPr>
        <w:t>吊罐应装设由罐内人员控制的升、降、停的信号操纵装置；</w:t>
      </w:r>
    </w:p>
    <w:p w14:paraId="455A3E3E">
      <w:pPr>
        <w:ind w:firstLine="560"/>
        <w:rPr>
          <w:color w:val="auto"/>
        </w:rPr>
      </w:pPr>
      <w:r>
        <w:rPr>
          <w:rFonts w:hint="eastAsia" w:cs="宋体"/>
          <w:color w:val="auto"/>
          <w:spacing w:val="-6"/>
          <w:szCs w:val="28"/>
        </w:rPr>
        <w:t>(</w:t>
      </w:r>
      <w:r>
        <w:rPr>
          <w:rFonts w:hint="eastAsia" w:cs="宋体"/>
          <w:color w:val="auto"/>
          <w:spacing w:val="-6"/>
          <w:szCs w:val="28"/>
          <w:lang w:val="en-US" w:eastAsia="zh-CN"/>
        </w:rPr>
        <w:t>4</w:t>
      </w:r>
      <w:r>
        <w:rPr>
          <w:rFonts w:hint="eastAsia" w:cs="宋体"/>
          <w:color w:val="auto"/>
          <w:spacing w:val="-6"/>
          <w:szCs w:val="28"/>
        </w:rPr>
        <w:t>)</w:t>
      </w:r>
      <w:r>
        <w:rPr>
          <w:rFonts w:hint="eastAsia"/>
          <w:color w:val="auto"/>
        </w:rPr>
        <w:t>信号通讯、电源控制线路，不应和吊罐钢丝绳共设在一个吊罐孔内；</w:t>
      </w:r>
    </w:p>
    <w:p w14:paraId="0CC3677E">
      <w:pPr>
        <w:ind w:firstLine="560"/>
        <w:rPr>
          <w:color w:val="auto"/>
        </w:rPr>
      </w:pPr>
      <w:r>
        <w:rPr>
          <w:rFonts w:hint="eastAsia" w:cs="宋体"/>
          <w:color w:val="auto"/>
          <w:spacing w:val="-6"/>
          <w:szCs w:val="28"/>
        </w:rPr>
        <w:t>(</w:t>
      </w:r>
      <w:r>
        <w:rPr>
          <w:rFonts w:hint="eastAsia" w:cs="宋体"/>
          <w:color w:val="auto"/>
          <w:spacing w:val="-6"/>
          <w:szCs w:val="28"/>
          <w:lang w:val="en-US" w:eastAsia="zh-CN"/>
        </w:rPr>
        <w:t>5</w:t>
      </w:r>
      <w:r>
        <w:rPr>
          <w:rFonts w:hint="eastAsia" w:cs="宋体"/>
          <w:color w:val="auto"/>
          <w:spacing w:val="-6"/>
          <w:szCs w:val="28"/>
        </w:rPr>
        <w:t>)</w:t>
      </w:r>
      <w:r>
        <w:rPr>
          <w:rFonts w:hint="eastAsia"/>
          <w:color w:val="auto"/>
        </w:rPr>
        <w:t>升降吊罐时，应认真处理卡帮和浮石；作业人员应系好安全带，并站在保护盖板内，头部不应接触罐盖和罐壁；升降完毕，立即切断吊罐稳车电源，绑紧制动装置；</w:t>
      </w:r>
    </w:p>
    <w:p w14:paraId="2649A7AD">
      <w:pPr>
        <w:ind w:firstLine="560"/>
        <w:rPr>
          <w:color w:val="auto"/>
        </w:rPr>
      </w:pPr>
      <w:r>
        <w:rPr>
          <w:rFonts w:hint="eastAsia" w:cs="宋体"/>
          <w:color w:val="auto"/>
          <w:spacing w:val="-6"/>
          <w:szCs w:val="28"/>
        </w:rPr>
        <w:t>(</w:t>
      </w:r>
      <w:r>
        <w:rPr>
          <w:rFonts w:hint="eastAsia" w:cs="宋体"/>
          <w:color w:val="auto"/>
          <w:spacing w:val="-6"/>
          <w:szCs w:val="28"/>
          <w:lang w:val="en-US" w:eastAsia="zh-CN"/>
        </w:rPr>
        <w:t>6</w:t>
      </w:r>
      <w:r>
        <w:rPr>
          <w:rFonts w:hint="eastAsia" w:cs="宋体"/>
          <w:color w:val="auto"/>
          <w:spacing w:val="-6"/>
          <w:szCs w:val="28"/>
        </w:rPr>
        <w:t>)</w:t>
      </w:r>
      <w:r>
        <w:rPr>
          <w:rFonts w:hint="eastAsia"/>
          <w:color w:val="auto"/>
        </w:rPr>
        <w:t>不应从吊罐上往下投掷工具或材料；</w:t>
      </w:r>
    </w:p>
    <w:p w14:paraId="20C3ED3A">
      <w:pPr>
        <w:ind w:firstLine="560"/>
        <w:rPr>
          <w:color w:val="auto"/>
        </w:rPr>
      </w:pPr>
      <w:r>
        <w:rPr>
          <w:rFonts w:hint="eastAsia" w:cs="宋体"/>
          <w:color w:val="auto"/>
          <w:spacing w:val="-6"/>
          <w:szCs w:val="28"/>
        </w:rPr>
        <w:t>(</w:t>
      </w:r>
      <w:r>
        <w:rPr>
          <w:rFonts w:hint="eastAsia" w:cs="宋体"/>
          <w:color w:val="auto"/>
          <w:spacing w:val="-6"/>
          <w:szCs w:val="28"/>
          <w:lang w:val="en-US" w:eastAsia="zh-CN"/>
        </w:rPr>
        <w:t>7</w:t>
      </w:r>
      <w:r>
        <w:rPr>
          <w:rFonts w:hint="eastAsia" w:cs="宋体"/>
          <w:color w:val="auto"/>
          <w:spacing w:val="-6"/>
          <w:szCs w:val="28"/>
        </w:rPr>
        <w:t>)</w:t>
      </w:r>
      <w:r>
        <w:rPr>
          <w:rFonts w:hint="eastAsia"/>
          <w:color w:val="auto"/>
        </w:rPr>
        <w:t>天井中心孔偏斜率应不大于0.5％；</w:t>
      </w:r>
    </w:p>
    <w:p w14:paraId="2BB10A49">
      <w:pPr>
        <w:ind w:firstLine="560"/>
        <w:rPr>
          <w:color w:val="auto"/>
        </w:rPr>
      </w:pPr>
      <w:r>
        <w:rPr>
          <w:rFonts w:hint="eastAsia" w:cs="宋体"/>
          <w:color w:val="auto"/>
          <w:spacing w:val="-6"/>
          <w:szCs w:val="28"/>
        </w:rPr>
        <w:t>(</w:t>
      </w:r>
      <w:r>
        <w:rPr>
          <w:rFonts w:hint="eastAsia" w:cs="宋体"/>
          <w:color w:val="auto"/>
          <w:spacing w:val="-6"/>
          <w:szCs w:val="28"/>
          <w:lang w:val="en-US" w:eastAsia="zh-CN"/>
        </w:rPr>
        <w:t>8</w:t>
      </w:r>
      <w:r>
        <w:rPr>
          <w:rFonts w:hint="eastAsia" w:cs="宋体"/>
          <w:color w:val="auto"/>
          <w:spacing w:val="-6"/>
          <w:szCs w:val="28"/>
        </w:rPr>
        <w:t>)</w:t>
      </w:r>
      <w:r>
        <w:rPr>
          <w:rFonts w:hint="eastAsia"/>
          <w:color w:val="auto"/>
        </w:rPr>
        <w:t>吊罐绞车应锁在短轨上，并与巷道钢轨断开；</w:t>
      </w:r>
    </w:p>
    <w:p w14:paraId="18530D60">
      <w:pPr>
        <w:ind w:firstLine="560"/>
        <w:rPr>
          <w:color w:val="auto"/>
        </w:rPr>
      </w:pPr>
      <w:r>
        <w:rPr>
          <w:rFonts w:hint="eastAsia" w:cs="宋体"/>
          <w:color w:val="auto"/>
          <w:spacing w:val="-6"/>
          <w:szCs w:val="28"/>
        </w:rPr>
        <w:t>(</w:t>
      </w:r>
      <w:r>
        <w:rPr>
          <w:rFonts w:hint="eastAsia" w:cs="宋体"/>
          <w:color w:val="auto"/>
          <w:spacing w:val="-6"/>
          <w:szCs w:val="28"/>
          <w:lang w:val="en-US" w:eastAsia="zh-CN"/>
        </w:rPr>
        <w:t>9</w:t>
      </w:r>
      <w:r>
        <w:rPr>
          <w:rFonts w:hint="eastAsia" w:cs="宋体"/>
          <w:color w:val="auto"/>
          <w:spacing w:val="-6"/>
          <w:szCs w:val="28"/>
        </w:rPr>
        <w:t>)</w:t>
      </w:r>
      <w:r>
        <w:rPr>
          <w:rFonts w:hint="eastAsia"/>
          <w:color w:val="auto"/>
        </w:rPr>
        <w:t>检修吊罐应在安全地点进行；</w:t>
      </w:r>
    </w:p>
    <w:p w14:paraId="78CC9740">
      <w:pPr>
        <w:ind w:firstLine="560"/>
        <w:rPr>
          <w:color w:val="auto"/>
        </w:rPr>
      </w:pPr>
      <w:r>
        <w:rPr>
          <w:rFonts w:hint="eastAsia" w:cs="宋体"/>
          <w:color w:val="auto"/>
          <w:spacing w:val="-6"/>
          <w:szCs w:val="28"/>
        </w:rPr>
        <w:t>(1</w:t>
      </w:r>
      <w:r>
        <w:rPr>
          <w:rFonts w:hint="eastAsia" w:cs="宋体"/>
          <w:color w:val="auto"/>
          <w:spacing w:val="-6"/>
          <w:szCs w:val="28"/>
          <w:lang w:val="en-US" w:eastAsia="zh-CN"/>
        </w:rPr>
        <w:t>0</w:t>
      </w:r>
      <w:r>
        <w:rPr>
          <w:rFonts w:hint="eastAsia" w:cs="宋体"/>
          <w:color w:val="auto"/>
          <w:spacing w:val="-6"/>
          <w:szCs w:val="28"/>
        </w:rPr>
        <w:t>)</w:t>
      </w:r>
      <w:r>
        <w:rPr>
          <w:rFonts w:hint="eastAsia"/>
          <w:color w:val="auto"/>
        </w:rPr>
        <w:t>天井与上部巷道贯通时，应加强上部巷道的通风和警戒。</w:t>
      </w:r>
    </w:p>
    <w:p w14:paraId="0DAA212E">
      <w:pPr>
        <w:ind w:firstLine="560"/>
        <w:rPr>
          <w:color w:val="auto"/>
        </w:rPr>
      </w:pPr>
      <w:r>
        <w:rPr>
          <w:rFonts w:hint="eastAsia"/>
          <w:color w:val="auto"/>
          <w:lang w:val="en-US" w:eastAsia="zh-CN"/>
        </w:rPr>
        <w:t>5、</w:t>
      </w:r>
      <w:r>
        <w:rPr>
          <w:rFonts w:hint="eastAsia"/>
          <w:color w:val="auto"/>
        </w:rPr>
        <w:t>用爬罐法掘进天井，应遵守下列规定：</w:t>
      </w:r>
    </w:p>
    <w:p w14:paraId="7C6068C1">
      <w:pPr>
        <w:ind w:firstLine="560"/>
        <w:rPr>
          <w:color w:val="auto"/>
        </w:rPr>
      </w:pPr>
      <w:r>
        <w:rPr>
          <w:rFonts w:hint="eastAsia" w:cs="宋体"/>
          <w:color w:val="auto"/>
          <w:spacing w:val="-6"/>
          <w:szCs w:val="28"/>
        </w:rPr>
        <w:t>(1)</w:t>
      </w:r>
      <w:r>
        <w:rPr>
          <w:rFonts w:hint="eastAsia"/>
          <w:color w:val="auto"/>
        </w:rPr>
        <w:t>爬罐运行时，人员应站在罐内，遇卡帮或浮石，应停罐处理；</w:t>
      </w:r>
    </w:p>
    <w:p w14:paraId="0F58055C">
      <w:pPr>
        <w:ind w:firstLine="560"/>
        <w:rPr>
          <w:color w:val="auto"/>
        </w:rPr>
      </w:pPr>
      <w:r>
        <w:rPr>
          <w:rFonts w:hint="eastAsia" w:cs="宋体"/>
          <w:color w:val="auto"/>
          <w:spacing w:val="-6"/>
          <w:szCs w:val="28"/>
        </w:rPr>
        <w:t>(</w:t>
      </w:r>
      <w:r>
        <w:rPr>
          <w:rFonts w:hint="eastAsia" w:cs="宋体"/>
          <w:color w:val="auto"/>
          <w:spacing w:val="-6"/>
          <w:szCs w:val="28"/>
          <w:lang w:val="en-US" w:eastAsia="zh-CN"/>
        </w:rPr>
        <w:t>2</w:t>
      </w:r>
      <w:r>
        <w:rPr>
          <w:rFonts w:hint="eastAsia" w:cs="宋体"/>
          <w:color w:val="auto"/>
          <w:spacing w:val="-6"/>
          <w:szCs w:val="28"/>
        </w:rPr>
        <w:t>)</w:t>
      </w:r>
      <w:r>
        <w:rPr>
          <w:rFonts w:hint="eastAsia"/>
          <w:color w:val="auto"/>
        </w:rPr>
        <w:t>爬罐行至导轨顶端时，应使保护伞接近工作面，工作台接近导轨顶端；</w:t>
      </w:r>
    </w:p>
    <w:p w14:paraId="48DAFE78">
      <w:pPr>
        <w:ind w:firstLine="560"/>
        <w:rPr>
          <w:color w:val="auto"/>
        </w:rPr>
      </w:pPr>
      <w:r>
        <w:rPr>
          <w:rFonts w:hint="eastAsia" w:cs="宋体"/>
          <w:color w:val="auto"/>
          <w:spacing w:val="-6"/>
          <w:szCs w:val="28"/>
        </w:rPr>
        <w:t>(</w:t>
      </w:r>
      <w:r>
        <w:rPr>
          <w:rFonts w:hint="eastAsia" w:cs="宋体"/>
          <w:color w:val="auto"/>
          <w:spacing w:val="-6"/>
          <w:szCs w:val="28"/>
          <w:lang w:val="en-US" w:eastAsia="zh-CN"/>
        </w:rPr>
        <w:t>3</w:t>
      </w:r>
      <w:r>
        <w:rPr>
          <w:rFonts w:hint="eastAsia" w:cs="宋体"/>
          <w:color w:val="auto"/>
          <w:spacing w:val="-6"/>
          <w:szCs w:val="28"/>
        </w:rPr>
        <w:t>)</w:t>
      </w:r>
      <w:r>
        <w:rPr>
          <w:rFonts w:hint="eastAsia"/>
          <w:color w:val="auto"/>
        </w:rPr>
        <w:t>正常情况下，不应利用自重下降；</w:t>
      </w:r>
    </w:p>
    <w:p w14:paraId="18BD6015">
      <w:pPr>
        <w:ind w:firstLine="560"/>
        <w:rPr>
          <w:color w:val="auto"/>
        </w:rPr>
      </w:pPr>
      <w:r>
        <w:rPr>
          <w:rFonts w:hint="eastAsia" w:cs="宋体"/>
          <w:color w:val="auto"/>
          <w:spacing w:val="-6"/>
          <w:szCs w:val="28"/>
        </w:rPr>
        <w:t>(</w:t>
      </w:r>
      <w:r>
        <w:rPr>
          <w:rFonts w:hint="eastAsia" w:cs="宋体"/>
          <w:color w:val="auto"/>
          <w:spacing w:val="-6"/>
          <w:szCs w:val="28"/>
          <w:lang w:val="en-US" w:eastAsia="zh-CN"/>
        </w:rPr>
        <w:t>4</w:t>
      </w:r>
      <w:r>
        <w:rPr>
          <w:rFonts w:hint="eastAsia" w:cs="宋体"/>
          <w:color w:val="auto"/>
          <w:spacing w:val="-6"/>
          <w:szCs w:val="28"/>
        </w:rPr>
        <w:t>)</w:t>
      </w:r>
      <w:r>
        <w:rPr>
          <w:rFonts w:hint="eastAsia"/>
          <w:color w:val="auto"/>
        </w:rPr>
        <w:t>运送导轨应用装配销固定；安装导轨时，应站在保护伞下将浮石处理干净，再将导轨固定牢靠；</w:t>
      </w:r>
    </w:p>
    <w:p w14:paraId="406D266F">
      <w:pPr>
        <w:ind w:firstLine="560"/>
        <w:rPr>
          <w:color w:val="auto"/>
        </w:rPr>
      </w:pPr>
      <w:r>
        <w:rPr>
          <w:rFonts w:hint="eastAsia" w:cs="宋体"/>
          <w:color w:val="auto"/>
          <w:spacing w:val="-6"/>
          <w:szCs w:val="28"/>
        </w:rPr>
        <w:t>(</w:t>
      </w:r>
      <w:r>
        <w:rPr>
          <w:rFonts w:hint="eastAsia" w:cs="宋体"/>
          <w:color w:val="auto"/>
          <w:spacing w:val="-6"/>
          <w:szCs w:val="28"/>
          <w:lang w:val="en-US" w:eastAsia="zh-CN"/>
        </w:rPr>
        <w:t>5</w:t>
      </w:r>
      <w:r>
        <w:rPr>
          <w:rFonts w:hint="eastAsia" w:cs="宋体"/>
          <w:color w:val="auto"/>
          <w:spacing w:val="-6"/>
          <w:szCs w:val="28"/>
        </w:rPr>
        <w:t>)</w:t>
      </w:r>
      <w:r>
        <w:rPr>
          <w:rFonts w:hint="eastAsia"/>
          <w:color w:val="auto"/>
        </w:rPr>
        <w:t>及时擦净制动闸上的油污；</w:t>
      </w:r>
    </w:p>
    <w:p w14:paraId="0895E380">
      <w:pPr>
        <w:ind w:firstLine="560"/>
        <w:rPr>
          <w:color w:val="auto"/>
        </w:rPr>
      </w:pPr>
      <w:r>
        <w:rPr>
          <w:rFonts w:hint="eastAsia" w:cs="宋体"/>
          <w:color w:val="auto"/>
          <w:spacing w:val="-6"/>
          <w:szCs w:val="28"/>
        </w:rPr>
        <w:t>(</w:t>
      </w:r>
      <w:r>
        <w:rPr>
          <w:rFonts w:hint="eastAsia" w:cs="宋体"/>
          <w:color w:val="auto"/>
          <w:spacing w:val="-6"/>
          <w:szCs w:val="28"/>
          <w:lang w:val="en-US" w:eastAsia="zh-CN"/>
        </w:rPr>
        <w:t>6</w:t>
      </w:r>
      <w:r>
        <w:rPr>
          <w:rFonts w:hint="eastAsia" w:cs="宋体"/>
          <w:color w:val="auto"/>
          <w:spacing w:val="-6"/>
          <w:szCs w:val="28"/>
        </w:rPr>
        <w:t>)</w:t>
      </w:r>
      <w:r>
        <w:rPr>
          <w:rFonts w:hint="eastAsia"/>
          <w:color w:val="auto"/>
        </w:rPr>
        <w:t>其他安全事项，应遵守吊罐法掘进的有关规定。</w:t>
      </w:r>
    </w:p>
    <w:p w14:paraId="6EDAC41E">
      <w:pPr>
        <w:pStyle w:val="4"/>
        <w:rPr>
          <w:color w:val="auto"/>
        </w:rPr>
      </w:pPr>
      <w:r>
        <w:rPr>
          <w:rFonts w:hint="eastAsia"/>
          <w:color w:val="auto"/>
        </w:rPr>
        <w:t>4.2.3</w:t>
      </w:r>
      <w:r>
        <w:rPr>
          <w:color w:val="auto"/>
        </w:rPr>
        <w:t>运输单元安全对策措施</w:t>
      </w:r>
    </w:p>
    <w:p w14:paraId="306689CD">
      <w:pPr>
        <w:ind w:firstLine="560"/>
        <w:rPr>
          <w:rFonts w:hint="eastAsia" w:eastAsia="宋体"/>
          <w:color w:val="auto"/>
          <w:lang w:eastAsia="zh-CN"/>
        </w:rPr>
      </w:pPr>
      <w:r>
        <w:rPr>
          <w:rFonts w:hint="eastAsia"/>
          <w:color w:val="auto"/>
        </w:rPr>
        <w:t>(1)</w:t>
      </w:r>
      <w:r>
        <w:rPr>
          <w:color w:val="auto"/>
        </w:rPr>
        <w:t>运输设备</w:t>
      </w:r>
      <w:r>
        <w:rPr>
          <w:rFonts w:hint="eastAsia"/>
          <w:color w:val="auto"/>
        </w:rPr>
        <w:t>应</w:t>
      </w:r>
      <w:r>
        <w:rPr>
          <w:color w:val="auto"/>
        </w:rPr>
        <w:t>按规定进行检验检测，运输设备维修及时，</w:t>
      </w:r>
      <w:r>
        <w:rPr>
          <w:rFonts w:hint="eastAsia"/>
          <w:color w:val="auto"/>
        </w:rPr>
        <w:t>不</w:t>
      </w:r>
      <w:r>
        <w:rPr>
          <w:color w:val="auto"/>
        </w:rPr>
        <w:t>带病运转</w:t>
      </w:r>
      <w:r>
        <w:rPr>
          <w:rFonts w:hint="eastAsia"/>
          <w:color w:val="auto"/>
          <w:lang w:eastAsia="zh-CN"/>
        </w:rPr>
        <w:t>。</w:t>
      </w:r>
    </w:p>
    <w:p w14:paraId="0656718C">
      <w:pPr>
        <w:ind w:firstLine="560"/>
        <w:rPr>
          <w:rFonts w:hint="eastAsia" w:eastAsia="宋体"/>
          <w:color w:val="auto"/>
          <w:lang w:eastAsia="zh-CN"/>
        </w:rPr>
      </w:pPr>
      <w:r>
        <w:rPr>
          <w:rFonts w:hint="eastAsia"/>
          <w:color w:val="auto"/>
        </w:rPr>
        <w:t>(2)</w:t>
      </w:r>
      <w:r>
        <w:rPr>
          <w:color w:val="auto"/>
        </w:rPr>
        <w:t>巷道断面</w:t>
      </w:r>
      <w:r>
        <w:rPr>
          <w:rFonts w:hint="eastAsia"/>
          <w:color w:val="auto"/>
        </w:rPr>
        <w:t>、</w:t>
      </w:r>
      <w:r>
        <w:rPr>
          <w:color w:val="auto"/>
        </w:rPr>
        <w:t>坡度、转弯半径等符合设计规定，危险路段标志</w:t>
      </w:r>
      <w:r>
        <w:rPr>
          <w:rFonts w:hint="eastAsia"/>
          <w:color w:val="auto"/>
        </w:rPr>
        <w:t>清晰</w:t>
      </w:r>
      <w:r>
        <w:rPr>
          <w:rFonts w:hint="eastAsia"/>
          <w:color w:val="auto"/>
          <w:lang w:eastAsia="zh-CN"/>
        </w:rPr>
        <w:t>。</w:t>
      </w:r>
    </w:p>
    <w:p w14:paraId="41495423">
      <w:pPr>
        <w:ind w:firstLine="560"/>
        <w:rPr>
          <w:rFonts w:hint="eastAsia"/>
          <w:color w:val="auto"/>
          <w:lang w:eastAsia="zh-CN"/>
        </w:rPr>
      </w:pPr>
      <w:r>
        <w:rPr>
          <w:rFonts w:hint="eastAsia"/>
          <w:color w:val="auto"/>
        </w:rPr>
        <w:t>(3)行人的无轨运输水平巷道应设人行道、躲避硐室</w:t>
      </w:r>
      <w:r>
        <w:rPr>
          <w:rFonts w:hint="eastAsia"/>
          <w:color w:val="auto"/>
          <w:lang w:eastAsia="zh-CN"/>
        </w:rPr>
        <w:t>。</w:t>
      </w:r>
    </w:p>
    <w:p w14:paraId="7911EB68">
      <w:pPr>
        <w:ind w:firstLine="560"/>
        <w:rPr>
          <w:rFonts w:hint="eastAsia"/>
          <w:color w:val="auto"/>
          <w:lang w:eastAsia="zh-CN"/>
        </w:rPr>
      </w:pPr>
      <w:r>
        <w:rPr>
          <w:rFonts w:hint="eastAsia"/>
          <w:color w:val="auto"/>
        </w:rPr>
        <w:t>(4)</w:t>
      </w:r>
      <w:r>
        <w:rPr>
          <w:rFonts w:hint="eastAsia"/>
          <w:color w:val="auto"/>
          <w:lang w:val="en-US" w:eastAsia="zh-CN"/>
        </w:rPr>
        <w:t>严禁</w:t>
      </w:r>
      <w:r>
        <w:rPr>
          <w:rFonts w:hint="eastAsia"/>
          <w:color w:val="auto"/>
        </w:rPr>
        <w:t>超载、超速</w:t>
      </w:r>
      <w:r>
        <w:rPr>
          <w:rFonts w:hint="eastAsia"/>
          <w:color w:val="auto"/>
          <w:lang w:eastAsia="zh-CN"/>
        </w:rPr>
        <w:t>，</w:t>
      </w:r>
      <w:r>
        <w:rPr>
          <w:rFonts w:hint="eastAsia"/>
          <w:color w:val="auto"/>
          <w:lang w:val="en-US" w:eastAsia="zh-CN"/>
        </w:rPr>
        <w:t>主要运输道路急弯、陡坡、危险地段应设置安全警示标志</w:t>
      </w:r>
      <w:r>
        <w:rPr>
          <w:rFonts w:hint="eastAsia"/>
          <w:color w:val="auto"/>
          <w:lang w:eastAsia="zh-CN"/>
        </w:rPr>
        <w:t>。</w:t>
      </w:r>
    </w:p>
    <w:p w14:paraId="704DC05D">
      <w:pPr>
        <w:ind w:firstLine="560"/>
        <w:rPr>
          <w:rFonts w:hint="eastAsia"/>
          <w:color w:val="auto"/>
          <w:lang w:eastAsia="zh-CN"/>
        </w:rPr>
      </w:pPr>
      <w:r>
        <w:rPr>
          <w:rFonts w:hint="eastAsia"/>
          <w:color w:val="auto"/>
        </w:rPr>
        <w:t>(5)不采取熄火下滑；在斜坡上停车时，应采取可靠的挡车措施</w:t>
      </w:r>
      <w:r>
        <w:rPr>
          <w:rFonts w:hint="eastAsia"/>
          <w:color w:val="auto"/>
          <w:lang w:eastAsia="zh-CN"/>
        </w:rPr>
        <w:t>。</w:t>
      </w:r>
    </w:p>
    <w:p w14:paraId="01B29E11">
      <w:pPr>
        <w:ind w:firstLine="560"/>
        <w:rPr>
          <w:rFonts w:hint="eastAsia"/>
          <w:color w:val="auto"/>
          <w:lang w:eastAsia="zh-CN"/>
        </w:rPr>
      </w:pPr>
      <w:r>
        <w:rPr>
          <w:rFonts w:hint="eastAsia"/>
          <w:color w:val="auto"/>
        </w:rPr>
        <w:t>(</w:t>
      </w:r>
      <w:r>
        <w:rPr>
          <w:rFonts w:hint="eastAsia"/>
          <w:color w:val="auto"/>
          <w:lang w:val="en-US" w:eastAsia="zh-CN"/>
        </w:rPr>
        <w:t>6</w:t>
      </w:r>
      <w:r>
        <w:rPr>
          <w:rFonts w:hint="eastAsia"/>
          <w:color w:val="auto"/>
        </w:rPr>
        <w:t>)自卸汽车装载应守如下规定</w:t>
      </w:r>
      <w:r>
        <w:rPr>
          <w:rFonts w:hint="eastAsia"/>
          <w:color w:val="auto"/>
          <w:lang w:eastAsia="zh-CN"/>
        </w:rPr>
        <w:t>：</w:t>
      </w:r>
      <w:r>
        <w:rPr>
          <w:rFonts w:hint="eastAsia"/>
          <w:color w:val="auto"/>
          <w:lang w:val="en-US" w:eastAsia="zh-CN"/>
        </w:rPr>
        <w:t>①</w:t>
      </w:r>
      <w:r>
        <w:rPr>
          <w:rFonts w:hint="eastAsia"/>
          <w:color w:val="auto"/>
        </w:rPr>
        <w:t>停在铲装设备回转范围0.5m以外</w:t>
      </w:r>
      <w:r>
        <w:rPr>
          <w:rFonts w:hint="eastAsia"/>
          <w:color w:val="auto"/>
          <w:lang w:eastAsia="zh-CN"/>
        </w:rPr>
        <w:t>；</w:t>
      </w:r>
      <w:r>
        <w:rPr>
          <w:rFonts w:hint="eastAsia"/>
          <w:color w:val="auto"/>
          <w:lang w:val="en-US" w:eastAsia="zh-CN"/>
        </w:rPr>
        <w:t>②</w:t>
      </w:r>
      <w:r>
        <w:rPr>
          <w:rFonts w:hint="eastAsia"/>
          <w:color w:val="auto"/>
        </w:rPr>
        <w:t>驾驶员不离开驾驶室</w:t>
      </w:r>
      <w:r>
        <w:rPr>
          <w:rFonts w:hint="eastAsia"/>
          <w:color w:val="auto"/>
          <w:lang w:eastAsia="zh-CN"/>
        </w:rPr>
        <w:t>，</w:t>
      </w:r>
      <w:r>
        <w:rPr>
          <w:rFonts w:hint="eastAsia"/>
          <w:color w:val="auto"/>
        </w:rPr>
        <w:t>不将身体任何部位伸出驾驶室外</w:t>
      </w:r>
      <w:r>
        <w:rPr>
          <w:rFonts w:hint="eastAsia"/>
          <w:color w:val="auto"/>
          <w:lang w:eastAsia="zh-CN"/>
        </w:rPr>
        <w:t>。</w:t>
      </w:r>
      <w:r>
        <w:rPr>
          <w:rFonts w:hint="eastAsia"/>
          <w:color w:val="auto"/>
          <w:lang w:val="en-US" w:eastAsia="zh-CN"/>
        </w:rPr>
        <w:t>③</w:t>
      </w:r>
      <w:r>
        <w:rPr>
          <w:rFonts w:hint="eastAsia"/>
          <w:color w:val="auto"/>
        </w:rPr>
        <w:t>不在装载时检查、维护车辆</w:t>
      </w:r>
      <w:r>
        <w:rPr>
          <w:rFonts w:hint="eastAsia"/>
          <w:color w:val="auto"/>
          <w:lang w:eastAsia="zh-CN"/>
        </w:rPr>
        <w:t>。</w:t>
      </w:r>
    </w:p>
    <w:p w14:paraId="1621749B">
      <w:pPr>
        <w:bidi w:val="0"/>
        <w:rPr>
          <w:rFonts w:hint="eastAsia"/>
          <w:color w:val="auto"/>
          <w:lang w:eastAsia="zh-CN"/>
        </w:rPr>
      </w:pPr>
      <w:r>
        <w:rPr>
          <w:rFonts w:hint="eastAsia"/>
          <w:color w:val="auto"/>
        </w:rPr>
        <w:t>(</w:t>
      </w:r>
      <w:r>
        <w:rPr>
          <w:rFonts w:hint="eastAsia"/>
          <w:color w:val="auto"/>
          <w:lang w:val="en-US" w:eastAsia="zh-CN"/>
        </w:rPr>
        <w:t>7</w:t>
      </w:r>
      <w:r>
        <w:rPr>
          <w:rFonts w:hint="eastAsia"/>
          <w:color w:val="auto"/>
        </w:rPr>
        <w:t>)</w:t>
      </w:r>
      <w:r>
        <w:rPr>
          <w:rFonts w:hint="eastAsia"/>
          <w:color w:val="auto"/>
          <w:lang w:val="en-US" w:eastAsia="zh-CN"/>
        </w:rPr>
        <w:t>大雾、雨雪天气应采取安全措施保证运输安全，必要时停产</w:t>
      </w:r>
      <w:r>
        <w:rPr>
          <w:rFonts w:hint="eastAsia"/>
          <w:color w:val="auto"/>
          <w:lang w:eastAsia="zh-CN"/>
        </w:rPr>
        <w:t>。</w:t>
      </w:r>
    </w:p>
    <w:p w14:paraId="31A807B2">
      <w:pPr>
        <w:pStyle w:val="4"/>
        <w:rPr>
          <w:color w:val="auto"/>
        </w:rPr>
      </w:pPr>
      <w:r>
        <w:rPr>
          <w:rFonts w:hint="eastAsia"/>
          <w:color w:val="auto"/>
        </w:rPr>
        <w:t>4.2.4采掘单元</w:t>
      </w:r>
      <w:r>
        <w:rPr>
          <w:color w:val="auto"/>
        </w:rPr>
        <w:t>安全对策措施</w:t>
      </w:r>
    </w:p>
    <w:p w14:paraId="74513884">
      <w:pPr>
        <w:ind w:firstLine="560"/>
        <w:rPr>
          <w:color w:val="auto"/>
        </w:rPr>
      </w:pPr>
      <w:r>
        <w:rPr>
          <w:rFonts w:hint="eastAsia"/>
          <w:color w:val="auto"/>
        </w:rPr>
        <w:t>1、预防冒顶、片帮事故的安全对策措施</w:t>
      </w:r>
    </w:p>
    <w:p w14:paraId="600826B1">
      <w:pPr>
        <w:ind w:firstLine="560"/>
        <w:rPr>
          <w:color w:val="auto"/>
        </w:rPr>
      </w:pPr>
      <w:r>
        <w:rPr>
          <w:rFonts w:hint="eastAsia"/>
          <w:color w:val="auto"/>
        </w:rPr>
        <w:t>见“4.2.2预防冒顶片帮事故的安全对策措施”。</w:t>
      </w:r>
    </w:p>
    <w:p w14:paraId="735D12C8">
      <w:pPr>
        <w:ind w:firstLine="560"/>
        <w:rPr>
          <w:color w:val="auto"/>
        </w:rPr>
      </w:pPr>
      <w:r>
        <w:rPr>
          <w:rFonts w:hint="eastAsia"/>
          <w:color w:val="auto"/>
        </w:rPr>
        <w:t>2、预防放炮、火药爆炸事故的安全对策措施</w:t>
      </w:r>
    </w:p>
    <w:p w14:paraId="2C0EFEDD">
      <w:pPr>
        <w:ind w:firstLine="560"/>
        <w:rPr>
          <w:color w:val="auto"/>
        </w:rPr>
      </w:pPr>
      <w:r>
        <w:rPr>
          <w:rFonts w:hint="eastAsia"/>
          <w:color w:val="auto"/>
        </w:rPr>
        <w:t>(1)建立炸药运输、使用及领退管理制度。</w:t>
      </w:r>
    </w:p>
    <w:p w14:paraId="17D0D6DC">
      <w:pPr>
        <w:ind w:firstLine="560"/>
        <w:rPr>
          <w:color w:val="auto"/>
        </w:rPr>
      </w:pPr>
      <w:r>
        <w:rPr>
          <w:rFonts w:hint="eastAsia"/>
          <w:color w:val="auto"/>
        </w:rPr>
        <w:t>(2)爆破人员必须经培训考核合格，持证上岗。</w:t>
      </w:r>
    </w:p>
    <w:p w14:paraId="7CBE8834">
      <w:pPr>
        <w:ind w:firstLine="560"/>
        <w:rPr>
          <w:color w:val="auto"/>
        </w:rPr>
      </w:pPr>
      <w:r>
        <w:rPr>
          <w:rFonts w:hint="eastAsia"/>
          <w:color w:val="auto"/>
        </w:rPr>
        <w:t>(3)编制爆破设计和爆破安全操作规程。</w:t>
      </w:r>
    </w:p>
    <w:p w14:paraId="3DB2E493">
      <w:pPr>
        <w:ind w:firstLine="560"/>
        <w:rPr>
          <w:color w:val="auto"/>
        </w:rPr>
      </w:pPr>
      <w:r>
        <w:rPr>
          <w:rFonts w:hint="eastAsia"/>
          <w:color w:val="auto"/>
        </w:rPr>
        <w:t>(4)禁止使用不合格的炸药和起爆材料。</w:t>
      </w:r>
    </w:p>
    <w:p w14:paraId="370F5814">
      <w:pPr>
        <w:ind w:firstLine="560"/>
        <w:rPr>
          <w:color w:val="auto"/>
        </w:rPr>
      </w:pPr>
      <w:r>
        <w:rPr>
          <w:rFonts w:hint="eastAsia"/>
          <w:color w:val="auto"/>
        </w:rPr>
        <w:t>(5)井下工作面所用炸药、雷管应分别存放在加锁的专用爆破器材箱内。</w:t>
      </w:r>
    </w:p>
    <w:p w14:paraId="666CC712">
      <w:pPr>
        <w:ind w:firstLine="560"/>
        <w:rPr>
          <w:color w:val="auto"/>
        </w:rPr>
      </w:pPr>
      <w:r>
        <w:rPr>
          <w:rFonts w:hint="eastAsia"/>
          <w:color w:val="auto"/>
        </w:rPr>
        <w:t>(6)现场装药、填塞，应由专职或兼职爆破员进行。</w:t>
      </w:r>
    </w:p>
    <w:p w14:paraId="0B610A43">
      <w:pPr>
        <w:ind w:firstLine="560"/>
        <w:rPr>
          <w:color w:val="auto"/>
        </w:rPr>
      </w:pPr>
      <w:r>
        <w:rPr>
          <w:rFonts w:hint="eastAsia"/>
          <w:color w:val="auto"/>
        </w:rPr>
        <w:t>(7)爆破时，巷道中应设有通往爆破区和安全出口的明显路标，并设联通爆破作业区和地表爆破指挥部的通讯线路；二次爆破起爆前应通知相邻采场和井巷作业人员撤到安全地点。</w:t>
      </w:r>
    </w:p>
    <w:p w14:paraId="29633037">
      <w:pPr>
        <w:ind w:firstLine="560"/>
        <w:rPr>
          <w:color w:val="auto"/>
        </w:rPr>
      </w:pPr>
      <w:r>
        <w:rPr>
          <w:rFonts w:hint="eastAsia"/>
          <w:color w:val="auto"/>
        </w:rPr>
        <w:t>(8)不得在残眼上打孔；盲炮处理应符合《爆破安全规程》规定。</w:t>
      </w:r>
    </w:p>
    <w:p w14:paraId="12EF4C6D">
      <w:pPr>
        <w:ind w:firstLine="560"/>
        <w:rPr>
          <w:color w:val="auto"/>
        </w:rPr>
      </w:pPr>
      <w:r>
        <w:rPr>
          <w:rFonts w:hint="eastAsia"/>
          <w:color w:val="auto"/>
        </w:rPr>
        <w:t>(9)对残留的炸药进行处理后，方可进行装矿石工作。</w:t>
      </w:r>
    </w:p>
    <w:p w14:paraId="181EE90C">
      <w:pPr>
        <w:ind w:firstLine="560"/>
        <w:rPr>
          <w:color w:val="auto"/>
        </w:rPr>
      </w:pPr>
      <w:r>
        <w:rPr>
          <w:rFonts w:hint="eastAsia"/>
          <w:color w:val="auto"/>
        </w:rPr>
        <w:t>(10)贯通掘进两工作面相距15m时，应停止一头作业，只准从一个工作面向前掘进，并应在双方通向工作面的安全地点派出警戒，待双方作业人员全部撤至安全地点后，方准起爆。</w:t>
      </w:r>
    </w:p>
    <w:p w14:paraId="2BB5E402">
      <w:pPr>
        <w:ind w:firstLine="560"/>
        <w:rPr>
          <w:color w:val="auto"/>
        </w:rPr>
      </w:pPr>
      <w:r>
        <w:rPr>
          <w:rFonts w:hint="eastAsia"/>
          <w:color w:val="auto"/>
        </w:rPr>
        <w:t>3、预防高处坠落措施</w:t>
      </w:r>
    </w:p>
    <w:p w14:paraId="2A7AC3B1">
      <w:pPr>
        <w:ind w:firstLine="560"/>
        <w:rPr>
          <w:color w:val="auto"/>
        </w:rPr>
      </w:pPr>
      <w:r>
        <w:rPr>
          <w:rFonts w:hint="eastAsia"/>
          <w:color w:val="auto"/>
        </w:rPr>
        <w:t>(1)天井掘进应确定合理的施工方案或施工工艺，安全防护设施齐全有效。</w:t>
      </w:r>
    </w:p>
    <w:p w14:paraId="51BC4CF5">
      <w:pPr>
        <w:ind w:firstLine="560"/>
        <w:rPr>
          <w:color w:val="auto"/>
        </w:rPr>
      </w:pPr>
      <w:r>
        <w:rPr>
          <w:rFonts w:hint="eastAsia"/>
          <w:color w:val="auto"/>
        </w:rPr>
        <w:t>(2)高处作业(距作业点2m以上)人员必须系安全带(安全绳)或采取其他保护措施。作业时应设专人监护。</w:t>
      </w:r>
    </w:p>
    <w:p w14:paraId="2A2F45F3">
      <w:pPr>
        <w:ind w:firstLine="560"/>
        <w:rPr>
          <w:color w:val="auto"/>
        </w:rPr>
      </w:pPr>
      <w:r>
        <w:rPr>
          <w:rFonts w:hint="eastAsia"/>
          <w:color w:val="auto"/>
        </w:rPr>
        <w:t>(3)天井无标志、照明、护栏；</w:t>
      </w:r>
    </w:p>
    <w:p w14:paraId="3C2599F8">
      <w:pPr>
        <w:ind w:firstLine="560"/>
        <w:rPr>
          <w:color w:val="auto"/>
        </w:rPr>
      </w:pPr>
      <w:r>
        <w:rPr>
          <w:rFonts w:hint="eastAsia"/>
          <w:color w:val="auto"/>
        </w:rPr>
        <w:t>(4)通风天井内的梯子间应符合设计要求；</w:t>
      </w:r>
    </w:p>
    <w:p w14:paraId="429280A7">
      <w:pPr>
        <w:ind w:firstLine="560"/>
        <w:rPr>
          <w:color w:val="auto"/>
        </w:rPr>
      </w:pPr>
      <w:r>
        <w:rPr>
          <w:rFonts w:hint="eastAsia"/>
          <w:color w:val="auto"/>
        </w:rPr>
        <w:t>4、</w:t>
      </w:r>
      <w:r>
        <w:rPr>
          <w:color w:val="auto"/>
        </w:rPr>
        <w:t>预防物体打击的</w:t>
      </w:r>
      <w:r>
        <w:rPr>
          <w:rFonts w:hint="eastAsia"/>
          <w:color w:val="auto"/>
        </w:rPr>
        <w:t>安全</w:t>
      </w:r>
      <w:r>
        <w:rPr>
          <w:color w:val="auto"/>
        </w:rPr>
        <w:t>对策措施</w:t>
      </w:r>
      <w:r>
        <w:rPr>
          <w:rFonts w:hint="eastAsia"/>
          <w:color w:val="auto"/>
        </w:rPr>
        <w:t xml:space="preserve">： </w:t>
      </w:r>
    </w:p>
    <w:p w14:paraId="28B452EB">
      <w:pPr>
        <w:ind w:firstLine="560"/>
        <w:rPr>
          <w:color w:val="auto"/>
        </w:rPr>
      </w:pPr>
      <w:r>
        <w:rPr>
          <w:rFonts w:hint="eastAsia"/>
          <w:color w:val="auto"/>
        </w:rPr>
        <w:t>(1)作业人员必须佩戴好安全帽、安全带等个体防护用品。</w:t>
      </w:r>
    </w:p>
    <w:p w14:paraId="5168C964">
      <w:pPr>
        <w:ind w:firstLine="560"/>
        <w:rPr>
          <w:color w:val="auto"/>
        </w:rPr>
      </w:pPr>
      <w:r>
        <w:rPr>
          <w:rFonts w:hint="eastAsia"/>
          <w:color w:val="auto"/>
        </w:rPr>
        <w:t>(2)</w:t>
      </w:r>
      <w:r>
        <w:rPr>
          <w:color w:val="auto"/>
        </w:rPr>
        <w:t>装矿应使矿石低于矿车边缘10cm，以防滚石伤人</w:t>
      </w:r>
      <w:r>
        <w:rPr>
          <w:rFonts w:hint="eastAsia"/>
          <w:color w:val="auto"/>
        </w:rPr>
        <w:t>。</w:t>
      </w:r>
    </w:p>
    <w:p w14:paraId="63D36719">
      <w:pPr>
        <w:ind w:firstLine="560"/>
        <w:rPr>
          <w:color w:val="auto"/>
        </w:rPr>
      </w:pPr>
      <w:r>
        <w:rPr>
          <w:rFonts w:hint="eastAsia"/>
          <w:color w:val="auto"/>
        </w:rPr>
        <w:t>(3)</w:t>
      </w:r>
      <w:r>
        <w:rPr>
          <w:color w:val="auto"/>
        </w:rPr>
        <w:t>采掘作业前应先敲帮向顶处理浮石。处理浮石时，作业人员应站在安全地点；多人同时处理浮石，应划分区域，从安全地点向同一方向前进；不应在同一采场同时进行凿岩和处理浮石。</w:t>
      </w:r>
    </w:p>
    <w:p w14:paraId="46E993B1">
      <w:pPr>
        <w:ind w:firstLine="560"/>
        <w:rPr>
          <w:color w:val="auto"/>
        </w:rPr>
      </w:pPr>
      <w:r>
        <w:rPr>
          <w:rFonts w:hint="eastAsia"/>
          <w:color w:val="auto"/>
        </w:rPr>
        <w:t>(4)</w:t>
      </w:r>
      <w:r>
        <w:rPr>
          <w:color w:val="auto"/>
        </w:rPr>
        <w:t>采掘工作面爆破后，要先进行现场检查和检撬浮石工作，围岩不稳定时，必须及时支护，不得空顶作业。</w:t>
      </w:r>
    </w:p>
    <w:p w14:paraId="1718D5E2">
      <w:pPr>
        <w:ind w:firstLine="560"/>
        <w:rPr>
          <w:color w:val="auto"/>
        </w:rPr>
      </w:pPr>
      <w:r>
        <w:rPr>
          <w:rFonts w:hint="eastAsia"/>
          <w:color w:val="auto"/>
        </w:rPr>
        <w:t>(5)放矿人员和采场内的人员应密切联系，在放矿影响范围内不应上下同时作业。</w:t>
      </w:r>
    </w:p>
    <w:p w14:paraId="41668CC0">
      <w:pPr>
        <w:ind w:firstLine="560"/>
        <w:rPr>
          <w:color w:val="auto"/>
        </w:rPr>
      </w:pPr>
      <w:r>
        <w:rPr>
          <w:rFonts w:hint="eastAsia"/>
          <w:color w:val="auto"/>
        </w:rPr>
        <w:t>5、</w:t>
      </w:r>
      <w:r>
        <w:rPr>
          <w:color w:val="auto"/>
        </w:rPr>
        <w:t>预防</w:t>
      </w:r>
      <w:r>
        <w:rPr>
          <w:rFonts w:hint="eastAsia"/>
          <w:color w:val="auto"/>
        </w:rPr>
        <w:t>机械伤害</w:t>
      </w:r>
      <w:r>
        <w:rPr>
          <w:color w:val="auto"/>
        </w:rPr>
        <w:t>的</w:t>
      </w:r>
      <w:r>
        <w:rPr>
          <w:rFonts w:hint="eastAsia"/>
          <w:color w:val="auto"/>
        </w:rPr>
        <w:t>安全</w:t>
      </w:r>
      <w:r>
        <w:rPr>
          <w:color w:val="auto"/>
        </w:rPr>
        <w:t>对策措施</w:t>
      </w:r>
      <w:r>
        <w:rPr>
          <w:rFonts w:hint="eastAsia"/>
          <w:color w:val="auto"/>
        </w:rPr>
        <w:t xml:space="preserve">： </w:t>
      </w:r>
    </w:p>
    <w:p w14:paraId="1A03F36B">
      <w:pPr>
        <w:ind w:firstLine="560"/>
        <w:rPr>
          <w:color w:val="auto"/>
        </w:rPr>
      </w:pPr>
      <w:r>
        <w:rPr>
          <w:rFonts w:hint="eastAsia"/>
          <w:color w:val="auto"/>
        </w:rPr>
        <w:t>(1)风机、凿岩机</w:t>
      </w:r>
      <w:r>
        <w:rPr>
          <w:color w:val="auto"/>
        </w:rPr>
        <w:t>等</w:t>
      </w:r>
      <w:r>
        <w:rPr>
          <w:rFonts w:hint="eastAsia"/>
          <w:color w:val="auto"/>
        </w:rPr>
        <w:t>机械</w:t>
      </w:r>
      <w:r>
        <w:rPr>
          <w:color w:val="auto"/>
        </w:rPr>
        <w:t>设备，要经具有专门资质的机构进行检测；检验合格后，方可投入使用。</w:t>
      </w:r>
    </w:p>
    <w:p w14:paraId="5E84CC98">
      <w:pPr>
        <w:ind w:firstLine="560"/>
        <w:rPr>
          <w:color w:val="auto"/>
        </w:rPr>
      </w:pPr>
      <w:r>
        <w:rPr>
          <w:rFonts w:hint="eastAsia"/>
          <w:color w:val="auto"/>
        </w:rPr>
        <w:t>(2)相关设备的传动部位安装防护设施，佩戴个人劳动防护用品。</w:t>
      </w:r>
    </w:p>
    <w:p w14:paraId="58AA45B7">
      <w:pPr>
        <w:ind w:firstLine="560"/>
        <w:rPr>
          <w:color w:val="auto"/>
        </w:rPr>
      </w:pPr>
      <w:r>
        <w:rPr>
          <w:rFonts w:hint="eastAsia"/>
          <w:color w:val="auto"/>
        </w:rPr>
        <w:t>6、预防容器爆炸的安全对策措施</w:t>
      </w:r>
    </w:p>
    <w:p w14:paraId="3610D1B7">
      <w:pPr>
        <w:ind w:firstLine="560"/>
        <w:rPr>
          <w:color w:val="auto"/>
        </w:rPr>
      </w:pPr>
      <w:r>
        <w:rPr>
          <w:rFonts w:hint="eastAsia"/>
          <w:color w:val="auto"/>
        </w:rPr>
        <w:t>(1)严格执行操作规程，加强对现场的巡视检查，严格控制系统压力，防止超压运行；</w:t>
      </w:r>
    </w:p>
    <w:p w14:paraId="5DA5EEC2">
      <w:pPr>
        <w:ind w:firstLine="560"/>
        <w:rPr>
          <w:color w:val="auto"/>
        </w:rPr>
      </w:pPr>
      <w:r>
        <w:rPr>
          <w:rFonts w:hint="eastAsia"/>
          <w:color w:val="auto"/>
        </w:rPr>
        <w:t>(2)定期检验、校对安全阀、压力表和仪表；安全阀和压力表出现故障要立即更换；</w:t>
      </w:r>
    </w:p>
    <w:p w14:paraId="4EBE6C98">
      <w:pPr>
        <w:ind w:firstLine="560"/>
        <w:rPr>
          <w:color w:val="auto"/>
        </w:rPr>
      </w:pPr>
      <w:r>
        <w:rPr>
          <w:rFonts w:hint="eastAsia"/>
          <w:color w:val="auto"/>
        </w:rPr>
        <w:t>(3)定期进行检测，防止</w:t>
      </w:r>
      <w:r>
        <w:rPr>
          <w:rFonts w:hint="eastAsia"/>
          <w:color w:val="auto"/>
          <w:lang w:eastAsia="zh-CN"/>
        </w:rPr>
        <w:t>联锁</w:t>
      </w:r>
      <w:r>
        <w:rPr>
          <w:rFonts w:hint="eastAsia"/>
          <w:color w:val="auto"/>
        </w:rPr>
        <w:t>保护装置失灵；所有防护装置和安全附件应处于完好状态，否则不得开车；</w:t>
      </w:r>
    </w:p>
    <w:p w14:paraId="12F4BCCD">
      <w:pPr>
        <w:ind w:firstLine="560"/>
        <w:rPr>
          <w:color w:val="auto"/>
        </w:rPr>
      </w:pPr>
      <w:r>
        <w:rPr>
          <w:rFonts w:hint="eastAsia"/>
          <w:color w:val="auto"/>
        </w:rPr>
        <w:t>(4)设备、材料等应选用具有压力容器生产制造许可证的正规厂家的产品，设备应有出厂合格证；特别注意检查储气罐焊接无损检测报告结论和其他安全保护装置的出厂合格证；</w:t>
      </w:r>
    </w:p>
    <w:p w14:paraId="25C3CE81">
      <w:pPr>
        <w:ind w:firstLine="560"/>
        <w:rPr>
          <w:color w:val="auto"/>
        </w:rPr>
      </w:pPr>
      <w:r>
        <w:rPr>
          <w:rFonts w:hint="eastAsia"/>
          <w:color w:val="auto"/>
        </w:rPr>
        <w:t>(5)定期进行检查，注意防腐蚀问题；</w:t>
      </w:r>
    </w:p>
    <w:p w14:paraId="5A6F68B2">
      <w:pPr>
        <w:ind w:firstLine="560"/>
        <w:rPr>
          <w:color w:val="auto"/>
        </w:rPr>
      </w:pPr>
      <w:r>
        <w:rPr>
          <w:rFonts w:hint="eastAsia"/>
          <w:color w:val="auto"/>
        </w:rPr>
        <w:t>(6)定期进行检查，发现有积碳现象应及时采取措施处理：储气罐及其与空压机的连接管内部的油垢必须认真清洗；</w:t>
      </w:r>
    </w:p>
    <w:p w14:paraId="4B70064C">
      <w:pPr>
        <w:ind w:firstLine="560"/>
        <w:rPr>
          <w:color w:val="auto"/>
        </w:rPr>
      </w:pPr>
      <w:r>
        <w:rPr>
          <w:rFonts w:hint="eastAsia"/>
          <w:color w:val="auto"/>
        </w:rPr>
        <w:t>(7)加强对职工的教育，操作必须执行操作规程，严禁违章操作；</w:t>
      </w:r>
    </w:p>
    <w:p w14:paraId="68380559">
      <w:pPr>
        <w:ind w:firstLine="560"/>
        <w:rPr>
          <w:color w:val="auto"/>
        </w:rPr>
      </w:pPr>
      <w:r>
        <w:rPr>
          <w:rFonts w:hint="eastAsia"/>
          <w:color w:val="auto"/>
        </w:rPr>
        <w:t>(8)加强管理工作，严格执行各项管理制度，持证上岗；</w:t>
      </w:r>
    </w:p>
    <w:p w14:paraId="5700E0EE">
      <w:pPr>
        <w:ind w:firstLine="560"/>
        <w:rPr>
          <w:color w:val="auto"/>
        </w:rPr>
      </w:pPr>
      <w:r>
        <w:rPr>
          <w:rFonts w:hint="eastAsia"/>
          <w:color w:val="auto"/>
        </w:rPr>
        <w:t>(9)制定设备安全操作规程，定期进行设备检修和维护保养，运转中有异声、气味、振动或发生故障，要立即停车修理；</w:t>
      </w:r>
    </w:p>
    <w:p w14:paraId="26E47C83">
      <w:pPr>
        <w:ind w:firstLine="560"/>
        <w:rPr>
          <w:color w:val="auto"/>
        </w:rPr>
      </w:pPr>
      <w:r>
        <w:rPr>
          <w:rFonts w:hint="eastAsia"/>
          <w:color w:val="auto"/>
        </w:rPr>
        <w:t>(10)设备运转中或未减压的情况下，不得进行任何维修工作。</w:t>
      </w:r>
    </w:p>
    <w:p w14:paraId="17632574">
      <w:pPr>
        <w:ind w:firstLine="560"/>
        <w:rPr>
          <w:color w:val="auto"/>
        </w:rPr>
      </w:pPr>
      <w:r>
        <w:rPr>
          <w:rFonts w:hint="eastAsia"/>
          <w:color w:val="auto"/>
        </w:rPr>
        <w:t>(11)旋转、运动部件必须加设有效的防护设施；</w:t>
      </w:r>
    </w:p>
    <w:p w14:paraId="7966462B">
      <w:pPr>
        <w:ind w:firstLine="560"/>
        <w:rPr>
          <w:color w:val="auto"/>
        </w:rPr>
      </w:pPr>
      <w:r>
        <w:rPr>
          <w:rFonts w:hint="eastAsia"/>
          <w:color w:val="auto"/>
        </w:rPr>
        <w:t>(12)定期进行设备检修，保持设备处于完好状态，操作时认真仔细，发现机械不正常及时采取措施；</w:t>
      </w:r>
    </w:p>
    <w:p w14:paraId="4817B48D">
      <w:pPr>
        <w:ind w:firstLine="560"/>
        <w:rPr>
          <w:color w:val="auto"/>
        </w:rPr>
      </w:pPr>
      <w:r>
        <w:rPr>
          <w:rFonts w:hint="eastAsia"/>
          <w:color w:val="auto"/>
        </w:rPr>
        <w:t>(13)工作人员精力必须集中，避免误操作；</w:t>
      </w:r>
    </w:p>
    <w:p w14:paraId="6EB8365B">
      <w:pPr>
        <w:ind w:firstLine="560"/>
        <w:rPr>
          <w:color w:val="auto"/>
        </w:rPr>
      </w:pPr>
      <w:r>
        <w:rPr>
          <w:rFonts w:hint="eastAsia"/>
          <w:color w:val="auto"/>
        </w:rPr>
        <w:t>(14)检修时必须佩戴防护用品；</w:t>
      </w:r>
    </w:p>
    <w:p w14:paraId="5DBECBBE">
      <w:pPr>
        <w:ind w:firstLine="560"/>
        <w:rPr>
          <w:color w:val="auto"/>
        </w:rPr>
      </w:pPr>
      <w:r>
        <w:rPr>
          <w:rFonts w:hint="eastAsia"/>
          <w:color w:val="auto"/>
        </w:rPr>
        <w:t>(15)停电检修要有明显的标志，防止误合闸、机械误动；</w:t>
      </w:r>
    </w:p>
    <w:p w14:paraId="12E609DF">
      <w:pPr>
        <w:ind w:firstLine="560"/>
        <w:rPr>
          <w:color w:val="auto"/>
        </w:rPr>
      </w:pPr>
      <w:r>
        <w:rPr>
          <w:rFonts w:hint="eastAsia"/>
          <w:color w:val="auto"/>
        </w:rPr>
        <w:t>(16)加强现场管理和人员培训，严格执行规章制度。</w:t>
      </w:r>
    </w:p>
    <w:p w14:paraId="2C0BB5BA">
      <w:pPr>
        <w:ind w:firstLine="560"/>
        <w:rPr>
          <w:color w:val="auto"/>
        </w:rPr>
      </w:pPr>
      <w:r>
        <w:rPr>
          <w:rFonts w:hint="eastAsia"/>
          <w:color w:val="auto"/>
        </w:rPr>
        <w:t>(17)加强应急知识学习，当出现异常时作业人员能够及时科学合理的处理。</w:t>
      </w:r>
    </w:p>
    <w:p w14:paraId="530B7152">
      <w:pPr>
        <w:ind w:firstLine="560"/>
        <w:rPr>
          <w:color w:val="auto"/>
        </w:rPr>
      </w:pPr>
      <w:r>
        <w:rPr>
          <w:rFonts w:hint="eastAsia"/>
          <w:color w:val="auto"/>
        </w:rPr>
        <w:t>7、预防职业危害的安全对策措施</w:t>
      </w:r>
    </w:p>
    <w:p w14:paraId="388BF575">
      <w:pPr>
        <w:ind w:firstLine="560"/>
        <w:rPr>
          <w:color w:val="auto"/>
        </w:rPr>
      </w:pPr>
      <w:r>
        <w:rPr>
          <w:rFonts w:hint="eastAsia"/>
          <w:color w:val="auto"/>
        </w:rPr>
        <w:t>(1)实施全矿井机械通风。采场采用贯穿风流通风，掘进工作面和通风不良的作业地点采用局部扇风机通风。</w:t>
      </w:r>
    </w:p>
    <w:p w14:paraId="76C9D1BE">
      <w:pPr>
        <w:ind w:firstLine="560"/>
        <w:rPr>
          <w:color w:val="auto"/>
        </w:rPr>
      </w:pPr>
      <w:r>
        <w:rPr>
          <w:rFonts w:hint="eastAsia"/>
          <w:color w:val="auto"/>
        </w:rPr>
        <w:t>(2)完善矿井的通风设施，保持井下风量、风质、风速符合规定要求。</w:t>
      </w:r>
    </w:p>
    <w:p w14:paraId="295CB333">
      <w:pPr>
        <w:ind w:firstLine="560"/>
        <w:rPr>
          <w:color w:val="auto"/>
        </w:rPr>
      </w:pPr>
      <w:r>
        <w:rPr>
          <w:rFonts w:hint="eastAsia"/>
          <w:color w:val="auto"/>
        </w:rPr>
        <w:t>(3)采用湿式凿岩，爆堆、装卸矿处等所有产尘地点，应进行洒水或喷雾降尘。</w:t>
      </w:r>
    </w:p>
    <w:p w14:paraId="3946EA19">
      <w:pPr>
        <w:ind w:firstLine="560"/>
        <w:rPr>
          <w:color w:val="auto"/>
        </w:rPr>
      </w:pPr>
      <w:r>
        <w:rPr>
          <w:rFonts w:hint="eastAsia"/>
          <w:color w:val="auto"/>
        </w:rPr>
        <w:t>(4)接触尘毒的作业人员，应佩戴符合国家或行业标准的防护用品。为经常接触粉尘的作业人员定期进行体检。</w:t>
      </w:r>
    </w:p>
    <w:p w14:paraId="73867F81">
      <w:pPr>
        <w:ind w:firstLine="560"/>
        <w:rPr>
          <w:color w:val="auto"/>
        </w:rPr>
      </w:pPr>
      <w:r>
        <w:rPr>
          <w:rFonts w:hint="eastAsia"/>
          <w:color w:val="auto"/>
        </w:rPr>
        <w:t>(5)采用低噪声工艺，合理平面布置，采取隔声、消声、吸声等综合技术措施，采取个人防护措施(戴耳塞)和减少接触噪声振动的时间。</w:t>
      </w:r>
    </w:p>
    <w:p w14:paraId="02B380F0">
      <w:pPr>
        <w:ind w:firstLine="560"/>
        <w:rPr>
          <w:color w:val="auto"/>
        </w:rPr>
      </w:pPr>
      <w:r>
        <w:rPr>
          <w:rFonts w:hint="eastAsia"/>
          <w:color w:val="auto"/>
        </w:rPr>
        <w:t>(6)在振动控制上，选用动平衡性能好、振动小的设备；在设备上设置动平衡装置，安装减振支架、减振手柄、减振垫层、阻尼层等减振设施，减轻振动工具的重量等。</w:t>
      </w:r>
    </w:p>
    <w:p w14:paraId="2BBA2121">
      <w:pPr>
        <w:ind w:firstLine="560"/>
        <w:rPr>
          <w:color w:val="auto"/>
        </w:rPr>
      </w:pPr>
      <w:r>
        <w:rPr>
          <w:rFonts w:hint="eastAsia"/>
          <w:color w:val="auto"/>
        </w:rPr>
        <w:t>(7)爆破作业要合理装药，封堵炮孔要填满；放炮时所有人员均要撤至爆破冲击波波及范围以外的安全地点。</w:t>
      </w:r>
    </w:p>
    <w:p w14:paraId="66439AFF">
      <w:pPr>
        <w:pStyle w:val="4"/>
        <w:rPr>
          <w:color w:val="auto"/>
        </w:rPr>
      </w:pPr>
      <w:r>
        <w:rPr>
          <w:rFonts w:hint="eastAsia"/>
          <w:color w:val="auto"/>
        </w:rPr>
        <w:t>4.2.5通风防尘单元</w:t>
      </w:r>
      <w:r>
        <w:rPr>
          <w:color w:val="auto"/>
        </w:rPr>
        <w:t>安全对策措施</w:t>
      </w:r>
    </w:p>
    <w:p w14:paraId="0FBA6FDE">
      <w:pPr>
        <w:ind w:firstLine="560"/>
        <w:rPr>
          <w:color w:val="auto"/>
        </w:rPr>
      </w:pPr>
      <w:r>
        <w:rPr>
          <w:rFonts w:hint="eastAsia"/>
          <w:color w:val="auto"/>
        </w:rPr>
        <w:t>1、预防中毒窒息事故安全对策措施</w:t>
      </w:r>
    </w:p>
    <w:p w14:paraId="630B3CD1">
      <w:pPr>
        <w:ind w:firstLine="560"/>
        <w:rPr>
          <w:color w:val="auto"/>
        </w:rPr>
      </w:pPr>
      <w:r>
        <w:rPr>
          <w:rFonts w:hint="eastAsia"/>
          <w:color w:val="auto"/>
        </w:rPr>
        <w:t>(1)实施全矿井机械通风。</w:t>
      </w:r>
    </w:p>
    <w:p w14:paraId="39CBD0AE">
      <w:pPr>
        <w:ind w:firstLine="560"/>
        <w:rPr>
          <w:color w:val="auto"/>
        </w:rPr>
      </w:pPr>
      <w:r>
        <w:rPr>
          <w:rFonts w:hint="eastAsia"/>
          <w:color w:val="auto"/>
        </w:rPr>
        <w:t>(2)完善矿井通风设施，确保矿井风量、风质、风速符合规定。</w:t>
      </w:r>
    </w:p>
    <w:p w14:paraId="724D8847">
      <w:pPr>
        <w:ind w:firstLine="560"/>
        <w:rPr>
          <w:color w:val="auto"/>
        </w:rPr>
      </w:pPr>
      <w:r>
        <w:rPr>
          <w:rFonts w:hint="eastAsia"/>
          <w:color w:val="auto"/>
        </w:rPr>
        <w:t>(3)采场采用贯穿风流通风或局扇通风；掘进工作面采用局扇通风。</w:t>
      </w:r>
    </w:p>
    <w:p w14:paraId="2C35F457">
      <w:pPr>
        <w:ind w:firstLine="560"/>
        <w:rPr>
          <w:color w:val="auto"/>
        </w:rPr>
      </w:pPr>
      <w:r>
        <w:rPr>
          <w:rFonts w:hint="eastAsia"/>
          <w:color w:val="auto"/>
        </w:rPr>
        <w:t>(4)采掘工作面放完炮，炮烟未吹散人</w:t>
      </w:r>
      <w:r>
        <w:rPr>
          <w:rFonts w:hint="eastAsia"/>
          <w:color w:val="auto"/>
          <w:lang w:eastAsia="zh-CN"/>
        </w:rPr>
        <w:t>，人</w:t>
      </w:r>
      <w:r>
        <w:rPr>
          <w:rFonts w:hint="eastAsia"/>
          <w:color w:val="auto"/>
        </w:rPr>
        <w:t>员不得提前进入工作面，防止炮后产生的NO</w:t>
      </w:r>
      <w:r>
        <w:rPr>
          <w:rFonts w:hint="eastAsia"/>
          <w:color w:val="auto"/>
          <w:vertAlign w:val="subscript"/>
        </w:rPr>
        <w:t>2</w:t>
      </w:r>
      <w:r>
        <w:rPr>
          <w:rFonts w:hint="eastAsia"/>
          <w:color w:val="auto"/>
        </w:rPr>
        <w:t>、CO造成人员中毒。</w:t>
      </w:r>
    </w:p>
    <w:p w14:paraId="14D22435">
      <w:pPr>
        <w:ind w:firstLine="560"/>
        <w:rPr>
          <w:color w:val="auto"/>
        </w:rPr>
      </w:pPr>
      <w:r>
        <w:rPr>
          <w:rFonts w:hint="eastAsia"/>
          <w:color w:val="auto"/>
        </w:rPr>
        <w:t>(5)停止供风的独头巷道设置栅栏和明显的警示标志；其他无风地点和通往采空区的通道及时进行密闭。</w:t>
      </w:r>
    </w:p>
    <w:p w14:paraId="5B77C523">
      <w:pPr>
        <w:ind w:firstLine="560"/>
        <w:rPr>
          <w:color w:val="auto"/>
        </w:rPr>
      </w:pPr>
      <w:r>
        <w:rPr>
          <w:rFonts w:hint="eastAsia"/>
          <w:color w:val="auto"/>
        </w:rPr>
        <w:t>(6)安全员、班组长携带便携式气体检测报警仪并保证仪器合格检测效果有效。</w:t>
      </w:r>
    </w:p>
    <w:p w14:paraId="61B8F018">
      <w:pPr>
        <w:ind w:firstLine="560"/>
        <w:rPr>
          <w:color w:val="auto"/>
        </w:rPr>
      </w:pPr>
      <w:r>
        <w:rPr>
          <w:rFonts w:hint="eastAsia"/>
          <w:color w:val="auto"/>
        </w:rPr>
        <w:t>(7)下井人员随身携带自救器；防止井下发生火灾时，造成人员中毒窒息。</w:t>
      </w:r>
    </w:p>
    <w:p w14:paraId="06EA31A1">
      <w:pPr>
        <w:ind w:firstLine="560"/>
        <w:rPr>
          <w:color w:val="auto"/>
        </w:rPr>
      </w:pPr>
      <w:r>
        <w:rPr>
          <w:rFonts w:hint="eastAsia"/>
          <w:color w:val="auto"/>
        </w:rPr>
        <w:t>(8)风量按同时爆破使用的最多炸药量进行计算时，应根据实际需要调整通风时间，建议通风时间取值小于15min。</w:t>
      </w:r>
    </w:p>
    <w:p w14:paraId="19E24958">
      <w:pPr>
        <w:ind w:firstLine="560"/>
        <w:rPr>
          <w:color w:val="auto"/>
        </w:rPr>
      </w:pPr>
      <w:r>
        <w:rPr>
          <w:rFonts w:hint="eastAsia"/>
          <w:color w:val="auto"/>
        </w:rPr>
        <w:t>2、预防机械伤害事故安全对策措施</w:t>
      </w:r>
    </w:p>
    <w:p w14:paraId="00EA7222">
      <w:pPr>
        <w:ind w:firstLine="560"/>
        <w:rPr>
          <w:color w:val="auto"/>
        </w:rPr>
      </w:pPr>
      <w:r>
        <w:rPr>
          <w:rFonts w:hint="eastAsia"/>
          <w:color w:val="auto"/>
        </w:rPr>
        <w:t>通风机进风口安装防护网。</w:t>
      </w:r>
    </w:p>
    <w:p w14:paraId="11DA3F82">
      <w:pPr>
        <w:ind w:firstLine="560"/>
        <w:rPr>
          <w:color w:val="auto"/>
        </w:rPr>
      </w:pPr>
      <w:r>
        <w:rPr>
          <w:rFonts w:hint="eastAsia"/>
          <w:color w:val="auto"/>
        </w:rPr>
        <w:t>3、预防粉尘伤害事故安全对策措施</w:t>
      </w:r>
    </w:p>
    <w:p w14:paraId="09A78573">
      <w:pPr>
        <w:ind w:firstLine="560"/>
        <w:rPr>
          <w:color w:val="auto"/>
        </w:rPr>
      </w:pPr>
      <w:r>
        <w:rPr>
          <w:rFonts w:hint="eastAsia"/>
          <w:color w:val="auto"/>
        </w:rPr>
        <w:t>(1)矿井要实施机械通风。</w:t>
      </w:r>
    </w:p>
    <w:p w14:paraId="16A78CA5">
      <w:pPr>
        <w:ind w:firstLine="560"/>
        <w:rPr>
          <w:color w:val="auto"/>
        </w:rPr>
      </w:pPr>
      <w:r>
        <w:rPr>
          <w:rFonts w:hint="eastAsia"/>
          <w:color w:val="auto"/>
        </w:rPr>
        <w:t>(2)健全矿井的通风设施，并保持完好。</w:t>
      </w:r>
    </w:p>
    <w:p w14:paraId="4E4D6309">
      <w:pPr>
        <w:ind w:firstLine="560"/>
        <w:rPr>
          <w:color w:val="auto"/>
        </w:rPr>
      </w:pPr>
      <w:r>
        <w:rPr>
          <w:rFonts w:hint="eastAsia"/>
          <w:color w:val="auto"/>
        </w:rPr>
        <w:t>(3)采用湿式凿岩；爆堆、装卸矿处等产尘地点，采用洒水或喷雾降尘措施，定期对巷道进行清洗，以免形成积尘。</w:t>
      </w:r>
    </w:p>
    <w:p w14:paraId="1E73DA4F">
      <w:pPr>
        <w:ind w:firstLine="560"/>
        <w:rPr>
          <w:color w:val="auto"/>
        </w:rPr>
      </w:pPr>
      <w:r>
        <w:rPr>
          <w:rFonts w:hint="eastAsia"/>
          <w:color w:val="auto"/>
        </w:rPr>
        <w:t>(4)接触粉尘的作业人员要佩戴符合国家或行业标准的防护用品，用具(如：防尘口罩)。</w:t>
      </w:r>
    </w:p>
    <w:p w14:paraId="48EA2160">
      <w:pPr>
        <w:ind w:firstLine="560"/>
        <w:rPr>
          <w:color w:val="auto"/>
        </w:rPr>
      </w:pPr>
      <w:r>
        <w:rPr>
          <w:rFonts w:hint="eastAsia"/>
          <w:color w:val="auto"/>
        </w:rPr>
        <w:t>(5)对接触粉尘的作业人员，要定期进行体检。</w:t>
      </w:r>
    </w:p>
    <w:p w14:paraId="383F6BA8">
      <w:pPr>
        <w:ind w:firstLine="560"/>
        <w:rPr>
          <w:color w:val="auto"/>
        </w:rPr>
      </w:pPr>
      <w:r>
        <w:rPr>
          <w:rFonts w:hint="eastAsia"/>
          <w:color w:val="auto"/>
        </w:rPr>
        <w:t>(6)未采用贯穿风流通风的采场、掘进工作面应采用局扇通风。</w:t>
      </w:r>
    </w:p>
    <w:p w14:paraId="2718CC35">
      <w:pPr>
        <w:ind w:firstLine="560"/>
        <w:rPr>
          <w:color w:val="auto"/>
        </w:rPr>
      </w:pPr>
      <w:r>
        <w:rPr>
          <w:rFonts w:hint="eastAsia"/>
          <w:color w:val="auto"/>
        </w:rPr>
        <w:t>(7)采掘工作面爆破后，经通风吹散炮烟、检查确认井下空气合格后、等待时间超过15min，方准许作业人员</w:t>
      </w:r>
      <w:r>
        <w:rPr>
          <w:rFonts w:hint="eastAsia"/>
          <w:color w:val="auto"/>
          <w:lang w:eastAsia="zh-CN"/>
        </w:rPr>
        <w:t>进入</w:t>
      </w:r>
      <w:r>
        <w:rPr>
          <w:rFonts w:hint="eastAsia"/>
          <w:color w:val="auto"/>
        </w:rPr>
        <w:t>爆破作业地点。</w:t>
      </w:r>
    </w:p>
    <w:p w14:paraId="6086AF96">
      <w:pPr>
        <w:pStyle w:val="4"/>
        <w:rPr>
          <w:color w:val="auto"/>
        </w:rPr>
      </w:pPr>
      <w:r>
        <w:rPr>
          <w:rFonts w:hint="eastAsia"/>
          <w:color w:val="auto"/>
        </w:rPr>
        <w:t>4.2.6供配电设施</w:t>
      </w:r>
      <w:r>
        <w:rPr>
          <w:color w:val="auto"/>
        </w:rPr>
        <w:t>单元安全对策措施</w:t>
      </w:r>
    </w:p>
    <w:p w14:paraId="2D47D314">
      <w:pPr>
        <w:ind w:firstLine="560"/>
        <w:rPr>
          <w:color w:val="auto"/>
        </w:rPr>
      </w:pPr>
      <w:r>
        <w:rPr>
          <w:rFonts w:hint="eastAsia"/>
          <w:color w:val="auto"/>
        </w:rPr>
        <w:t>(1)电气设备、线路要严格按设计要求选型和安装，设备要有国家指定机构的安全标志认证，并按规定可靠接地、接零。</w:t>
      </w:r>
    </w:p>
    <w:p w14:paraId="45A5D20E">
      <w:pPr>
        <w:ind w:firstLine="560"/>
        <w:rPr>
          <w:color w:val="auto"/>
        </w:rPr>
      </w:pPr>
      <w:r>
        <w:rPr>
          <w:rFonts w:hint="eastAsia"/>
          <w:color w:val="auto"/>
        </w:rPr>
        <w:t>(2)机械电气设备等要严格检查其安全装置的工作性能是否正常，严禁设备带病运转。</w:t>
      </w:r>
    </w:p>
    <w:p w14:paraId="13DF7825">
      <w:pPr>
        <w:ind w:firstLine="560"/>
        <w:rPr>
          <w:color w:val="auto"/>
        </w:rPr>
      </w:pPr>
      <w:r>
        <w:rPr>
          <w:rFonts w:hint="eastAsia"/>
          <w:color w:val="auto"/>
        </w:rPr>
        <w:t>(3)电气设备应按规定安装过电压、过流、短路保护装置和漏电保护器。</w:t>
      </w:r>
    </w:p>
    <w:p w14:paraId="559E92C0">
      <w:pPr>
        <w:ind w:firstLine="560"/>
        <w:rPr>
          <w:color w:val="auto"/>
        </w:rPr>
      </w:pPr>
      <w:r>
        <w:rPr>
          <w:rFonts w:hint="eastAsia"/>
          <w:color w:val="auto"/>
        </w:rPr>
        <w:t>(4)井下电气设备保护接地必须符合《金属非金属矿山安全规程》(GB16423-</w:t>
      </w:r>
      <w:r>
        <w:rPr>
          <w:rFonts w:hint="eastAsia"/>
          <w:color w:val="auto"/>
          <w:lang w:val="en-US" w:eastAsia="zh-CN"/>
        </w:rPr>
        <w:t>2020</w:t>
      </w:r>
      <w:r>
        <w:rPr>
          <w:rFonts w:hint="eastAsia"/>
          <w:color w:val="auto"/>
        </w:rPr>
        <w:t>)6.</w:t>
      </w:r>
      <w:r>
        <w:rPr>
          <w:rFonts w:hint="eastAsia"/>
          <w:color w:val="auto"/>
          <w:lang w:val="en-US" w:eastAsia="zh-CN"/>
        </w:rPr>
        <w:t>7</w:t>
      </w:r>
      <w:r>
        <w:rPr>
          <w:rFonts w:hint="eastAsia"/>
          <w:color w:val="auto"/>
        </w:rPr>
        <w:t>.6的规定要求。</w:t>
      </w:r>
    </w:p>
    <w:p w14:paraId="09336BCA">
      <w:pPr>
        <w:ind w:firstLine="560"/>
        <w:rPr>
          <w:color w:val="auto"/>
        </w:rPr>
      </w:pPr>
      <w:r>
        <w:rPr>
          <w:rFonts w:hint="eastAsia"/>
          <w:color w:val="auto"/>
        </w:rPr>
        <w:t>(5)电气设备要设防护罩或防护栏，电气开关及配电装置应罩在箱内。</w:t>
      </w:r>
    </w:p>
    <w:p w14:paraId="131F5F84">
      <w:pPr>
        <w:ind w:firstLine="560"/>
        <w:rPr>
          <w:color w:val="auto"/>
        </w:rPr>
      </w:pPr>
      <w:r>
        <w:rPr>
          <w:rFonts w:hint="eastAsia"/>
          <w:color w:val="auto"/>
        </w:rPr>
        <w:t>(6)电工属特种作业人员，必须经过专业培训，并考核合格，取得资格证书方准上岗作业；电工及电器维修人员上岗前，须佩戴好防护用品。严禁非电工人员从事电器维修和操作。</w:t>
      </w:r>
    </w:p>
    <w:p w14:paraId="5AF6DB0D">
      <w:pPr>
        <w:ind w:firstLine="560"/>
        <w:rPr>
          <w:color w:val="auto"/>
        </w:rPr>
      </w:pPr>
      <w:r>
        <w:rPr>
          <w:rFonts w:hint="eastAsia"/>
          <w:color w:val="auto"/>
        </w:rPr>
        <w:t>(7)电气工作人员，应遵守下列规定：</w:t>
      </w:r>
    </w:p>
    <w:p w14:paraId="17626AD5">
      <w:pPr>
        <w:ind w:firstLine="560"/>
        <w:rPr>
          <w:color w:val="auto"/>
        </w:rPr>
      </w:pPr>
      <w:r>
        <w:rPr>
          <w:rFonts w:hint="eastAsia"/>
          <w:color w:val="auto"/>
        </w:rPr>
        <w:fldChar w:fldCharType="begin"/>
      </w:r>
      <w:r>
        <w:rPr>
          <w:rFonts w:hint="eastAsia"/>
          <w:color w:val="auto"/>
        </w:rPr>
        <w:instrText xml:space="preserve"> = 1 \* GB3 </w:instrText>
      </w:r>
      <w:r>
        <w:rPr>
          <w:rFonts w:hint="eastAsia"/>
          <w:color w:val="auto"/>
        </w:rPr>
        <w:fldChar w:fldCharType="separate"/>
      </w:r>
      <w:r>
        <w:rPr>
          <w:rFonts w:hint="eastAsia"/>
          <w:color w:val="auto"/>
        </w:rPr>
        <w:t>①</w:t>
      </w:r>
      <w:r>
        <w:rPr>
          <w:rFonts w:hint="eastAsia"/>
          <w:color w:val="auto"/>
        </w:rPr>
        <w:fldChar w:fldCharType="end"/>
      </w:r>
      <w:r>
        <w:rPr>
          <w:rFonts w:hint="eastAsia"/>
          <w:color w:val="auto"/>
        </w:rPr>
        <w:t>对重要线路和重要工作场所的停电和送电，以及对700V以上的电气设备的检修，应持有主管电气工程技术人员签发的工作票，方准进行作业。</w:t>
      </w:r>
    </w:p>
    <w:p w14:paraId="361CD491">
      <w:pPr>
        <w:ind w:firstLine="560"/>
        <w:rPr>
          <w:color w:val="auto"/>
        </w:rPr>
      </w:pPr>
      <w:r>
        <w:rPr>
          <w:rFonts w:hint="eastAsia"/>
          <w:color w:val="auto"/>
        </w:rPr>
        <w:fldChar w:fldCharType="begin"/>
      </w:r>
      <w:r>
        <w:rPr>
          <w:rFonts w:hint="eastAsia"/>
          <w:color w:val="auto"/>
        </w:rPr>
        <w:instrText xml:space="preserve"> = 2 \* GB3 </w:instrText>
      </w:r>
      <w:r>
        <w:rPr>
          <w:rFonts w:hint="eastAsia"/>
          <w:color w:val="auto"/>
        </w:rPr>
        <w:fldChar w:fldCharType="separate"/>
      </w:r>
      <w:r>
        <w:rPr>
          <w:rFonts w:hint="eastAsia"/>
          <w:color w:val="auto"/>
        </w:rPr>
        <w:t>②</w:t>
      </w:r>
      <w:r>
        <w:rPr>
          <w:rFonts w:hint="eastAsia"/>
          <w:color w:val="auto"/>
        </w:rPr>
        <w:fldChar w:fldCharType="end"/>
      </w:r>
      <w:r>
        <w:rPr>
          <w:rFonts w:hint="eastAsia"/>
          <w:color w:val="auto"/>
        </w:rPr>
        <w:t>不应带电检修或搬动任何带电设备(包括电缆和电线)；检修或搬动时，应先切断电源，并将导体完全放电和接地。</w:t>
      </w:r>
    </w:p>
    <w:p w14:paraId="090DC0FB">
      <w:pPr>
        <w:ind w:firstLine="560"/>
        <w:rPr>
          <w:color w:val="auto"/>
        </w:rPr>
      </w:pPr>
      <w:r>
        <w:rPr>
          <w:rFonts w:hint="eastAsia"/>
          <w:color w:val="auto"/>
        </w:rPr>
        <w:fldChar w:fldCharType="begin"/>
      </w:r>
      <w:r>
        <w:rPr>
          <w:rFonts w:hint="eastAsia"/>
          <w:color w:val="auto"/>
        </w:rPr>
        <w:instrText xml:space="preserve"> = 3 \* GB3 </w:instrText>
      </w:r>
      <w:r>
        <w:rPr>
          <w:rFonts w:hint="eastAsia"/>
          <w:color w:val="auto"/>
        </w:rPr>
        <w:fldChar w:fldCharType="separate"/>
      </w:r>
      <w:r>
        <w:rPr>
          <w:rFonts w:hint="eastAsia"/>
          <w:color w:val="auto"/>
        </w:rPr>
        <w:t>③</w:t>
      </w:r>
      <w:r>
        <w:rPr>
          <w:rFonts w:hint="eastAsia"/>
          <w:color w:val="auto"/>
        </w:rPr>
        <w:fldChar w:fldCharType="end"/>
      </w:r>
      <w:r>
        <w:rPr>
          <w:rFonts w:hint="eastAsia"/>
          <w:color w:val="auto"/>
        </w:rPr>
        <w:t>停电检修时，所有已切断的开关把手均应加锁，应验电、放电和将线路接地，并且悬挂“有人作业，禁止送电”的警示牌。只有执行这项工作的人员，才有权取下警示牌并送电。</w:t>
      </w:r>
    </w:p>
    <w:p w14:paraId="54BCD3E9">
      <w:pPr>
        <w:ind w:firstLine="560"/>
        <w:rPr>
          <w:color w:val="auto"/>
        </w:rPr>
      </w:pPr>
      <w:r>
        <w:rPr>
          <w:rFonts w:hint="eastAsia"/>
          <w:color w:val="auto"/>
        </w:rPr>
        <w:fldChar w:fldCharType="begin"/>
      </w:r>
      <w:r>
        <w:rPr>
          <w:rFonts w:hint="eastAsia"/>
          <w:color w:val="auto"/>
        </w:rPr>
        <w:instrText xml:space="preserve"> = 4 \* GB3 </w:instrText>
      </w:r>
      <w:r>
        <w:rPr>
          <w:rFonts w:hint="eastAsia"/>
          <w:color w:val="auto"/>
        </w:rPr>
        <w:fldChar w:fldCharType="separate"/>
      </w:r>
      <w:r>
        <w:rPr>
          <w:rFonts w:hint="eastAsia"/>
          <w:color w:val="auto"/>
        </w:rPr>
        <w:t>④</w:t>
      </w:r>
      <w:r>
        <w:rPr>
          <w:rFonts w:hint="eastAsia"/>
          <w:color w:val="auto"/>
        </w:rPr>
        <w:fldChar w:fldCharType="end"/>
      </w:r>
      <w:r>
        <w:rPr>
          <w:rFonts w:hint="eastAsia"/>
          <w:color w:val="auto"/>
        </w:rPr>
        <w:t>不应单人作业，应进行监护。</w:t>
      </w:r>
    </w:p>
    <w:p w14:paraId="126B83A7">
      <w:pPr>
        <w:ind w:firstLine="560"/>
        <w:rPr>
          <w:rFonts w:hint="eastAsia"/>
          <w:color w:val="auto"/>
        </w:rPr>
      </w:pPr>
      <w:r>
        <w:rPr>
          <w:rFonts w:hint="eastAsia"/>
          <w:color w:val="auto"/>
        </w:rPr>
        <w:t>(8)井下电缆选型及敷设应符合《金属非金属矿山安全规程》及《矿山电力设计标准》要求。</w:t>
      </w:r>
    </w:p>
    <w:p w14:paraId="11F820E7">
      <w:pPr>
        <w:pStyle w:val="4"/>
        <w:rPr>
          <w:color w:val="auto"/>
        </w:rPr>
      </w:pPr>
      <w:r>
        <w:rPr>
          <w:rFonts w:hint="eastAsia"/>
          <w:color w:val="auto"/>
        </w:rPr>
        <w:t>4.2.7</w:t>
      </w:r>
      <w:r>
        <w:rPr>
          <w:color w:val="auto"/>
        </w:rPr>
        <w:t>防排水与防灭火单元安全对策措施</w:t>
      </w:r>
    </w:p>
    <w:p w14:paraId="78EC7E5C">
      <w:pPr>
        <w:ind w:firstLine="560"/>
        <w:rPr>
          <w:color w:val="auto"/>
        </w:rPr>
      </w:pPr>
      <w:r>
        <w:rPr>
          <w:rFonts w:hint="eastAsia"/>
          <w:color w:val="auto"/>
        </w:rPr>
        <w:t>1、预防透水、淹溺事故安全对策措施</w:t>
      </w:r>
    </w:p>
    <w:p w14:paraId="15B5CED3">
      <w:pPr>
        <w:ind w:firstLine="560"/>
        <w:rPr>
          <w:color w:val="auto"/>
        </w:rPr>
      </w:pPr>
      <w:r>
        <w:rPr>
          <w:rFonts w:hint="eastAsia"/>
          <w:color w:val="auto"/>
        </w:rPr>
        <w:t>(1)在开拓过程中应加强水文地质工作，科学合理的进行井下涌水量预测。制定预防透水事故应急措施，配备应急救援物资，并根据要求应急演练。</w:t>
      </w:r>
    </w:p>
    <w:p w14:paraId="43F22782">
      <w:pPr>
        <w:ind w:firstLine="560"/>
        <w:rPr>
          <w:color w:val="auto"/>
        </w:rPr>
      </w:pPr>
      <w:r>
        <w:rPr>
          <w:rFonts w:hint="eastAsia"/>
          <w:color w:val="auto"/>
        </w:rPr>
        <w:t>(2)制定地面防、截、疏水措施，防止地表水(大气降水)通过任何渠道溃入井下。</w:t>
      </w:r>
    </w:p>
    <w:p w14:paraId="316B9C3C">
      <w:pPr>
        <w:ind w:firstLine="560"/>
        <w:rPr>
          <w:color w:val="auto"/>
        </w:rPr>
      </w:pPr>
      <w:r>
        <w:rPr>
          <w:rFonts w:hint="eastAsia"/>
          <w:color w:val="auto"/>
        </w:rPr>
        <w:t>(3)制定探放水措施。发现透水征兆坚持“有疑必探、先探后掘”的原则。</w:t>
      </w:r>
    </w:p>
    <w:p w14:paraId="6272F14E">
      <w:pPr>
        <w:ind w:firstLine="560"/>
        <w:rPr>
          <w:color w:val="auto"/>
        </w:rPr>
      </w:pPr>
      <w:r>
        <w:rPr>
          <w:rFonts w:hint="eastAsia"/>
          <w:color w:val="auto"/>
        </w:rPr>
        <w:t>(4)严格按照设计坡度开拓巷道及排水沟，避免造成巷道积水。</w:t>
      </w:r>
    </w:p>
    <w:p w14:paraId="0F446E4F">
      <w:pPr>
        <w:ind w:firstLine="560"/>
        <w:rPr>
          <w:color w:val="auto"/>
        </w:rPr>
      </w:pPr>
      <w:r>
        <w:rPr>
          <w:rFonts w:hint="eastAsia"/>
          <w:color w:val="auto"/>
        </w:rPr>
        <w:t>(5)容易积水的地点，应修筑泄水沟；泄水沟应避开矿层露头、裂缝和透水岩层；不能修筑沟渠时，可用泥土填平压实；范围太大无法填平时，可安装水泵排水。</w:t>
      </w:r>
    </w:p>
    <w:p w14:paraId="7E1712F2">
      <w:pPr>
        <w:ind w:firstLine="560"/>
        <w:rPr>
          <w:color w:val="auto"/>
        </w:rPr>
      </w:pPr>
      <w:r>
        <w:rPr>
          <w:rFonts w:hint="eastAsia"/>
          <w:color w:val="auto"/>
        </w:rPr>
        <w:t>(6)严格按照规范要求设置、安装排水设施，维护保养好排水设备，保证排水设备满足排水需要。</w:t>
      </w:r>
    </w:p>
    <w:p w14:paraId="3053077A">
      <w:pPr>
        <w:ind w:firstLine="560"/>
        <w:rPr>
          <w:color w:val="auto"/>
        </w:rPr>
      </w:pPr>
      <w:r>
        <w:rPr>
          <w:rFonts w:hint="eastAsia"/>
          <w:color w:val="auto"/>
        </w:rPr>
        <w:t>(7)保证电源可靠性。</w:t>
      </w:r>
    </w:p>
    <w:p w14:paraId="061AC987">
      <w:pPr>
        <w:ind w:firstLine="560"/>
        <w:rPr>
          <w:rFonts w:hint="eastAsia"/>
          <w:color w:val="auto"/>
        </w:rPr>
      </w:pPr>
      <w:r>
        <w:rPr>
          <w:rFonts w:hint="eastAsia"/>
          <w:color w:val="auto"/>
        </w:rPr>
        <w:t>(8)积水区域作业应配备救生衣，并有人进行监护；严禁进入积水区游泳、洗澡。</w:t>
      </w:r>
    </w:p>
    <w:p w14:paraId="2DD5AD6A">
      <w:pPr>
        <w:ind w:firstLine="560"/>
        <w:rPr>
          <w:rFonts w:hint="eastAsia" w:eastAsia="宋体"/>
          <w:color w:val="auto"/>
          <w:lang w:eastAsia="zh-CN"/>
        </w:rPr>
      </w:pPr>
      <w:r>
        <w:rPr>
          <w:rFonts w:hint="eastAsia"/>
          <w:color w:val="auto"/>
        </w:rPr>
        <w:t>(</w:t>
      </w:r>
      <w:r>
        <w:rPr>
          <w:rFonts w:hint="eastAsia"/>
          <w:color w:val="auto"/>
          <w:lang w:val="en-US" w:eastAsia="zh-CN"/>
        </w:rPr>
        <w:t>9</w:t>
      </w:r>
      <w:r>
        <w:rPr>
          <w:rFonts w:hint="eastAsia"/>
          <w:color w:val="auto"/>
        </w:rPr>
        <w:t>)</w:t>
      </w:r>
      <w:r>
        <w:rPr>
          <w:rFonts w:hint="eastAsia"/>
          <w:color w:val="auto"/>
          <w:lang w:eastAsia="zh-CN"/>
        </w:rPr>
        <w:t>保证排水系统有效，及时排出采空区内积水。建议在采空区设置积水观测设施。对采空区域基础进行检查和检测，确定其结构稳定性，并进行加固。这是为了避免岩层滑落和相关问题破坏采空区域的基础，加剧突水问题。加强采空区域的护体量，如安装脚手架、加强防护墙、围挡等护体措施，能有效防止其他不可预测情况的发生。</w:t>
      </w:r>
      <w:r>
        <w:rPr>
          <w:rFonts w:ascii="Arial" w:hAnsi="Arial" w:eastAsia="Arial" w:cs="Arial"/>
          <w:i w:val="0"/>
          <w:iCs w:val="0"/>
          <w:caps w:val="0"/>
          <w:color w:val="auto"/>
          <w:spacing w:val="0"/>
          <w:sz w:val="16"/>
          <w:szCs w:val="16"/>
          <w:shd w:val="clear" w:fill="FFFFFF"/>
        </w:rPr>
        <w:t>‌‌</w:t>
      </w:r>
    </w:p>
    <w:p w14:paraId="5531C651">
      <w:pPr>
        <w:ind w:firstLine="560"/>
        <w:rPr>
          <w:color w:val="auto"/>
        </w:rPr>
      </w:pPr>
      <w:r>
        <w:rPr>
          <w:rFonts w:hint="eastAsia"/>
          <w:color w:val="auto"/>
        </w:rPr>
        <w:t>2、预防火灾危险的安全对策措施</w:t>
      </w:r>
    </w:p>
    <w:p w14:paraId="15F2D39F">
      <w:pPr>
        <w:pStyle w:val="8"/>
        <w:rPr>
          <w:color w:val="auto"/>
        </w:rPr>
      </w:pPr>
      <w:r>
        <w:rPr>
          <w:rFonts w:hint="eastAsia"/>
          <w:color w:val="auto"/>
        </w:rPr>
        <w:t>(1)地面建筑和总体布局必须符合《建筑设计防火规范》(GB50016-2014)(2018年版)</w:t>
      </w:r>
      <w:r>
        <w:rPr>
          <w:rFonts w:hint="eastAsia"/>
          <w:color w:val="auto"/>
          <w:lang w:val="en-US" w:eastAsia="zh-CN"/>
        </w:rPr>
        <w:t>和</w:t>
      </w:r>
      <w:r>
        <w:rPr>
          <w:rFonts w:hint="eastAsia"/>
          <w:color w:val="auto"/>
          <w:lang w:eastAsia="zh-CN"/>
        </w:rPr>
        <w:t>《防火通用规范》</w:t>
      </w:r>
      <w:r>
        <w:rPr>
          <w:rFonts w:hint="eastAsia"/>
          <w:color w:val="auto"/>
        </w:rPr>
        <w:t>(</w:t>
      </w:r>
      <w:r>
        <w:rPr>
          <w:rFonts w:hint="eastAsia"/>
          <w:color w:val="auto"/>
          <w:lang w:val="en-US" w:eastAsia="zh-CN"/>
        </w:rPr>
        <w:t>GB55037-2022</w:t>
      </w:r>
      <w:r>
        <w:rPr>
          <w:rFonts w:hint="eastAsia"/>
          <w:color w:val="auto"/>
        </w:rPr>
        <w:t>)的要求。</w:t>
      </w:r>
    </w:p>
    <w:p w14:paraId="6E150728">
      <w:pPr>
        <w:ind w:firstLine="560"/>
        <w:rPr>
          <w:color w:val="auto"/>
        </w:rPr>
      </w:pPr>
      <w:r>
        <w:rPr>
          <w:rFonts w:hint="eastAsia"/>
          <w:color w:val="auto"/>
        </w:rPr>
        <w:t>(2)建立完善的消防制度。消防设施和消防器材的数量应满足消防需要；对消防设施和器材要定期进行检查，使其经常处于良好状态。</w:t>
      </w:r>
    </w:p>
    <w:p w14:paraId="459E8380">
      <w:pPr>
        <w:ind w:firstLine="560"/>
        <w:rPr>
          <w:color w:val="auto"/>
        </w:rPr>
      </w:pPr>
      <w:r>
        <w:rPr>
          <w:rFonts w:hint="eastAsia"/>
          <w:color w:val="auto"/>
        </w:rPr>
        <w:t>(</w:t>
      </w:r>
      <w:r>
        <w:rPr>
          <w:rFonts w:hint="eastAsia"/>
          <w:color w:val="auto"/>
          <w:lang w:val="en-US" w:eastAsia="zh-CN"/>
        </w:rPr>
        <w:t>3</w:t>
      </w:r>
      <w:r>
        <w:rPr>
          <w:rFonts w:hint="eastAsia"/>
          <w:color w:val="auto"/>
        </w:rPr>
        <w:t>)主要进风巷道、进风井筒及井口建筑物，主扇风机房和风硐、局扇风筒、井下机电硐室、输电线缆等均应用非可燃性材料建筑。</w:t>
      </w:r>
    </w:p>
    <w:p w14:paraId="262582D0">
      <w:pPr>
        <w:ind w:firstLine="560"/>
        <w:rPr>
          <w:color w:val="auto"/>
        </w:rPr>
      </w:pPr>
      <w:r>
        <w:rPr>
          <w:rFonts w:hint="eastAsia"/>
          <w:color w:val="auto"/>
        </w:rPr>
        <w:t>(</w:t>
      </w:r>
      <w:r>
        <w:rPr>
          <w:rFonts w:hint="eastAsia"/>
          <w:color w:val="auto"/>
          <w:lang w:val="en-US" w:eastAsia="zh-CN"/>
        </w:rPr>
        <w:t>4</w:t>
      </w:r>
      <w:r>
        <w:rPr>
          <w:rFonts w:hint="eastAsia"/>
          <w:color w:val="auto"/>
        </w:rPr>
        <w:t>)在易发生火灾的场所进行动火作业，必须制订安全措施，并要设专人监护。</w:t>
      </w:r>
    </w:p>
    <w:p w14:paraId="7F60598F">
      <w:pPr>
        <w:ind w:firstLine="560"/>
        <w:rPr>
          <w:color w:val="auto"/>
        </w:rPr>
      </w:pPr>
      <w:r>
        <w:rPr>
          <w:rFonts w:hint="eastAsia"/>
          <w:color w:val="auto"/>
        </w:rPr>
        <w:t>(</w:t>
      </w:r>
      <w:r>
        <w:rPr>
          <w:rFonts w:hint="eastAsia"/>
          <w:color w:val="auto"/>
          <w:lang w:val="en-US" w:eastAsia="zh-CN"/>
        </w:rPr>
        <w:t>5</w:t>
      </w:r>
      <w:r>
        <w:rPr>
          <w:rFonts w:hint="eastAsia"/>
          <w:color w:val="auto"/>
        </w:rPr>
        <w:t>)预防电气火灾的安全对策措施</w:t>
      </w:r>
    </w:p>
    <w:p w14:paraId="35645C31">
      <w:pPr>
        <w:ind w:firstLine="560"/>
        <w:rPr>
          <w:color w:val="auto"/>
        </w:rPr>
      </w:pPr>
      <w:r>
        <w:rPr>
          <w:rFonts w:hint="eastAsia"/>
          <w:color w:val="auto"/>
        </w:rPr>
        <w:t>①井上下用电设备和供电缆线</w:t>
      </w:r>
      <w:r>
        <w:rPr>
          <w:rFonts w:hint="eastAsia"/>
          <w:color w:val="auto"/>
          <w:lang w:val="en-US" w:eastAsia="zh-CN"/>
        </w:rPr>
        <w:t>应</w:t>
      </w:r>
      <w:r>
        <w:rPr>
          <w:rFonts w:hint="eastAsia"/>
          <w:color w:val="auto"/>
        </w:rPr>
        <w:t>及时检查和维护，绝缘破损、老化等问题应及时处理或更换。</w:t>
      </w:r>
    </w:p>
    <w:p w14:paraId="4FBA4B51">
      <w:pPr>
        <w:ind w:firstLine="560"/>
        <w:rPr>
          <w:color w:val="auto"/>
        </w:rPr>
      </w:pPr>
      <w:r>
        <w:rPr>
          <w:rFonts w:hint="eastAsia"/>
          <w:color w:val="auto"/>
        </w:rPr>
        <w:t>②电气设备的绝缘尽可能采用非油质材料。</w:t>
      </w:r>
    </w:p>
    <w:p w14:paraId="734DA01C">
      <w:pPr>
        <w:ind w:firstLine="560"/>
        <w:rPr>
          <w:color w:val="auto"/>
        </w:rPr>
      </w:pPr>
      <w:r>
        <w:rPr>
          <w:rFonts w:hint="eastAsia"/>
          <w:color w:val="auto"/>
        </w:rPr>
        <w:t>③井下线路装设相间短路和过负荷保护。</w:t>
      </w:r>
    </w:p>
    <w:p w14:paraId="2105A583">
      <w:pPr>
        <w:ind w:firstLine="560"/>
        <w:rPr>
          <w:color w:val="auto"/>
        </w:rPr>
      </w:pPr>
      <w:r>
        <w:rPr>
          <w:rFonts w:hint="eastAsia"/>
          <w:color w:val="auto"/>
        </w:rPr>
        <w:t>④井下电气设备应选用外壳机械强度强，具有防潮、防滴溅的性能。</w:t>
      </w:r>
    </w:p>
    <w:p w14:paraId="1AD15052">
      <w:pPr>
        <w:ind w:firstLine="560"/>
        <w:rPr>
          <w:color w:val="auto"/>
        </w:rPr>
      </w:pPr>
      <w:r>
        <w:rPr>
          <w:rFonts w:hint="eastAsia"/>
          <w:color w:val="auto"/>
        </w:rPr>
        <w:t>⑤选用阻燃电缆。</w:t>
      </w:r>
    </w:p>
    <w:p w14:paraId="46A7097D">
      <w:pPr>
        <w:ind w:firstLine="560"/>
        <w:rPr>
          <w:color w:val="auto"/>
        </w:rPr>
      </w:pPr>
      <w:r>
        <w:rPr>
          <w:rFonts w:hint="eastAsia"/>
          <w:color w:val="auto"/>
        </w:rPr>
        <w:t>⑥不得在带电的导线、设备、变压器、油开关等附近，堆放易燃易爆物品。</w:t>
      </w:r>
    </w:p>
    <w:p w14:paraId="46FE4FFD">
      <w:pPr>
        <w:ind w:firstLine="560"/>
        <w:rPr>
          <w:color w:val="auto"/>
        </w:rPr>
      </w:pPr>
      <w:r>
        <w:rPr>
          <w:rFonts w:hint="eastAsia"/>
          <w:color w:val="auto"/>
        </w:rPr>
        <w:t>⑦矿山电气设备、线路，应设置可靠的防雷、接地装置。</w:t>
      </w:r>
    </w:p>
    <w:p w14:paraId="59A3D46D">
      <w:pPr>
        <w:ind w:firstLine="560"/>
        <w:rPr>
          <w:color w:val="auto"/>
        </w:rPr>
      </w:pPr>
      <w:r>
        <w:rPr>
          <w:rFonts w:hint="eastAsia"/>
          <w:color w:val="auto"/>
        </w:rPr>
        <w:t>(</w:t>
      </w:r>
      <w:r>
        <w:rPr>
          <w:rFonts w:hint="eastAsia"/>
          <w:color w:val="auto"/>
          <w:lang w:val="en-US" w:eastAsia="zh-CN"/>
        </w:rPr>
        <w:t>6</w:t>
      </w:r>
      <w:r>
        <w:rPr>
          <w:rFonts w:hint="eastAsia"/>
          <w:color w:val="auto"/>
        </w:rPr>
        <w:t>)主扇风机应安装反风装置，并要定期进行反风试验。</w:t>
      </w:r>
    </w:p>
    <w:p w14:paraId="11585ECE">
      <w:pPr>
        <w:ind w:firstLine="560"/>
        <w:rPr>
          <w:color w:val="auto"/>
        </w:rPr>
      </w:pPr>
      <w:r>
        <w:rPr>
          <w:rFonts w:hint="eastAsia"/>
          <w:color w:val="auto"/>
        </w:rPr>
        <w:t>(</w:t>
      </w:r>
      <w:r>
        <w:rPr>
          <w:rFonts w:hint="eastAsia"/>
          <w:color w:val="auto"/>
          <w:lang w:val="en-US" w:eastAsia="zh-CN"/>
        </w:rPr>
        <w:t>7</w:t>
      </w:r>
      <w:r>
        <w:rPr>
          <w:rFonts w:hint="eastAsia"/>
          <w:color w:val="auto"/>
        </w:rPr>
        <w:t>)矿井和采区必须保持具备两个以上符合规定的安全出口，井下避灾路线必须畅通，主要巷道及交叉路口处要设置明显的指示路标，矿山应定期进行避灾演练。入井人员要熟悉避灾路线，掌握避灾、自救知识。</w:t>
      </w:r>
    </w:p>
    <w:p w14:paraId="4289066E">
      <w:pPr>
        <w:ind w:firstLine="560"/>
        <w:rPr>
          <w:rFonts w:hint="default" w:eastAsia="宋体"/>
          <w:color w:val="auto"/>
          <w:lang w:val="en-US" w:eastAsia="zh-CN"/>
        </w:rPr>
      </w:pPr>
      <w:r>
        <w:rPr>
          <w:rFonts w:hint="eastAsia"/>
          <w:color w:val="auto"/>
        </w:rPr>
        <w:t>(</w:t>
      </w:r>
      <w:r>
        <w:rPr>
          <w:rFonts w:hint="eastAsia"/>
          <w:color w:val="auto"/>
          <w:lang w:val="en-US" w:eastAsia="zh-CN"/>
        </w:rPr>
        <w:t>8</w:t>
      </w:r>
      <w:r>
        <w:rPr>
          <w:rFonts w:hint="eastAsia"/>
          <w:color w:val="auto"/>
        </w:rPr>
        <w:t>)消防水池容积和消防管路系统必须符合要求，并经常维护保养，定期进行试验，使其保持完好状态。</w:t>
      </w:r>
    </w:p>
    <w:p w14:paraId="73C35F12">
      <w:pPr>
        <w:pStyle w:val="4"/>
        <w:rPr>
          <w:color w:val="auto"/>
        </w:rPr>
      </w:pPr>
      <w:r>
        <w:rPr>
          <w:rFonts w:hint="eastAsia"/>
          <w:color w:val="auto"/>
        </w:rPr>
        <w:t>4.2.</w:t>
      </w:r>
      <w:r>
        <w:rPr>
          <w:rFonts w:hint="eastAsia"/>
          <w:color w:val="auto"/>
          <w:lang w:val="en-US" w:eastAsia="zh-CN"/>
        </w:rPr>
        <w:t>8</w:t>
      </w:r>
      <w:r>
        <w:rPr>
          <w:rFonts w:hint="eastAsia"/>
          <w:color w:val="auto"/>
        </w:rPr>
        <w:t>安全避险“六大系统”对策措施</w:t>
      </w:r>
    </w:p>
    <w:p w14:paraId="3F91EC14">
      <w:pPr>
        <w:ind w:firstLine="560"/>
        <w:rPr>
          <w:color w:val="auto"/>
        </w:rPr>
      </w:pPr>
      <w:r>
        <w:rPr>
          <w:rFonts w:hint="eastAsia"/>
          <w:color w:val="auto"/>
        </w:rPr>
        <w:t>矿山应严格按照规范要求进行安全避险“六大系统”的建设，从源头上控制安全风险、从根本上提升矿山安全保障能力。并在日常工作中加强管理和维护，确保各系统正常运行。</w:t>
      </w:r>
    </w:p>
    <w:p w14:paraId="414198B9">
      <w:pPr>
        <w:ind w:firstLine="560"/>
        <w:rPr>
          <w:color w:val="auto"/>
        </w:rPr>
      </w:pPr>
      <w:r>
        <w:rPr>
          <w:rFonts w:hint="eastAsia"/>
          <w:color w:val="auto"/>
        </w:rPr>
        <w:t>矿山应建立安全避险“六大系统”相关的管理制度，设置专业人员进行管理维护。</w:t>
      </w:r>
    </w:p>
    <w:p w14:paraId="3F4A52A5">
      <w:pPr>
        <w:ind w:firstLine="560"/>
        <w:rPr>
          <w:rFonts w:hint="eastAsia"/>
          <w:color w:val="auto"/>
        </w:rPr>
      </w:pPr>
      <w:r>
        <w:rPr>
          <w:rFonts w:hint="eastAsia"/>
          <w:color w:val="auto"/>
        </w:rPr>
        <w:t>矿山每年应开展一次安全避险“六大系统”应急演练，并建立应急演练档案。</w:t>
      </w:r>
    </w:p>
    <w:p w14:paraId="06E3C6CF">
      <w:pPr>
        <w:pStyle w:val="4"/>
        <w:rPr>
          <w:color w:val="auto"/>
        </w:rPr>
      </w:pPr>
      <w:r>
        <w:rPr>
          <w:rFonts w:hint="eastAsia"/>
          <w:color w:val="auto"/>
        </w:rPr>
        <w:t>4.2.</w:t>
      </w:r>
      <w:r>
        <w:rPr>
          <w:rFonts w:hint="eastAsia"/>
          <w:color w:val="auto"/>
          <w:lang w:val="en-US" w:eastAsia="zh-CN"/>
        </w:rPr>
        <w:t>9</w:t>
      </w:r>
      <w:r>
        <w:rPr>
          <w:rFonts w:hint="eastAsia"/>
          <w:color w:val="auto"/>
        </w:rPr>
        <w:t>安全管理及其他</w:t>
      </w:r>
      <w:r>
        <w:rPr>
          <w:color w:val="auto"/>
        </w:rPr>
        <w:t>单元安全对策措施</w:t>
      </w:r>
    </w:p>
    <w:p w14:paraId="16F9D62D">
      <w:pPr>
        <w:ind w:firstLine="560"/>
        <w:rPr>
          <w:color w:val="auto"/>
        </w:rPr>
      </w:pPr>
      <w:r>
        <w:rPr>
          <w:rFonts w:hint="eastAsia"/>
          <w:color w:val="auto"/>
        </w:rPr>
        <w:t>1、安全管理对策措施</w:t>
      </w:r>
    </w:p>
    <w:p w14:paraId="092F2D6C">
      <w:pPr>
        <w:ind w:firstLine="560"/>
        <w:rPr>
          <w:color w:val="auto"/>
        </w:rPr>
      </w:pPr>
      <w:r>
        <w:rPr>
          <w:rFonts w:hint="eastAsia"/>
          <w:color w:val="auto"/>
        </w:rPr>
        <w:t>(1)</w:t>
      </w:r>
      <w:r>
        <w:rPr>
          <w:color w:val="auto"/>
        </w:rPr>
        <w:t>建立机构，配备人员，完善制度</w:t>
      </w:r>
    </w:p>
    <w:p w14:paraId="4D63A050">
      <w:pPr>
        <w:keepNext w:val="0"/>
        <w:keepLines w:val="0"/>
        <w:pageBreakBefore w:val="0"/>
        <w:widowControl w:val="0"/>
        <w:kinsoku/>
        <w:wordWrap/>
        <w:overflowPunct/>
        <w:topLinePunct w:val="0"/>
        <w:autoSpaceDE/>
        <w:autoSpaceDN/>
        <w:bidi w:val="0"/>
        <w:spacing w:line="520" w:lineRule="exact"/>
        <w:ind w:firstLine="560"/>
        <w:textAlignment w:val="auto"/>
        <w:rPr>
          <w:rFonts w:hint="eastAsia" w:ascii="宋体" w:hAnsi="宋体" w:eastAsia="宋体" w:cs="宋体"/>
          <w:color w:val="auto"/>
        </w:rPr>
      </w:pPr>
      <w:r>
        <w:rPr>
          <w:rFonts w:hint="eastAsia" w:ascii="宋体" w:hAnsi="宋体" w:eastAsia="宋体" w:cs="宋体"/>
          <w:color w:val="auto"/>
        </w:rPr>
        <w:fldChar w:fldCharType="begin"/>
      </w:r>
      <w:r>
        <w:rPr>
          <w:rFonts w:hint="eastAsia" w:ascii="宋体" w:hAnsi="宋体" w:eastAsia="宋体" w:cs="宋体"/>
          <w:color w:val="auto"/>
        </w:rPr>
        <w:instrText xml:space="preserve"> = 1 \* GB3 </w:instrText>
      </w:r>
      <w:r>
        <w:rPr>
          <w:rFonts w:hint="eastAsia" w:ascii="宋体" w:hAnsi="宋体" w:eastAsia="宋体" w:cs="宋体"/>
          <w:color w:val="auto"/>
        </w:rPr>
        <w:fldChar w:fldCharType="separate"/>
      </w:r>
      <w:r>
        <w:rPr>
          <w:rFonts w:hint="eastAsia" w:ascii="宋体" w:hAnsi="宋体" w:eastAsia="宋体" w:cs="宋体"/>
          <w:color w:val="auto"/>
        </w:rPr>
        <w:t>①</w:t>
      </w:r>
      <w:r>
        <w:rPr>
          <w:rFonts w:hint="eastAsia" w:ascii="宋体" w:hAnsi="宋体" w:eastAsia="宋体" w:cs="宋体"/>
          <w:color w:val="auto"/>
        </w:rPr>
        <w:fldChar w:fldCharType="end"/>
      </w:r>
      <w:r>
        <w:rPr>
          <w:rFonts w:hint="eastAsia" w:ascii="宋体" w:hAnsi="宋体" w:eastAsia="宋体" w:cs="宋体"/>
          <w:color w:val="auto"/>
        </w:rPr>
        <w:t>设立专门安全管理机构(不得与其他机构合并设置)，配备专职安全管理人员。地下矿山专职安全管理人员不少于3人。应当有注册安全工程师从事安全生产管理工作。</w:t>
      </w:r>
    </w:p>
    <w:p w14:paraId="628B9CDC">
      <w:pPr>
        <w:pStyle w:val="32"/>
        <w:keepNext w:val="0"/>
        <w:keepLines w:val="0"/>
        <w:pageBreakBefore w:val="0"/>
        <w:widowControl w:val="0"/>
        <w:kinsoku/>
        <w:wordWrap/>
        <w:overflowPunct/>
        <w:topLinePunct w:val="0"/>
        <w:autoSpaceDE/>
        <w:autoSpaceDN/>
        <w:bidi w:val="0"/>
        <w:spacing w:before="0" w:beforeLines="0" w:line="520" w:lineRule="exact"/>
        <w:textAlignment w:val="auto"/>
        <w:rPr>
          <w:rFonts w:hint="default" w:ascii="宋体" w:hAnsi="宋体" w:eastAsia="宋体" w:cs="宋体"/>
          <w:color w:val="auto"/>
          <w:lang w:val="en-US" w:eastAsia="zh-CN"/>
        </w:rPr>
      </w:pPr>
      <w:r>
        <w:rPr>
          <w:rFonts w:hint="eastAsia" w:ascii="宋体" w:hAnsi="宋体" w:eastAsia="宋体" w:cs="宋体"/>
          <w:color w:val="auto"/>
        </w:rPr>
        <w:fldChar w:fldCharType="begin"/>
      </w:r>
      <w:r>
        <w:rPr>
          <w:rFonts w:hint="eastAsia" w:ascii="宋体" w:hAnsi="宋体" w:eastAsia="宋体" w:cs="宋体"/>
          <w:color w:val="auto"/>
        </w:rPr>
        <w:instrText xml:space="preserve"> = 2 \* GB3 </w:instrText>
      </w:r>
      <w:r>
        <w:rPr>
          <w:rFonts w:hint="eastAsia" w:ascii="宋体" w:hAnsi="宋体" w:eastAsia="宋体" w:cs="宋体"/>
          <w:color w:val="auto"/>
        </w:rPr>
        <w:fldChar w:fldCharType="separate"/>
      </w:r>
      <w:r>
        <w:rPr>
          <w:rFonts w:hint="eastAsia" w:ascii="宋体" w:hAnsi="宋体" w:eastAsia="宋体" w:cs="宋体"/>
          <w:color w:val="auto"/>
        </w:rPr>
        <w:t>②</w:t>
      </w:r>
      <w:r>
        <w:rPr>
          <w:rFonts w:hint="eastAsia" w:ascii="宋体" w:hAnsi="宋体" w:eastAsia="宋体" w:cs="宋体"/>
          <w:color w:val="auto"/>
        </w:rPr>
        <w:fldChar w:fldCharType="end"/>
      </w:r>
      <w:r>
        <w:rPr>
          <w:rFonts w:hint="eastAsia" w:ascii="宋体" w:hAnsi="宋体" w:eastAsia="宋体" w:cs="宋体"/>
          <w:color w:val="auto"/>
        </w:rPr>
        <w:t>设立技术管理机构</w:t>
      </w:r>
      <w:r>
        <w:rPr>
          <w:rFonts w:hint="eastAsia" w:ascii="宋体" w:hAnsi="宋体" w:eastAsia="宋体" w:cs="宋体"/>
          <w:color w:val="auto"/>
          <w:lang w:eastAsia="zh-CN"/>
        </w:rPr>
        <w:t>，</w:t>
      </w:r>
      <w:r>
        <w:rPr>
          <w:rFonts w:hint="eastAsia" w:ascii="宋体" w:hAnsi="宋体" w:eastAsia="宋体" w:cs="宋体"/>
          <w:color w:val="auto"/>
        </w:rPr>
        <w:t>配备专职的矿长、总工程师和分管安全、生产、机电的副矿长</w:t>
      </w:r>
      <w:r>
        <w:rPr>
          <w:rFonts w:hint="eastAsia" w:ascii="宋体" w:hAnsi="宋体" w:cs="宋体"/>
          <w:color w:val="auto"/>
          <w:lang w:eastAsia="zh-CN"/>
        </w:rPr>
        <w:t>。</w:t>
      </w:r>
      <w:r>
        <w:rPr>
          <w:rFonts w:hint="eastAsia" w:ascii="宋体" w:hAnsi="宋体" w:cs="宋体"/>
          <w:color w:val="auto"/>
          <w:lang w:val="en-US" w:eastAsia="zh-CN"/>
        </w:rPr>
        <w:t>五职矿山</w:t>
      </w:r>
      <w:r>
        <w:rPr>
          <w:rFonts w:hint="eastAsia" w:ascii="宋体" w:hAnsi="宋体" w:eastAsia="宋体" w:cs="宋体"/>
          <w:color w:val="auto"/>
        </w:rPr>
        <w:t>应当具有采矿、地质、矿建</w:t>
      </w:r>
      <w:r>
        <w:rPr>
          <w:rFonts w:hint="eastAsia" w:ascii="宋体" w:hAnsi="宋体" w:cs="宋体"/>
          <w:color w:val="auto"/>
          <w:lang w:eastAsia="zh-CN"/>
        </w:rPr>
        <w:t>(</w:t>
      </w:r>
      <w:r>
        <w:rPr>
          <w:rFonts w:hint="eastAsia" w:ascii="宋体" w:hAnsi="宋体" w:eastAsia="宋体" w:cs="宋体"/>
          <w:color w:val="auto"/>
        </w:rPr>
        <w:t>井建</w:t>
      </w:r>
      <w:r>
        <w:rPr>
          <w:rFonts w:hint="eastAsia" w:ascii="宋体" w:hAnsi="宋体" w:cs="宋体"/>
          <w:color w:val="auto"/>
          <w:lang w:eastAsia="zh-CN"/>
        </w:rPr>
        <w:t>)</w:t>
      </w:r>
      <w:r>
        <w:rPr>
          <w:rFonts w:hint="eastAsia" w:ascii="宋体" w:hAnsi="宋体" w:eastAsia="宋体" w:cs="宋体"/>
          <w:color w:val="auto"/>
        </w:rPr>
        <w:t>、通风、测量、机电、安全等矿山相关专业大专及以上学历</w:t>
      </w:r>
      <w:r>
        <w:rPr>
          <w:rFonts w:hint="eastAsia" w:ascii="宋体" w:hAnsi="宋体" w:cs="宋体"/>
          <w:color w:val="auto"/>
          <w:lang w:val="en-US" w:eastAsia="zh-CN"/>
        </w:rPr>
        <w:t>且10年以上一线从业经历</w:t>
      </w:r>
      <w:r>
        <w:rPr>
          <w:rFonts w:hint="eastAsia" w:ascii="宋体" w:hAnsi="宋体" w:eastAsia="宋体" w:cs="宋体"/>
          <w:color w:val="auto"/>
        </w:rPr>
        <w:t>。</w:t>
      </w:r>
      <w:r>
        <w:rPr>
          <w:rFonts w:hint="eastAsia" w:ascii="宋体" w:hAnsi="宋体" w:cs="宋体"/>
          <w:color w:val="auto"/>
          <w:lang w:val="en-US" w:eastAsia="zh-CN"/>
        </w:rPr>
        <w:t>职能部门负责人应为主体专业毕业且有5年以上一线从业经历。</w:t>
      </w:r>
    </w:p>
    <w:p w14:paraId="7D1A4405">
      <w:pPr>
        <w:pStyle w:val="32"/>
        <w:keepNext w:val="0"/>
        <w:keepLines w:val="0"/>
        <w:pageBreakBefore w:val="0"/>
        <w:widowControl w:val="0"/>
        <w:kinsoku/>
        <w:wordWrap/>
        <w:overflowPunct/>
        <w:topLinePunct w:val="0"/>
        <w:autoSpaceDE/>
        <w:autoSpaceDN/>
        <w:bidi w:val="0"/>
        <w:spacing w:before="0" w:beforeLines="0" w:line="520" w:lineRule="exact"/>
        <w:textAlignment w:val="auto"/>
        <w:rPr>
          <w:color w:val="auto"/>
        </w:rPr>
      </w:pPr>
      <w:r>
        <w:rPr>
          <w:rFonts w:hint="eastAsia" w:ascii="宋体" w:hAnsi="宋体" w:eastAsia="宋体" w:cs="宋体"/>
          <w:color w:val="auto"/>
        </w:rPr>
        <w:fldChar w:fldCharType="begin"/>
      </w:r>
      <w:r>
        <w:rPr>
          <w:rFonts w:hint="eastAsia" w:ascii="宋体" w:hAnsi="宋体" w:eastAsia="宋体" w:cs="宋体"/>
          <w:color w:val="auto"/>
        </w:rPr>
        <w:instrText xml:space="preserve"> = 3 \* GB3 </w:instrText>
      </w:r>
      <w:r>
        <w:rPr>
          <w:rFonts w:hint="eastAsia" w:ascii="宋体" w:hAnsi="宋体" w:eastAsia="宋体" w:cs="宋体"/>
          <w:color w:val="auto"/>
        </w:rPr>
        <w:fldChar w:fldCharType="separate"/>
      </w:r>
      <w:r>
        <w:rPr>
          <w:rFonts w:hint="eastAsia" w:ascii="宋体" w:hAnsi="宋体" w:eastAsia="宋体" w:cs="宋体"/>
          <w:color w:val="auto"/>
        </w:rPr>
        <w:t>③</w:t>
      </w:r>
      <w:r>
        <w:rPr>
          <w:rFonts w:hint="eastAsia" w:ascii="宋体" w:hAnsi="宋体" w:eastAsia="宋体" w:cs="宋体"/>
          <w:color w:val="auto"/>
        </w:rPr>
        <w:fldChar w:fldCharType="end"/>
      </w:r>
      <w:r>
        <w:rPr>
          <w:rFonts w:hint="eastAsia" w:ascii="宋体" w:hAnsi="宋体" w:eastAsia="宋体" w:cs="宋体"/>
          <w:color w:val="auto"/>
        </w:rPr>
        <w:t>建立、完善各项安全管理制度。金属非金属矿山企业应重点健全和完善18项安全管理制度：a安全生产责任制度；b安全目标管理制度；c安全例会制度；d安全检查制度；e安全教育培训制度；f设备管理制度；g危险源管理制度；h事故隐患排查与整改制度；i安全技术措施审批制度；j安全生产投入保障制度；k劳动防护用品管理制度；l职业卫生管理制度；m事故管理制度；n应急管理制度；o安全标准化管理制度；p特种作业人员管理制度；q安全奖惩制度；r安全生产档案管理制度等。</w:t>
      </w:r>
    </w:p>
    <w:p w14:paraId="6D06B8C7">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textAlignment w:val="auto"/>
        <w:rPr>
          <w:rFonts w:hint="eastAsia"/>
          <w:color w:val="auto"/>
        </w:rPr>
      </w:pPr>
      <w:r>
        <w:rPr>
          <w:rFonts w:hint="eastAsia"/>
          <w:color w:val="auto"/>
        </w:rPr>
        <w:t>(</w:t>
      </w:r>
      <w:r>
        <w:rPr>
          <w:rFonts w:hint="eastAsia"/>
          <w:color w:val="auto"/>
          <w:lang w:val="en-US" w:eastAsia="zh-CN"/>
        </w:rPr>
        <w:t>2</w:t>
      </w:r>
      <w:r>
        <w:rPr>
          <w:rFonts w:hint="eastAsia"/>
          <w:color w:val="auto"/>
        </w:rPr>
        <w:t>)非煤矿山企业应当严格执行《生产经营单位安全培训规定》</w:t>
      </w:r>
      <w:r>
        <w:rPr>
          <w:rFonts w:hint="eastAsia"/>
          <w:color w:val="auto"/>
          <w:lang w:eastAsia="zh-CN"/>
        </w:rPr>
        <w:t>(</w:t>
      </w:r>
      <w:r>
        <w:rPr>
          <w:rFonts w:hint="eastAsia"/>
          <w:color w:val="auto"/>
        </w:rPr>
        <w:t>原国家安全监管总局令第3号</w:t>
      </w:r>
      <w:r>
        <w:rPr>
          <w:rFonts w:hint="eastAsia"/>
          <w:color w:val="auto"/>
          <w:lang w:eastAsia="zh-CN"/>
        </w:rPr>
        <w:t>)</w:t>
      </w:r>
      <w:r>
        <w:rPr>
          <w:rFonts w:hint="eastAsia"/>
          <w:color w:val="auto"/>
        </w:rPr>
        <w:t>、《特种作业人员安全技术培训考核管理规定》</w:t>
      </w:r>
      <w:r>
        <w:rPr>
          <w:rFonts w:hint="eastAsia"/>
          <w:color w:val="auto"/>
          <w:lang w:eastAsia="zh-CN"/>
        </w:rPr>
        <w:t>(</w:t>
      </w:r>
      <w:r>
        <w:rPr>
          <w:rFonts w:hint="eastAsia"/>
          <w:color w:val="auto"/>
        </w:rPr>
        <w:t>原国家安全监管总局令第30号</w:t>
      </w:r>
      <w:r>
        <w:rPr>
          <w:rFonts w:hint="eastAsia"/>
          <w:color w:val="auto"/>
          <w:lang w:eastAsia="zh-CN"/>
        </w:rPr>
        <w:t>)</w:t>
      </w:r>
      <w:r>
        <w:rPr>
          <w:rFonts w:hint="eastAsia"/>
          <w:color w:val="auto"/>
        </w:rPr>
        <w:t>等规章，强化从业人员安全素质和技能提升，不得安排未经安全生产培训合格的从业人员上岗。建立包括外包施工单位从业人员在内的安全培训档案，实行"一人一档"。</w:t>
      </w:r>
    </w:p>
    <w:p w14:paraId="08D93F34">
      <w:pPr>
        <w:ind w:firstLine="560"/>
        <w:rPr>
          <w:color w:val="auto"/>
        </w:rPr>
      </w:pPr>
      <w:r>
        <w:rPr>
          <w:rFonts w:hint="eastAsia"/>
          <w:color w:val="auto"/>
        </w:rPr>
        <w:t>(3)企业应加强安全生产标准化管理体系建设，建立健全安全风险分级管控和事故隐患排查治理双重预防机制</w:t>
      </w:r>
      <w:r>
        <w:rPr>
          <w:color w:val="auto"/>
        </w:rPr>
        <w:t>。</w:t>
      </w:r>
    </w:p>
    <w:p w14:paraId="257708A0">
      <w:pPr>
        <w:ind w:firstLine="560"/>
        <w:rPr>
          <w:color w:val="auto"/>
        </w:rPr>
      </w:pPr>
      <w:r>
        <w:rPr>
          <w:rFonts w:hint="eastAsia"/>
          <w:color w:val="auto"/>
        </w:rPr>
        <w:t>(4)</w:t>
      </w:r>
      <w:r>
        <w:rPr>
          <w:color w:val="auto"/>
        </w:rPr>
        <w:t>加强安全生产现场管理。</w:t>
      </w:r>
    </w:p>
    <w:p w14:paraId="0C014F76">
      <w:pPr>
        <w:ind w:firstLine="560"/>
        <w:rPr>
          <w:color w:val="auto"/>
        </w:rPr>
      </w:pPr>
      <w:r>
        <w:rPr>
          <w:color w:val="auto"/>
        </w:rPr>
        <w:fldChar w:fldCharType="begin"/>
      </w:r>
      <w:r>
        <w:rPr>
          <w:color w:val="auto"/>
        </w:rPr>
        <w:instrText xml:space="preserve"> </w:instrText>
      </w:r>
      <w:r>
        <w:rPr>
          <w:rFonts w:hint="eastAsia"/>
          <w:color w:val="auto"/>
        </w:rPr>
        <w:instrText xml:space="preserve">= 1 \* GB3</w:instrText>
      </w:r>
      <w:r>
        <w:rPr>
          <w:color w:val="auto"/>
        </w:rPr>
        <w:instrText xml:space="preserve"> </w:instrText>
      </w:r>
      <w:r>
        <w:rPr>
          <w:color w:val="auto"/>
        </w:rPr>
        <w:fldChar w:fldCharType="separate"/>
      </w:r>
      <w:r>
        <w:rPr>
          <w:rFonts w:hint="eastAsia"/>
          <w:color w:val="auto"/>
        </w:rPr>
        <w:t>①</w:t>
      </w:r>
      <w:r>
        <w:rPr>
          <w:color w:val="auto"/>
        </w:rPr>
        <w:fldChar w:fldCharType="end"/>
      </w:r>
      <w:r>
        <w:rPr>
          <w:color w:val="auto"/>
        </w:rPr>
        <w:t xml:space="preserve">加大现场安全管理力度。 </w:t>
      </w:r>
    </w:p>
    <w:p w14:paraId="3D16CCDF">
      <w:pPr>
        <w:ind w:firstLine="560"/>
        <w:rPr>
          <w:color w:val="auto"/>
        </w:rPr>
      </w:pPr>
      <w:r>
        <w:rPr>
          <w:rFonts w:hint="eastAsia"/>
          <w:color w:val="auto"/>
        </w:rPr>
        <w:t>②</w:t>
      </w:r>
      <w:r>
        <w:rPr>
          <w:color w:val="auto"/>
        </w:rPr>
        <w:t>全体员工</w:t>
      </w:r>
      <w:r>
        <w:rPr>
          <w:rFonts w:hint="eastAsia"/>
          <w:color w:val="auto"/>
        </w:rPr>
        <w:t>都要学习安全法规和矿山制定的规章制度，并且</w:t>
      </w:r>
      <w:r>
        <w:rPr>
          <w:color w:val="auto"/>
        </w:rPr>
        <w:t>每年都要接受不少于20h的安全教育</w:t>
      </w:r>
      <w:r>
        <w:rPr>
          <w:rFonts w:hint="eastAsia"/>
          <w:color w:val="auto"/>
        </w:rPr>
        <w:t>，每1年至少</w:t>
      </w:r>
      <w:r>
        <w:rPr>
          <w:color w:val="auto"/>
        </w:rPr>
        <w:t>考核</w:t>
      </w:r>
      <w:r>
        <w:rPr>
          <w:rFonts w:hint="eastAsia"/>
          <w:color w:val="auto"/>
        </w:rPr>
        <w:t>一次</w:t>
      </w:r>
      <w:r>
        <w:rPr>
          <w:color w:val="auto"/>
        </w:rPr>
        <w:t>。</w:t>
      </w:r>
    </w:p>
    <w:p w14:paraId="6B4C52F1">
      <w:pPr>
        <w:ind w:firstLine="560"/>
        <w:rPr>
          <w:color w:val="auto"/>
        </w:rPr>
      </w:pPr>
      <w:r>
        <w:rPr>
          <w:rFonts w:hint="eastAsia"/>
          <w:color w:val="auto"/>
        </w:rPr>
        <w:t>③</w:t>
      </w:r>
      <w:r>
        <w:rPr>
          <w:color w:val="auto"/>
        </w:rPr>
        <w:t>新工人</w:t>
      </w:r>
      <w:r>
        <w:rPr>
          <w:rFonts w:hint="eastAsia"/>
          <w:color w:val="auto"/>
        </w:rPr>
        <w:t>上</w:t>
      </w:r>
      <w:r>
        <w:rPr>
          <w:color w:val="auto"/>
        </w:rPr>
        <w:t>岗前必须进行不少于</w:t>
      </w:r>
      <w:r>
        <w:rPr>
          <w:rFonts w:hint="eastAsia"/>
          <w:color w:val="auto"/>
        </w:rPr>
        <w:t>72</w:t>
      </w:r>
      <w:r>
        <w:rPr>
          <w:color w:val="auto"/>
        </w:rPr>
        <w:t>h的矿、采区、班组三级安全教育，经考试合格后，由老工人带领工作至少</w:t>
      </w:r>
      <w:r>
        <w:rPr>
          <w:rFonts w:hint="eastAsia"/>
          <w:color w:val="auto"/>
        </w:rPr>
        <w:t>4</w:t>
      </w:r>
      <w:r>
        <w:rPr>
          <w:color w:val="auto"/>
        </w:rPr>
        <w:t>个月，熟悉本工种操作技术并经考核合格后，方可独立工作。</w:t>
      </w:r>
    </w:p>
    <w:p w14:paraId="213DA932">
      <w:pPr>
        <w:ind w:firstLine="560"/>
        <w:rPr>
          <w:color w:val="auto"/>
        </w:rPr>
      </w:pPr>
      <w:r>
        <w:rPr>
          <w:rFonts w:hint="eastAsia"/>
          <w:color w:val="auto"/>
        </w:rPr>
        <w:t>④矿山企业应当建立健全全员安全生产责任制和岗位操作规程。严格落实《金属非金属地下矿山企业领导带班下井及监督检查暂行规定》</w:t>
      </w:r>
      <w:r>
        <w:rPr>
          <w:rFonts w:hint="eastAsia"/>
          <w:color w:val="auto"/>
          <w:lang w:eastAsia="zh-CN"/>
        </w:rPr>
        <w:t>(</w:t>
      </w:r>
      <w:r>
        <w:rPr>
          <w:rFonts w:hint="eastAsia"/>
          <w:color w:val="auto"/>
        </w:rPr>
        <w:t>国家安全监管总局令第34号</w:t>
      </w:r>
      <w:r>
        <w:rPr>
          <w:rFonts w:hint="eastAsia"/>
          <w:color w:val="auto"/>
          <w:lang w:eastAsia="zh-CN"/>
        </w:rPr>
        <w:t>)</w:t>
      </w:r>
      <w:r>
        <w:rPr>
          <w:rFonts w:hint="eastAsia"/>
          <w:color w:val="auto"/>
        </w:rPr>
        <w:t>，实行发包单位和承包单位领导双带班下井制度。实施井下劳动定员管理，不得超定员安排人员下井作业。严格控制井下单班作业人数，禁止在采掘等安全风险集中区域安排平行作业。</w:t>
      </w:r>
    </w:p>
    <w:p w14:paraId="3EFF80EE">
      <w:pPr>
        <w:ind w:firstLine="560"/>
        <w:rPr>
          <w:color w:val="auto"/>
        </w:rPr>
      </w:pPr>
      <w:r>
        <w:rPr>
          <w:rFonts w:hint="eastAsia"/>
          <w:color w:val="auto"/>
        </w:rPr>
        <w:t>⑤</w:t>
      </w:r>
      <w:r>
        <w:rPr>
          <w:rFonts w:hint="eastAsia"/>
          <w:color w:val="auto"/>
          <w:lang w:val="en-US" w:eastAsia="zh-CN"/>
        </w:rPr>
        <w:t>矿山企业主要负责人应</w:t>
      </w:r>
      <w:r>
        <w:rPr>
          <w:rFonts w:hint="eastAsia"/>
          <w:color w:val="auto"/>
        </w:rPr>
        <w:t>组织开展全面排查，形成重大事故隐患排查治理报告签字备查</w:t>
      </w:r>
      <w:r>
        <w:rPr>
          <w:rFonts w:hint="eastAsia"/>
          <w:color w:val="auto"/>
          <w:lang w:eastAsia="zh-CN"/>
        </w:rPr>
        <w:t>；</w:t>
      </w:r>
      <w:r>
        <w:rPr>
          <w:rFonts w:hint="eastAsia"/>
          <w:color w:val="auto"/>
        </w:rPr>
        <w:t>主要负责人每月带班下井不得少于5个</w:t>
      </w:r>
      <w:r>
        <w:rPr>
          <w:rFonts w:hint="eastAsia"/>
          <w:color w:val="auto"/>
          <w:lang w:eastAsia="zh-CN"/>
        </w:rPr>
        <w:t>；</w:t>
      </w:r>
      <w:r>
        <w:rPr>
          <w:rFonts w:hint="eastAsia"/>
          <w:color w:val="auto"/>
        </w:rPr>
        <w:t>实际控制人每月在生产现场履行安全生产职责时间不得少于10个工作日；每月组织研究一次安全生产重大问题，形成会议纪要。</w:t>
      </w:r>
    </w:p>
    <w:p w14:paraId="12E144C8">
      <w:pPr>
        <w:ind w:firstLine="560"/>
        <w:rPr>
          <w:rFonts w:hint="eastAsia" w:ascii="宋体" w:hAnsi="宋体" w:eastAsia="宋体"/>
          <w:color w:val="auto"/>
          <w:lang w:val="en-US" w:eastAsia="zh-CN"/>
        </w:rPr>
      </w:pPr>
      <w:r>
        <w:rPr>
          <w:rFonts w:hint="eastAsia"/>
          <w:color w:val="auto"/>
        </w:rPr>
        <w:t>⑥</w:t>
      </w:r>
      <w:r>
        <w:rPr>
          <w:rFonts w:hint="eastAsia" w:ascii="宋体" w:hAnsi="宋体" w:eastAsia="宋体"/>
          <w:color w:val="auto"/>
          <w:lang w:val="en-US" w:eastAsia="zh-CN"/>
        </w:rPr>
        <w:t>矿山井下禁止吸烟，任何人不应酒后进入矿山作业场所，不应将酒类饮料带入矿山作业场所；矿山企业的要害岗位、重要设备和设施周围及危险区域，应设置醒目的安全警示标志，并在生产 使用期间保持完好。</w:t>
      </w:r>
    </w:p>
    <w:p w14:paraId="71E1E41E">
      <w:pPr>
        <w:ind w:firstLine="560"/>
        <w:rPr>
          <w:rFonts w:hint="eastAsia" w:eastAsia="宋体"/>
          <w:color w:val="auto"/>
          <w:lang w:val="en-US" w:eastAsia="zh-CN"/>
        </w:rPr>
      </w:pPr>
      <w:r>
        <w:rPr>
          <w:rFonts w:hint="eastAsia"/>
          <w:color w:val="auto"/>
        </w:rPr>
        <w:t>⑦</w:t>
      </w:r>
      <w:r>
        <w:rPr>
          <w:rFonts w:hint="eastAsia"/>
          <w:color w:val="auto"/>
          <w:lang w:val="en-US" w:eastAsia="zh-CN"/>
        </w:rPr>
        <w:t>加强应急处置能力，企业应当按照《生产安全事故应急预案管理办法》(国家安全监管总局令第88号，2019年7月11日应急管理部令第2号修正)，及时编制、修订生产安全事故应急预案，赋予调度员、安检员、现场带班人员、班组长等人员现场紧急撤人权，定期组织应急预案演练并编写评估报告。</w:t>
      </w:r>
    </w:p>
    <w:p w14:paraId="245D5E4D">
      <w:pPr>
        <w:ind w:firstLine="560"/>
        <w:rPr>
          <w:color w:val="auto"/>
        </w:rPr>
      </w:pPr>
      <w:r>
        <w:rPr>
          <w:color w:val="auto"/>
        </w:rPr>
        <w:t>⑧矿山使用的涉及人身安全的设备应由专业生产单位生产，并经具有专业资质的检测、检验机构检测、检验合格，方可投入使用；矿山生产期间，应定期由具有专业资质的检测、检验机构进行检测、检验，并出具检测、检验报告。</w:t>
      </w:r>
    </w:p>
    <w:p w14:paraId="4079BF14">
      <w:pPr>
        <w:ind w:firstLine="560"/>
        <w:rPr>
          <w:color w:val="auto"/>
        </w:rPr>
      </w:pPr>
      <w:r>
        <w:rPr>
          <w:rFonts w:hint="eastAsia"/>
          <w:color w:val="auto"/>
        </w:rPr>
        <w:t>⑨企业应建立健全下井人员出入矿井登记和检查制度。入井人员应随身携带符合安全要求的照明灯具和自救器。</w:t>
      </w:r>
    </w:p>
    <w:p w14:paraId="2A2AE1E0">
      <w:pPr>
        <w:ind w:firstLine="560"/>
        <w:rPr>
          <w:color w:val="auto"/>
        </w:rPr>
      </w:pPr>
      <w:r>
        <w:rPr>
          <w:rFonts w:hint="eastAsia"/>
          <w:color w:val="auto"/>
        </w:rPr>
        <w:t>(5)安全资金投入</w:t>
      </w:r>
    </w:p>
    <w:p w14:paraId="38564BD0">
      <w:pPr>
        <w:ind w:firstLine="560"/>
        <w:rPr>
          <w:color w:val="auto"/>
        </w:rPr>
      </w:pPr>
      <w:r>
        <w:rPr>
          <w:color w:val="auto"/>
        </w:rPr>
        <w:fldChar w:fldCharType="begin"/>
      </w:r>
      <w:r>
        <w:rPr>
          <w:color w:val="auto"/>
        </w:rPr>
        <w:instrText xml:space="preserve"> </w:instrText>
      </w:r>
      <w:r>
        <w:rPr>
          <w:rFonts w:hint="eastAsia"/>
          <w:color w:val="auto"/>
        </w:rPr>
        <w:instrText xml:space="preserve">= 1 \* GB3</w:instrText>
      </w:r>
      <w:r>
        <w:rPr>
          <w:color w:val="auto"/>
        </w:rPr>
        <w:instrText xml:space="preserve"> </w:instrText>
      </w:r>
      <w:r>
        <w:rPr>
          <w:color w:val="auto"/>
        </w:rPr>
        <w:fldChar w:fldCharType="separate"/>
      </w:r>
      <w:r>
        <w:rPr>
          <w:rFonts w:hint="eastAsia"/>
          <w:color w:val="auto"/>
        </w:rPr>
        <w:t>①</w:t>
      </w:r>
      <w:r>
        <w:rPr>
          <w:color w:val="auto"/>
        </w:rPr>
        <w:fldChar w:fldCharType="end"/>
      </w:r>
      <w:r>
        <w:rPr>
          <w:color w:val="auto"/>
        </w:rPr>
        <w:t>应</w:t>
      </w:r>
      <w:r>
        <w:rPr>
          <w:rFonts w:hint="eastAsia"/>
          <w:color w:val="auto"/>
        </w:rPr>
        <w:t>按</w:t>
      </w:r>
      <w:r>
        <w:rPr>
          <w:color w:val="auto"/>
        </w:rPr>
        <w:t>照</w:t>
      </w:r>
      <w:r>
        <w:rPr>
          <w:rFonts w:hint="eastAsia"/>
          <w:color w:val="auto"/>
        </w:rPr>
        <w:t>《企业安全生产费用提取和使用管理办法》的通知财资〔2022〕136号</w:t>
      </w:r>
      <w:r>
        <w:rPr>
          <w:rFonts w:hint="eastAsia"/>
          <w:color w:val="auto"/>
          <w:lang w:val="en-US" w:eastAsia="zh-CN"/>
        </w:rPr>
        <w:t>文</w:t>
      </w:r>
      <w:r>
        <w:rPr>
          <w:color w:val="auto"/>
        </w:rPr>
        <w:t>件要求</w:t>
      </w:r>
      <w:r>
        <w:rPr>
          <w:rFonts w:hint="eastAsia" w:ascii="仿宋" w:hAnsi="仿宋" w:eastAsia="仿宋" w:cs="宋体"/>
          <w:bCs/>
          <w:color w:val="auto"/>
          <w:kern w:val="0"/>
          <w:sz w:val="32"/>
          <w:szCs w:val="32"/>
        </w:rPr>
        <w:t>，</w:t>
      </w:r>
      <w:r>
        <w:rPr>
          <w:rFonts w:hint="eastAsia" w:ascii="宋体" w:hAnsi="宋体" w:eastAsia="宋体"/>
          <w:color w:val="auto"/>
        </w:rPr>
        <w:t>于月末</w:t>
      </w:r>
      <w:r>
        <w:rPr>
          <w:rFonts w:hint="eastAsia"/>
          <w:color w:val="auto"/>
          <w:lang w:val="en-US" w:eastAsia="zh-CN"/>
        </w:rPr>
        <w:t>按</w:t>
      </w:r>
      <w:r>
        <w:rPr>
          <w:rFonts w:hint="eastAsia" w:ascii="宋体" w:hAnsi="宋体" w:eastAsia="宋体"/>
          <w:color w:val="auto"/>
          <w:lang w:val="en-US" w:eastAsia="zh-CN"/>
        </w:rPr>
        <w:t>每吨</w:t>
      </w:r>
      <w:r>
        <w:rPr>
          <w:rFonts w:hint="eastAsia"/>
          <w:color w:val="auto"/>
          <w:lang w:val="en-US" w:eastAsia="zh-CN"/>
        </w:rPr>
        <w:t>8</w:t>
      </w:r>
      <w:r>
        <w:rPr>
          <w:rFonts w:hint="eastAsia" w:ascii="宋体" w:hAnsi="宋体" w:eastAsia="宋体"/>
          <w:color w:val="auto"/>
          <w:lang w:val="en-US" w:eastAsia="zh-CN"/>
        </w:rPr>
        <w:t>元</w:t>
      </w:r>
      <w:r>
        <w:rPr>
          <w:rFonts w:hint="eastAsia" w:ascii="宋体" w:hAnsi="宋体" w:eastAsia="宋体"/>
          <w:color w:val="auto"/>
        </w:rPr>
        <w:t>提取企业安全生产费用，作为</w:t>
      </w:r>
      <w:r>
        <w:rPr>
          <w:color w:val="auto"/>
        </w:rPr>
        <w:t>专项安全资金管理，确保安全设施的投入符合规定。</w:t>
      </w:r>
    </w:p>
    <w:p w14:paraId="6CFEAE40">
      <w:pPr>
        <w:ind w:firstLine="560"/>
        <w:rPr>
          <w:color w:val="auto"/>
        </w:rPr>
      </w:pPr>
      <w:r>
        <w:rPr>
          <w:color w:val="auto"/>
        </w:rPr>
        <w:fldChar w:fldCharType="begin"/>
      </w:r>
      <w:r>
        <w:rPr>
          <w:color w:val="auto"/>
        </w:rPr>
        <w:instrText xml:space="preserve"> </w:instrText>
      </w:r>
      <w:r>
        <w:rPr>
          <w:rFonts w:hint="eastAsia"/>
          <w:color w:val="auto"/>
        </w:rPr>
        <w:instrText xml:space="preserve">= 2 \* GB3</w:instrText>
      </w:r>
      <w:r>
        <w:rPr>
          <w:color w:val="auto"/>
        </w:rPr>
        <w:instrText xml:space="preserve"> </w:instrText>
      </w:r>
      <w:r>
        <w:rPr>
          <w:color w:val="auto"/>
        </w:rPr>
        <w:fldChar w:fldCharType="separate"/>
      </w:r>
      <w:r>
        <w:rPr>
          <w:rFonts w:hint="eastAsia"/>
          <w:color w:val="auto"/>
        </w:rPr>
        <w:t>②</w:t>
      </w:r>
      <w:r>
        <w:rPr>
          <w:color w:val="auto"/>
        </w:rPr>
        <w:fldChar w:fldCharType="end"/>
      </w:r>
      <w:r>
        <w:rPr>
          <w:rFonts w:hint="eastAsia"/>
          <w:color w:val="auto"/>
        </w:rPr>
        <w:t>编制年度、季度安全技术措施计划，保证安全技术措施资金足额到位。</w:t>
      </w:r>
    </w:p>
    <w:p w14:paraId="5E610AAE">
      <w:pPr>
        <w:ind w:firstLine="560"/>
        <w:rPr>
          <w:color w:val="auto"/>
        </w:rPr>
      </w:pPr>
      <w:r>
        <w:rPr>
          <w:rFonts w:hint="eastAsia"/>
          <w:color w:val="auto"/>
        </w:rPr>
        <w:t>(6)安全检查</w:t>
      </w:r>
    </w:p>
    <w:p w14:paraId="04790C96">
      <w:pPr>
        <w:ind w:firstLine="560"/>
        <w:rPr>
          <w:color w:val="auto"/>
        </w:rPr>
      </w:pPr>
      <w:r>
        <w:rPr>
          <w:color w:val="auto"/>
        </w:rPr>
        <w:fldChar w:fldCharType="begin"/>
      </w:r>
      <w:r>
        <w:rPr>
          <w:color w:val="auto"/>
        </w:rPr>
        <w:instrText xml:space="preserve"> </w:instrText>
      </w:r>
      <w:r>
        <w:rPr>
          <w:rFonts w:hint="eastAsia"/>
          <w:color w:val="auto"/>
        </w:rPr>
        <w:instrText xml:space="preserve">= 1 \* GB3</w:instrText>
      </w:r>
      <w:r>
        <w:rPr>
          <w:color w:val="auto"/>
        </w:rPr>
        <w:instrText xml:space="preserve"> </w:instrText>
      </w:r>
      <w:r>
        <w:rPr>
          <w:color w:val="auto"/>
        </w:rPr>
        <w:fldChar w:fldCharType="separate"/>
      </w:r>
      <w:r>
        <w:rPr>
          <w:rFonts w:hint="eastAsia"/>
          <w:color w:val="auto"/>
        </w:rPr>
        <w:t>①</w:t>
      </w:r>
      <w:r>
        <w:rPr>
          <w:color w:val="auto"/>
        </w:rPr>
        <w:fldChar w:fldCharType="end"/>
      </w:r>
      <w:r>
        <w:rPr>
          <w:rFonts w:hint="eastAsia"/>
          <w:color w:val="auto"/>
        </w:rPr>
        <w:t>开展定期和不定期检查相结合的方式，考核上岗下井挂牌情况。应建立周安全活动日制度。每周进行一次全矿安全大检查，由主要领导组织各职能部门参加。</w:t>
      </w:r>
    </w:p>
    <w:p w14:paraId="74F0E956">
      <w:pPr>
        <w:ind w:firstLine="560"/>
        <w:rPr>
          <w:color w:val="auto"/>
        </w:rPr>
      </w:pPr>
      <w:r>
        <w:rPr>
          <w:color w:val="auto"/>
        </w:rPr>
        <w:fldChar w:fldCharType="begin"/>
      </w:r>
      <w:r>
        <w:rPr>
          <w:color w:val="auto"/>
        </w:rPr>
        <w:instrText xml:space="preserve"> </w:instrText>
      </w:r>
      <w:r>
        <w:rPr>
          <w:rFonts w:hint="eastAsia"/>
          <w:color w:val="auto"/>
        </w:rPr>
        <w:instrText xml:space="preserve">= 2 \* GB3</w:instrText>
      </w:r>
      <w:r>
        <w:rPr>
          <w:color w:val="auto"/>
        </w:rPr>
        <w:instrText xml:space="preserve"> </w:instrText>
      </w:r>
      <w:r>
        <w:rPr>
          <w:color w:val="auto"/>
        </w:rPr>
        <w:fldChar w:fldCharType="separate"/>
      </w:r>
      <w:r>
        <w:rPr>
          <w:rFonts w:hint="eastAsia"/>
          <w:color w:val="auto"/>
        </w:rPr>
        <w:t>②</w:t>
      </w:r>
      <w:r>
        <w:rPr>
          <w:color w:val="auto"/>
        </w:rPr>
        <w:fldChar w:fldCharType="end"/>
      </w:r>
      <w:r>
        <w:rPr>
          <w:rFonts w:hint="eastAsia"/>
          <w:color w:val="auto"/>
        </w:rPr>
        <w:t>安全检查应包括：查思想、查管理、查隐患、查整改、查事故处理等内容。</w:t>
      </w:r>
    </w:p>
    <w:p w14:paraId="2DBE9605">
      <w:pPr>
        <w:ind w:firstLine="560"/>
        <w:rPr>
          <w:color w:val="auto"/>
        </w:rPr>
      </w:pPr>
      <w:r>
        <w:rPr>
          <w:color w:val="auto"/>
        </w:rPr>
        <w:fldChar w:fldCharType="begin"/>
      </w:r>
      <w:r>
        <w:rPr>
          <w:color w:val="auto"/>
        </w:rPr>
        <w:instrText xml:space="preserve"> </w:instrText>
      </w:r>
      <w:r>
        <w:rPr>
          <w:rFonts w:hint="eastAsia"/>
          <w:color w:val="auto"/>
        </w:rPr>
        <w:instrText xml:space="preserve">= 3 \* GB3</w:instrText>
      </w:r>
      <w:r>
        <w:rPr>
          <w:color w:val="auto"/>
        </w:rPr>
        <w:instrText xml:space="preserve"> </w:instrText>
      </w:r>
      <w:r>
        <w:rPr>
          <w:color w:val="auto"/>
        </w:rPr>
        <w:fldChar w:fldCharType="separate"/>
      </w:r>
      <w:r>
        <w:rPr>
          <w:rFonts w:hint="eastAsia"/>
          <w:color w:val="auto"/>
        </w:rPr>
        <w:t>③</w:t>
      </w:r>
      <w:r>
        <w:rPr>
          <w:color w:val="auto"/>
        </w:rPr>
        <w:fldChar w:fldCharType="end"/>
      </w:r>
      <w:r>
        <w:rPr>
          <w:rFonts w:hint="eastAsia"/>
          <w:color w:val="auto"/>
        </w:rPr>
        <w:t>矿山</w:t>
      </w:r>
      <w:r>
        <w:rPr>
          <w:color w:val="auto"/>
        </w:rPr>
        <w:t>应建立矿井安全管理制度，每天作业前应有专职安全人员对井下通风情况、排水情况、井巷顶板情况、作业区域的安全情况进行详细检查，确认安全后</w:t>
      </w:r>
      <w:r>
        <w:rPr>
          <w:rFonts w:hint="eastAsia"/>
          <w:color w:val="auto"/>
        </w:rPr>
        <w:t>方可</w:t>
      </w:r>
      <w:r>
        <w:rPr>
          <w:color w:val="auto"/>
        </w:rPr>
        <w:t>安排</w:t>
      </w:r>
      <w:r>
        <w:rPr>
          <w:rFonts w:hint="eastAsia"/>
          <w:color w:val="auto"/>
        </w:rPr>
        <w:t>井下</w:t>
      </w:r>
      <w:r>
        <w:rPr>
          <w:color w:val="auto"/>
        </w:rPr>
        <w:t>作业。</w:t>
      </w:r>
    </w:p>
    <w:p w14:paraId="58A6D15E">
      <w:pPr>
        <w:ind w:firstLine="560"/>
        <w:rPr>
          <w:color w:val="auto"/>
        </w:rPr>
      </w:pPr>
      <w:r>
        <w:rPr>
          <w:rFonts w:hint="eastAsia"/>
          <w:color w:val="auto"/>
        </w:rPr>
        <w:t>(7)对矿山主要设备应定期进行检验检测工作。建立特种设备检查制度和定期监测制度，主要设备的安装、使用、维修、改造和报废，应当符合国家标准或行业标准。必须建立特种设备技术档案并妥善保存。</w:t>
      </w:r>
    </w:p>
    <w:p w14:paraId="086596D6">
      <w:pPr>
        <w:ind w:firstLine="560"/>
        <w:rPr>
          <w:rFonts w:hint="eastAsia" w:ascii="宋体" w:hAnsi="宋体" w:eastAsia="宋体"/>
          <w:color w:val="auto"/>
        </w:rPr>
      </w:pPr>
      <w:r>
        <w:rPr>
          <w:rFonts w:hint="eastAsia"/>
          <w:color w:val="auto"/>
        </w:rPr>
        <w:t>(8</w:t>
      </w:r>
      <w:r>
        <w:rPr>
          <w:rFonts w:hint="eastAsia" w:ascii="宋体" w:hAnsi="宋体" w:eastAsia="宋体"/>
          <w:color w:val="auto"/>
        </w:rPr>
        <w:t>)矿山企业应按照《用人单位劳动防护用品管理规范》的规定，为作业人员配备符合国家标准或行业标准要求的劳动防护用品。</w:t>
      </w:r>
    </w:p>
    <w:p w14:paraId="638CB690">
      <w:pPr>
        <w:ind w:firstLine="560"/>
        <w:rPr>
          <w:rFonts w:hint="default" w:ascii="宋体" w:hAnsi="宋体" w:eastAsia="宋体"/>
          <w:color w:val="auto"/>
          <w:lang w:val="en-US" w:eastAsia="zh-CN"/>
        </w:rPr>
      </w:pPr>
      <w:r>
        <w:rPr>
          <w:rFonts w:hint="eastAsia" w:ascii="宋体" w:hAnsi="宋体" w:eastAsia="宋体"/>
          <w:color w:val="auto"/>
        </w:rPr>
        <w:t>(9)</w:t>
      </w:r>
      <w:r>
        <w:rPr>
          <w:rFonts w:hint="eastAsia" w:ascii="宋体" w:hAnsi="宋体" w:eastAsia="宋体"/>
          <w:color w:val="auto"/>
          <w:lang w:val="en-US" w:eastAsia="zh-CN"/>
        </w:rPr>
        <w:t>矿山企业应为从业人员</w:t>
      </w:r>
      <w:r>
        <w:rPr>
          <w:rFonts w:hint="eastAsia" w:ascii="宋体" w:hAnsi="宋体" w:eastAsia="宋体"/>
          <w:color w:val="auto"/>
        </w:rPr>
        <w:t>足额缴纳工伤保险</w:t>
      </w:r>
      <w:r>
        <w:rPr>
          <w:rFonts w:hint="eastAsia" w:ascii="宋体" w:hAnsi="宋体" w:eastAsia="宋体"/>
          <w:color w:val="auto"/>
          <w:lang w:val="en-US" w:eastAsia="zh-CN"/>
        </w:rPr>
        <w:t>和安全生产责任险。</w:t>
      </w:r>
    </w:p>
    <w:bookmarkEnd w:id="144"/>
    <w:bookmarkEnd w:id="164"/>
    <w:bookmarkEnd w:id="165"/>
    <w:bookmarkEnd w:id="167"/>
    <w:bookmarkEnd w:id="168"/>
    <w:p w14:paraId="25ECB2EB">
      <w:pPr>
        <w:ind w:firstLine="560"/>
        <w:rPr>
          <w:rFonts w:hint="eastAsia" w:ascii="宋体" w:hAnsi="宋体" w:eastAsia="宋体"/>
          <w:color w:val="auto"/>
        </w:rPr>
      </w:pPr>
      <w:r>
        <w:rPr>
          <w:rFonts w:hint="eastAsia" w:ascii="宋体" w:hAnsi="宋体" w:eastAsia="宋体"/>
          <w:color w:val="auto"/>
        </w:rPr>
        <w:t>(</w:t>
      </w:r>
      <w:r>
        <w:rPr>
          <w:rFonts w:hint="eastAsia" w:ascii="宋体" w:hAnsi="宋体" w:eastAsia="宋体"/>
          <w:color w:val="auto"/>
          <w:lang w:val="en-US" w:eastAsia="zh-CN"/>
        </w:rPr>
        <w:t>10</w:t>
      </w:r>
      <w:r>
        <w:rPr>
          <w:rFonts w:hint="eastAsia" w:ascii="宋体" w:hAnsi="宋体" w:eastAsia="宋体"/>
          <w:color w:val="auto"/>
        </w:rPr>
        <w:t>)矿山企业必须按规定采用钻探、物探、化探等方法相互验证，查清隐蔽致灾因素并采取有效措施后方可进行采掘作业。</w:t>
      </w:r>
    </w:p>
    <w:bookmarkEnd w:id="145"/>
    <w:bookmarkEnd w:id="146"/>
    <w:bookmarkEnd w:id="147"/>
    <w:p w14:paraId="1D7673C9">
      <w:pPr>
        <w:pStyle w:val="3"/>
        <w:rPr>
          <w:color w:val="auto"/>
        </w:rPr>
      </w:pPr>
      <w:bookmarkStart w:id="169" w:name="_Toc382813153"/>
      <w:bookmarkStart w:id="170" w:name="_Toc403394792"/>
      <w:bookmarkStart w:id="171" w:name="_Toc9637"/>
      <w:r>
        <w:rPr>
          <w:rFonts w:hint="eastAsia"/>
          <w:color w:val="auto"/>
        </w:rPr>
        <w:t>4.3</w:t>
      </w:r>
      <w:bookmarkEnd w:id="169"/>
      <w:bookmarkEnd w:id="170"/>
      <w:r>
        <w:rPr>
          <w:rFonts w:hint="eastAsia"/>
          <w:color w:val="auto"/>
        </w:rPr>
        <w:t>建议</w:t>
      </w:r>
      <w:bookmarkEnd w:id="171"/>
    </w:p>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p w14:paraId="4AF5DE03">
      <w:pPr>
        <w:ind w:firstLine="560"/>
        <w:rPr>
          <w:rFonts w:hAnsi="宋体" w:cs="宋体"/>
          <w:color w:val="auto"/>
          <w:szCs w:val="28"/>
        </w:rPr>
      </w:pPr>
      <w:bookmarkStart w:id="172" w:name="_Toc338762983"/>
      <w:r>
        <w:rPr>
          <w:rFonts w:hint="eastAsia" w:hAnsi="宋体" w:cs="宋体"/>
          <w:color w:val="auto"/>
          <w:szCs w:val="28"/>
        </w:rPr>
        <w:t>针对《</w:t>
      </w:r>
      <w:r>
        <w:rPr>
          <w:rFonts w:hint="eastAsia" w:cs="宋体"/>
          <w:color w:val="auto"/>
          <w:szCs w:val="28"/>
          <w:lang w:val="en-US" w:eastAsia="zh-CN"/>
        </w:rPr>
        <w:t>凤县绿能诚睿矿业有限公司陕西省李家庄方解石矿地下矿山开采建设项目</w:t>
      </w:r>
      <w:r>
        <w:rPr>
          <w:rFonts w:hint="eastAsia" w:cs="宋体"/>
          <w:color w:val="auto"/>
          <w:szCs w:val="28"/>
          <w:lang w:eastAsia="zh-CN"/>
        </w:rPr>
        <w:t>可</w:t>
      </w:r>
      <w:r>
        <w:rPr>
          <w:rFonts w:hint="eastAsia" w:cs="宋体"/>
          <w:color w:val="auto"/>
          <w:szCs w:val="28"/>
          <w:lang w:val="en-US" w:eastAsia="zh-CN"/>
        </w:rPr>
        <w:t>行性研究</w:t>
      </w:r>
      <w:r>
        <w:rPr>
          <w:rFonts w:hint="eastAsia" w:cs="宋体"/>
          <w:color w:val="auto"/>
          <w:szCs w:val="28"/>
          <w:lang w:eastAsia="zh-CN"/>
        </w:rPr>
        <w:t>报告</w:t>
      </w:r>
      <w:r>
        <w:rPr>
          <w:rFonts w:hint="eastAsia" w:hAnsi="宋体" w:cs="宋体"/>
          <w:color w:val="auto"/>
          <w:szCs w:val="28"/>
        </w:rPr>
        <w:t>》，本次评价提出以下应重视的安全对策措施建议，下一步安全设施设计予以补充完善，具体如下：</w:t>
      </w:r>
    </w:p>
    <w:p w14:paraId="2774ABB9">
      <w:pPr>
        <w:ind w:firstLine="560"/>
        <w:rPr>
          <w:rFonts w:hint="eastAsia" w:eastAsia="宋体"/>
          <w:color w:val="auto"/>
          <w:lang w:val="en-US" w:eastAsia="zh-CN"/>
        </w:rPr>
      </w:pPr>
      <w:r>
        <w:rPr>
          <w:rFonts w:hint="eastAsia"/>
          <w:color w:val="auto"/>
          <w:lang w:val="en-US" w:eastAsia="zh-CN"/>
        </w:rPr>
        <w:t>(1)</w:t>
      </w:r>
      <w:r>
        <w:rPr>
          <w:rFonts w:hint="eastAsia" w:cs="宋体"/>
          <w:color w:val="auto"/>
          <w:szCs w:val="28"/>
          <w:lang w:val="en-US" w:eastAsia="zh-CN"/>
        </w:rPr>
        <w:t>中段运输巷道宜布置在矿体下盘或下盘，该矿体为方解石，价值较低，若需布置在矿体中央，应明确巷道留设的保护矿柱等参数</w:t>
      </w:r>
      <w:r>
        <w:rPr>
          <w:rFonts w:hint="eastAsia"/>
          <w:color w:val="auto"/>
          <w:lang w:eastAsia="zh-CN"/>
        </w:rPr>
        <w:t>；</w:t>
      </w:r>
    </w:p>
    <w:p w14:paraId="1A689D63">
      <w:pPr>
        <w:ind w:firstLine="560"/>
        <w:rPr>
          <w:rFonts w:hint="eastAsia"/>
          <w:color w:val="auto"/>
          <w:lang w:val="en-US" w:eastAsia="zh-CN"/>
        </w:rPr>
      </w:pPr>
      <w:r>
        <w:rPr>
          <w:rFonts w:hint="eastAsia"/>
          <w:color w:val="auto"/>
          <w:lang w:val="en-US" w:eastAsia="zh-CN"/>
        </w:rPr>
        <w:t>(2)</w:t>
      </w:r>
      <w:r>
        <w:rPr>
          <w:rFonts w:hint="eastAsia" w:cs="宋体"/>
          <w:color w:val="auto"/>
          <w:szCs w:val="28"/>
          <w:lang w:val="en-US" w:eastAsia="zh-CN"/>
        </w:rPr>
        <w:t>主要平硐和斜坡道布置在岩石移动范围之内，需明确保护措施</w:t>
      </w:r>
      <w:r>
        <w:rPr>
          <w:rFonts w:hint="eastAsia"/>
          <w:color w:val="auto"/>
          <w:lang w:val="en-US" w:eastAsia="zh-CN"/>
        </w:rPr>
        <w:t>；</w:t>
      </w:r>
    </w:p>
    <w:p w14:paraId="0AC1AD76">
      <w:pPr>
        <w:ind w:firstLine="560"/>
        <w:rPr>
          <w:rFonts w:hint="eastAsia" w:eastAsia="宋体"/>
          <w:color w:val="auto"/>
          <w:lang w:val="en-US" w:eastAsia="zh-CN"/>
        </w:rPr>
      </w:pPr>
      <w:r>
        <w:rPr>
          <w:rFonts w:hint="eastAsia"/>
          <w:color w:val="auto"/>
          <w:lang w:val="en-US" w:eastAsia="zh-CN"/>
        </w:rPr>
        <w:t>(3)回风井口的风机功率较大，应在</w:t>
      </w:r>
      <w:r>
        <w:rPr>
          <w:color w:val="auto"/>
        </w:rPr>
        <w:t>主扇风机侧设置供人员通过的安全通道，安全通道内应安设两道开向相反的密闭风门</w:t>
      </w:r>
      <w:r>
        <w:rPr>
          <w:rFonts w:hint="eastAsia"/>
          <w:color w:val="auto"/>
          <w:lang w:eastAsia="zh-CN"/>
        </w:rPr>
        <w:t>；</w:t>
      </w:r>
    </w:p>
    <w:p w14:paraId="59AF5F1B">
      <w:pPr>
        <w:ind w:firstLine="560"/>
        <w:rPr>
          <w:rFonts w:hint="eastAsia"/>
          <w:color w:val="auto"/>
          <w:lang w:val="en-US" w:eastAsia="zh-CN"/>
        </w:rPr>
      </w:pPr>
      <w:r>
        <w:rPr>
          <w:rFonts w:hint="eastAsia"/>
          <w:color w:val="auto"/>
          <w:lang w:val="en-US" w:eastAsia="zh-CN"/>
        </w:rPr>
        <w:t>(3)明确缓坡段坡度、长度要求；</w:t>
      </w:r>
    </w:p>
    <w:p w14:paraId="2709A38F">
      <w:pPr>
        <w:ind w:firstLine="560"/>
        <w:rPr>
          <w:rFonts w:hint="eastAsia"/>
          <w:color w:val="auto"/>
          <w:lang w:val="en-US" w:eastAsia="zh-CN"/>
        </w:rPr>
      </w:pPr>
      <w:r>
        <w:rPr>
          <w:rFonts w:hint="eastAsia" w:ascii="宋体" w:hAnsi="宋体" w:eastAsia="宋体"/>
          <w:color w:val="auto"/>
          <w:lang w:val="en-US" w:eastAsia="zh-CN"/>
        </w:rPr>
        <w:t>(4)</w:t>
      </w:r>
      <w:r>
        <w:rPr>
          <w:rFonts w:hint="eastAsia"/>
          <w:color w:val="auto"/>
          <w:lang w:val="en-US" w:eastAsia="zh-CN"/>
        </w:rPr>
        <w:t>明确</w:t>
      </w:r>
      <w:r>
        <w:rPr>
          <w:rFonts w:hint="eastAsia" w:ascii="宋体" w:hAnsi="宋体" w:eastAsia="宋体"/>
          <w:color w:val="auto"/>
          <w:lang w:val="en-US" w:eastAsia="zh-CN"/>
        </w:rPr>
        <w:t>无轨设备管理要求</w:t>
      </w:r>
      <w:r>
        <w:rPr>
          <w:rFonts w:hint="eastAsia"/>
          <w:color w:val="auto"/>
          <w:lang w:val="en-US" w:eastAsia="zh-CN"/>
        </w:rPr>
        <w:t>；</w:t>
      </w:r>
    </w:p>
    <w:p w14:paraId="05220B31">
      <w:pPr>
        <w:ind w:firstLine="560"/>
        <w:rPr>
          <w:rFonts w:hint="eastAsia"/>
          <w:color w:val="auto"/>
          <w:lang w:val="en-US" w:eastAsia="zh-CN"/>
        </w:rPr>
      </w:pPr>
      <w:r>
        <w:rPr>
          <w:rFonts w:hint="eastAsia" w:ascii="宋体" w:hAnsi="宋体" w:eastAsia="宋体"/>
          <w:color w:val="auto"/>
          <w:lang w:val="en-US" w:eastAsia="zh-CN"/>
        </w:rPr>
        <w:t>(</w:t>
      </w:r>
      <w:r>
        <w:rPr>
          <w:rFonts w:hint="eastAsia"/>
          <w:color w:val="auto"/>
          <w:lang w:val="en-US" w:eastAsia="zh-CN"/>
        </w:rPr>
        <w:t>5</w:t>
      </w:r>
      <w:r>
        <w:rPr>
          <w:rFonts w:hint="eastAsia" w:ascii="宋体" w:hAnsi="宋体" w:eastAsia="宋体"/>
          <w:color w:val="auto"/>
          <w:lang w:val="en-US" w:eastAsia="zh-CN"/>
        </w:rPr>
        <w:t>)</w:t>
      </w:r>
      <w:r>
        <w:rPr>
          <w:rFonts w:hint="eastAsia"/>
          <w:color w:val="auto"/>
          <w:lang w:val="en-US" w:eastAsia="zh-CN"/>
        </w:rPr>
        <w:t>运输人员、油料的无轨设备要求；</w:t>
      </w:r>
    </w:p>
    <w:p w14:paraId="11BD442F">
      <w:pPr>
        <w:ind w:firstLine="560"/>
        <w:rPr>
          <w:rFonts w:hint="eastAsia"/>
          <w:color w:val="auto"/>
          <w:lang w:val="en-US" w:eastAsia="zh-CN"/>
        </w:rPr>
      </w:pPr>
      <w:r>
        <w:rPr>
          <w:rFonts w:hint="eastAsia" w:ascii="宋体" w:hAnsi="宋体" w:eastAsia="宋体"/>
          <w:color w:val="auto"/>
          <w:lang w:val="en-US" w:eastAsia="zh-CN"/>
        </w:rPr>
        <w:t>(</w:t>
      </w:r>
      <w:r>
        <w:rPr>
          <w:rFonts w:hint="eastAsia"/>
          <w:color w:val="auto"/>
          <w:lang w:val="en-US" w:eastAsia="zh-CN"/>
        </w:rPr>
        <w:t>6</w:t>
      </w:r>
      <w:r>
        <w:rPr>
          <w:rFonts w:hint="eastAsia" w:ascii="宋体" w:hAnsi="宋体" w:eastAsia="宋体"/>
          <w:color w:val="auto"/>
          <w:lang w:val="en-US" w:eastAsia="zh-CN"/>
        </w:rPr>
        <w:t>)</w:t>
      </w:r>
      <w:r>
        <w:rPr>
          <w:rFonts w:hint="eastAsia"/>
          <w:color w:val="auto"/>
          <w:lang w:val="en-US" w:eastAsia="zh-CN"/>
        </w:rPr>
        <w:t>螺旋式斜坡道运输会产生离心力，容易造成车辆侧翻、侧滑，此外还存在视距不良问题，下一步安全设施设计应针对针对上述问题采取措施；</w:t>
      </w:r>
    </w:p>
    <w:p w14:paraId="358B7DEF">
      <w:pPr>
        <w:ind w:firstLine="560"/>
        <w:rPr>
          <w:rFonts w:hint="eastAsia"/>
          <w:color w:val="auto"/>
          <w:lang w:val="en-US" w:eastAsia="zh-CN"/>
        </w:rPr>
      </w:pPr>
      <w:r>
        <w:rPr>
          <w:rFonts w:hint="eastAsia" w:ascii="宋体" w:hAnsi="宋体" w:eastAsia="宋体"/>
          <w:color w:val="auto"/>
          <w:lang w:val="en-US" w:eastAsia="zh-CN"/>
        </w:rPr>
        <w:t>(</w:t>
      </w:r>
      <w:r>
        <w:rPr>
          <w:rFonts w:hint="eastAsia"/>
          <w:color w:val="auto"/>
          <w:lang w:val="en-US" w:eastAsia="zh-CN"/>
        </w:rPr>
        <w:t>7</w:t>
      </w:r>
      <w:r>
        <w:rPr>
          <w:rFonts w:hint="eastAsia" w:ascii="宋体" w:hAnsi="宋体" w:eastAsia="宋体"/>
          <w:color w:val="auto"/>
          <w:lang w:val="en-US" w:eastAsia="zh-CN"/>
        </w:rPr>
        <w:t>)</w:t>
      </w:r>
      <w:r>
        <w:rPr>
          <w:rFonts w:hint="eastAsia"/>
          <w:color w:val="auto"/>
          <w:lang w:val="en-US" w:eastAsia="zh-CN"/>
        </w:rPr>
        <w:t>建议下一步安全设施设计细化采空区处理措施，考虑采用废石对采空区进行充填；</w:t>
      </w:r>
    </w:p>
    <w:p w14:paraId="717E69C4">
      <w:pPr>
        <w:ind w:firstLine="560"/>
        <w:rPr>
          <w:rFonts w:hint="eastAsia"/>
          <w:color w:val="auto"/>
        </w:rPr>
      </w:pPr>
      <w:r>
        <w:rPr>
          <w:rFonts w:hint="eastAsia"/>
          <w:color w:val="auto"/>
        </w:rPr>
        <w:t>(</w:t>
      </w:r>
      <w:r>
        <w:rPr>
          <w:rFonts w:hint="eastAsia"/>
          <w:color w:val="auto"/>
          <w:lang w:val="en-US" w:eastAsia="zh-CN"/>
        </w:rPr>
        <w:t>8</w:t>
      </w:r>
      <w:r>
        <w:rPr>
          <w:rFonts w:hint="eastAsia"/>
          <w:color w:val="auto"/>
        </w:rPr>
        <w:t>)</w:t>
      </w:r>
      <w:r>
        <w:rPr>
          <w:rFonts w:hint="eastAsia"/>
          <w:color w:val="auto"/>
          <w:lang w:val="en-US" w:eastAsia="zh-CN"/>
        </w:rPr>
        <w:t>明确采用阻燃风筒及风筒直径、风机口的安全防护；</w:t>
      </w:r>
    </w:p>
    <w:p w14:paraId="787CEB4B">
      <w:pPr>
        <w:ind w:firstLine="560"/>
        <w:rPr>
          <w:rFonts w:hint="eastAsia"/>
          <w:color w:val="auto"/>
          <w:lang w:val="en-US" w:eastAsia="zh-CN"/>
        </w:rPr>
      </w:pPr>
      <w:r>
        <w:rPr>
          <w:rFonts w:hint="eastAsia"/>
          <w:color w:val="auto"/>
        </w:rPr>
        <w:t>(</w:t>
      </w:r>
      <w:r>
        <w:rPr>
          <w:rFonts w:hint="eastAsia"/>
          <w:color w:val="auto"/>
          <w:lang w:val="en-US" w:eastAsia="zh-CN"/>
        </w:rPr>
        <w:t>9</w:t>
      </w:r>
      <w:r>
        <w:rPr>
          <w:rFonts w:hint="eastAsia"/>
          <w:color w:val="auto"/>
        </w:rPr>
        <w:t>)明确</w:t>
      </w:r>
      <w:r>
        <w:rPr>
          <w:rFonts w:hint="eastAsia"/>
          <w:color w:val="auto"/>
          <w:lang w:val="en-US" w:eastAsia="zh-CN"/>
        </w:rPr>
        <w:t>电缆</w:t>
      </w:r>
      <w:r>
        <w:rPr>
          <w:rFonts w:hint="eastAsia"/>
          <w:color w:val="auto"/>
          <w:lang w:eastAsia="zh-CN"/>
        </w:rPr>
        <w:t>的</w:t>
      </w:r>
      <w:r>
        <w:rPr>
          <w:rFonts w:hint="eastAsia"/>
          <w:color w:val="auto"/>
          <w:lang w:val="en-US" w:eastAsia="zh-CN"/>
        </w:rPr>
        <w:t>型号规格和敷设要求；</w:t>
      </w:r>
    </w:p>
    <w:p w14:paraId="01EB9A1E">
      <w:pPr>
        <w:ind w:firstLine="560"/>
        <w:rPr>
          <w:rFonts w:hint="eastAsia"/>
          <w:color w:val="auto"/>
          <w:lang w:val="en-US" w:eastAsia="zh-CN"/>
        </w:rPr>
      </w:pPr>
      <w:r>
        <w:rPr>
          <w:rFonts w:hint="eastAsia"/>
          <w:color w:val="auto"/>
        </w:rPr>
        <w:t>(</w:t>
      </w:r>
      <w:r>
        <w:rPr>
          <w:rFonts w:hint="eastAsia"/>
          <w:color w:val="auto"/>
          <w:lang w:val="en-US" w:eastAsia="zh-CN"/>
        </w:rPr>
        <w:t>10</w:t>
      </w:r>
      <w:r>
        <w:rPr>
          <w:rFonts w:hint="eastAsia"/>
          <w:color w:val="auto"/>
        </w:rPr>
        <w:t>)</w:t>
      </w:r>
      <w:r>
        <w:rPr>
          <w:rFonts w:hint="eastAsia"/>
          <w:color w:val="auto"/>
          <w:lang w:val="en-US" w:eastAsia="zh-CN"/>
        </w:rPr>
        <w:t>按照《矿山电力设计标准》</w:t>
      </w:r>
      <w:r>
        <w:rPr>
          <w:rFonts w:hint="eastAsia"/>
          <w:color w:val="auto"/>
          <w:sz w:val="21"/>
          <w:szCs w:val="21"/>
          <w:lang w:eastAsia="zh-CN"/>
        </w:rPr>
        <w:t>，</w:t>
      </w:r>
      <w:r>
        <w:rPr>
          <w:rFonts w:hint="eastAsia"/>
          <w:color w:val="auto"/>
          <w:lang w:val="en-US" w:eastAsia="zh-CN"/>
        </w:rPr>
        <w:t>矿山无一级负荷用电设备，可由一回电源线路供电，建议调整完善备用电源的配置情况；</w:t>
      </w:r>
    </w:p>
    <w:p w14:paraId="1172473A">
      <w:pPr>
        <w:ind w:firstLine="560"/>
        <w:rPr>
          <w:rFonts w:hint="eastAsia"/>
          <w:color w:val="auto"/>
          <w:lang w:val="en-US" w:eastAsia="zh-CN"/>
        </w:rPr>
      </w:pPr>
      <w:r>
        <w:rPr>
          <w:rFonts w:hint="eastAsia"/>
          <w:color w:val="auto"/>
        </w:rPr>
        <w:t>(</w:t>
      </w:r>
      <w:r>
        <w:rPr>
          <w:rFonts w:hint="eastAsia"/>
          <w:color w:val="auto"/>
          <w:lang w:val="en-US" w:eastAsia="zh-CN"/>
        </w:rPr>
        <w:t>11</w:t>
      </w:r>
      <w:r>
        <w:rPr>
          <w:rFonts w:hint="eastAsia"/>
          <w:color w:val="auto"/>
        </w:rPr>
        <w:t>)</w:t>
      </w:r>
      <w:r>
        <w:rPr>
          <w:rFonts w:hint="eastAsia"/>
          <w:color w:val="auto"/>
          <w:lang w:val="en-US" w:eastAsia="zh-CN"/>
        </w:rPr>
        <w:t>明确采区变电所的位置和设置要求；</w:t>
      </w:r>
    </w:p>
    <w:p w14:paraId="4A7ACF33">
      <w:pPr>
        <w:ind w:firstLine="560"/>
        <w:rPr>
          <w:rFonts w:hint="eastAsia" w:ascii="宋体" w:hAnsi="宋体" w:eastAsia="宋体"/>
          <w:color w:val="auto"/>
          <w:lang w:eastAsia="zh-CN"/>
        </w:rPr>
      </w:pPr>
      <w:r>
        <w:rPr>
          <w:rFonts w:hint="eastAsia"/>
          <w:color w:val="auto"/>
        </w:rPr>
        <w:t>(</w:t>
      </w:r>
      <w:r>
        <w:rPr>
          <w:rFonts w:hint="eastAsia"/>
          <w:color w:val="auto"/>
          <w:lang w:val="en-US" w:eastAsia="zh-CN"/>
        </w:rPr>
        <w:t>12</w:t>
      </w:r>
      <w:r>
        <w:rPr>
          <w:rFonts w:hint="eastAsia"/>
          <w:color w:val="auto"/>
        </w:rPr>
        <w:t>)</w:t>
      </w:r>
      <w:r>
        <w:rPr>
          <w:rFonts w:hint="eastAsia"/>
          <w:color w:val="auto"/>
          <w:lang w:val="en-US" w:eastAsia="zh-CN"/>
        </w:rPr>
        <w:t>补充</w:t>
      </w:r>
      <w:r>
        <w:rPr>
          <w:rFonts w:hint="eastAsia" w:ascii="宋体" w:hAnsi="宋体" w:eastAsia="宋体"/>
          <w:color w:val="auto"/>
          <w:lang w:val="en-US" w:eastAsia="zh-CN"/>
        </w:rPr>
        <w:t>灭火器配置数量要求</w:t>
      </w:r>
      <w:r>
        <w:rPr>
          <w:rFonts w:hint="eastAsia"/>
          <w:color w:val="auto"/>
          <w:lang w:eastAsia="zh-CN"/>
        </w:rPr>
        <w:t>；</w:t>
      </w:r>
    </w:p>
    <w:p w14:paraId="7E345544">
      <w:pPr>
        <w:ind w:firstLine="560"/>
        <w:rPr>
          <w:rFonts w:hint="eastAsia"/>
          <w:color w:val="auto"/>
        </w:rPr>
      </w:pPr>
      <w:r>
        <w:rPr>
          <w:rFonts w:hint="eastAsia"/>
          <w:color w:val="auto"/>
        </w:rPr>
        <w:t>(</w:t>
      </w:r>
      <w:r>
        <w:rPr>
          <w:rFonts w:hint="eastAsia"/>
          <w:color w:val="auto"/>
          <w:lang w:val="en-US" w:eastAsia="zh-CN"/>
        </w:rPr>
        <w:t>13</w:t>
      </w:r>
      <w:r>
        <w:rPr>
          <w:rFonts w:hint="eastAsia"/>
          <w:color w:val="auto"/>
        </w:rPr>
        <w:t>)</w:t>
      </w:r>
      <w:r>
        <w:rPr>
          <w:rFonts w:hint="eastAsia"/>
          <w:color w:val="auto"/>
          <w:lang w:val="en-US" w:eastAsia="zh-CN"/>
        </w:rPr>
        <w:t>明确</w:t>
      </w:r>
      <w:r>
        <w:rPr>
          <w:rFonts w:hint="eastAsia" w:ascii="宋体" w:hAnsi="宋体" w:eastAsia="宋体"/>
          <w:color w:val="auto"/>
          <w:lang w:val="en-US" w:eastAsia="zh-CN"/>
        </w:rPr>
        <w:t>消防水池容积</w:t>
      </w:r>
      <w:r>
        <w:rPr>
          <w:rFonts w:hint="eastAsia"/>
          <w:color w:val="auto"/>
          <w:lang w:val="en-US" w:eastAsia="zh-CN"/>
        </w:rPr>
        <w:t>；</w:t>
      </w:r>
    </w:p>
    <w:p w14:paraId="167E76D4">
      <w:pPr>
        <w:ind w:firstLine="560"/>
        <w:rPr>
          <w:rFonts w:hint="eastAsia" w:eastAsia="宋体"/>
          <w:color w:val="auto"/>
          <w:lang w:eastAsia="zh-CN"/>
        </w:rPr>
      </w:pPr>
      <w:r>
        <w:rPr>
          <w:rFonts w:hint="eastAsia"/>
          <w:color w:val="auto"/>
        </w:rPr>
        <w:t>(</w:t>
      </w:r>
      <w:r>
        <w:rPr>
          <w:rFonts w:hint="eastAsia"/>
          <w:color w:val="auto"/>
          <w:lang w:val="en-US" w:eastAsia="zh-CN"/>
        </w:rPr>
        <w:t>14</w:t>
      </w:r>
      <w:r>
        <w:rPr>
          <w:rFonts w:hint="eastAsia"/>
          <w:color w:val="auto"/>
        </w:rPr>
        <w:t>)</w:t>
      </w:r>
      <w:r>
        <w:rPr>
          <w:rFonts w:hint="eastAsia"/>
          <w:color w:val="auto"/>
          <w:lang w:val="en-US" w:eastAsia="zh-CN"/>
        </w:rPr>
        <w:t>完善空压机设备保护的具体要求和压风管路设置要求</w:t>
      </w:r>
      <w:r>
        <w:rPr>
          <w:rFonts w:hint="eastAsia"/>
          <w:color w:val="auto"/>
          <w:lang w:eastAsia="zh-CN"/>
        </w:rPr>
        <w:t>；</w:t>
      </w:r>
    </w:p>
    <w:p w14:paraId="25669309">
      <w:pPr>
        <w:ind w:firstLine="560"/>
        <w:rPr>
          <w:rFonts w:hint="eastAsia" w:eastAsia="宋体"/>
          <w:color w:val="auto"/>
          <w:lang w:eastAsia="zh-CN"/>
        </w:rPr>
      </w:pPr>
      <w:r>
        <w:rPr>
          <w:rFonts w:hint="eastAsia" w:ascii="宋体" w:hAnsi="宋体" w:eastAsia="宋体"/>
          <w:color w:val="auto"/>
        </w:rPr>
        <w:t>(</w:t>
      </w:r>
      <w:r>
        <w:rPr>
          <w:rFonts w:hint="eastAsia"/>
          <w:color w:val="auto"/>
          <w:lang w:val="en-US" w:eastAsia="zh-CN"/>
        </w:rPr>
        <w:t>15</w:t>
      </w:r>
      <w:r>
        <w:rPr>
          <w:rFonts w:hint="eastAsia" w:ascii="宋体" w:hAnsi="宋体" w:eastAsia="宋体"/>
          <w:color w:val="auto"/>
        </w:rPr>
        <w:t>)</w:t>
      </w:r>
      <w:r>
        <w:rPr>
          <w:rFonts w:hint="eastAsia" w:ascii="宋体" w:hAnsi="宋体" w:eastAsia="宋体"/>
          <w:color w:val="auto"/>
          <w:lang w:val="en-US" w:eastAsia="zh-CN"/>
        </w:rPr>
        <w:t>该矿山应</w:t>
      </w:r>
      <w:r>
        <w:rPr>
          <w:rFonts w:hint="eastAsia"/>
          <w:color w:val="auto"/>
          <w:lang w:val="en-US" w:eastAsia="zh-CN"/>
        </w:rPr>
        <w:t>当</w:t>
      </w:r>
      <w:r>
        <w:rPr>
          <w:rFonts w:hint="eastAsia" w:ascii="宋体" w:hAnsi="宋体" w:eastAsia="宋体"/>
          <w:color w:val="auto"/>
        </w:rPr>
        <w:t>有注册安全工程师从事安全生产管理工作</w:t>
      </w:r>
      <w:r>
        <w:rPr>
          <w:rFonts w:hint="eastAsia"/>
          <w:color w:val="auto"/>
          <w:lang w:eastAsia="zh-CN"/>
        </w:rPr>
        <w:t>；</w:t>
      </w:r>
    </w:p>
    <w:p w14:paraId="565BEE12">
      <w:pPr>
        <w:ind w:firstLine="560"/>
        <w:rPr>
          <w:rFonts w:hint="eastAsia"/>
          <w:color w:val="auto"/>
          <w:lang w:val="en-US" w:eastAsia="zh-CN"/>
        </w:rPr>
      </w:pPr>
      <w:r>
        <w:rPr>
          <w:rFonts w:hint="eastAsia"/>
          <w:color w:val="auto"/>
          <w:lang w:val="en-US" w:eastAsia="zh-CN"/>
        </w:rPr>
        <w:t>(16)依据矿安综〔2025〕12号文件，完善五职矿长、五科职能部门负责人的要求；</w:t>
      </w:r>
    </w:p>
    <w:p w14:paraId="68762844">
      <w:pPr>
        <w:ind w:firstLine="560"/>
        <w:rPr>
          <w:rFonts w:hint="eastAsia"/>
          <w:color w:val="auto"/>
          <w:lang w:eastAsia="zh-CN"/>
        </w:rPr>
      </w:pPr>
      <w:r>
        <w:rPr>
          <w:rFonts w:hint="eastAsia"/>
          <w:color w:val="auto"/>
          <w:lang w:val="en-US" w:eastAsia="zh-CN"/>
        </w:rPr>
        <w:t>(17)完善</w:t>
      </w:r>
      <w:r>
        <w:rPr>
          <w:rFonts w:hint="eastAsia"/>
          <w:color w:val="auto"/>
        </w:rPr>
        <w:t>安全投入、</w:t>
      </w:r>
      <w:r>
        <w:rPr>
          <w:rFonts w:hint="eastAsia"/>
          <w:color w:val="auto"/>
          <w:lang w:eastAsia="zh-CN"/>
        </w:rPr>
        <w:t>员工培训、</w:t>
      </w:r>
      <w:r>
        <w:rPr>
          <w:rFonts w:hint="eastAsia"/>
          <w:color w:val="auto"/>
        </w:rPr>
        <w:t>安全运行管理</w:t>
      </w:r>
      <w:r>
        <w:rPr>
          <w:rFonts w:hint="eastAsia"/>
          <w:color w:val="auto"/>
          <w:lang w:eastAsia="zh-CN"/>
        </w:rPr>
        <w:t>等</w:t>
      </w:r>
      <w:r>
        <w:rPr>
          <w:rFonts w:hint="eastAsia"/>
          <w:color w:val="auto"/>
        </w:rPr>
        <w:t>相关内容进行完善</w:t>
      </w:r>
      <w:r>
        <w:rPr>
          <w:rFonts w:hint="eastAsia"/>
          <w:color w:val="auto"/>
          <w:lang w:eastAsia="zh-CN"/>
        </w:rPr>
        <w:t>；</w:t>
      </w:r>
    </w:p>
    <w:p w14:paraId="73EB6092">
      <w:pPr>
        <w:ind w:firstLine="560"/>
        <w:rPr>
          <w:rFonts w:hint="default"/>
          <w:color w:val="auto"/>
          <w:lang w:val="en-US" w:eastAsia="zh-CN"/>
        </w:rPr>
      </w:pPr>
      <w:r>
        <w:rPr>
          <w:rFonts w:hint="eastAsia"/>
          <w:color w:val="auto"/>
          <w:lang w:val="en-US" w:eastAsia="zh-CN"/>
        </w:rPr>
        <w:t>(18)建议补充达到勘探程度的地质报告，为下一步安全设施设计提供地质资料的依据。</w:t>
      </w:r>
    </w:p>
    <w:p w14:paraId="2F9AFB03">
      <w:pPr>
        <w:pStyle w:val="2"/>
        <w:spacing w:before="0" w:after="0" w:line="360" w:lineRule="auto"/>
        <w:rPr>
          <w:rFonts w:hAnsi="宋体"/>
          <w:bCs w:val="0"/>
          <w:color w:val="auto"/>
          <w:szCs w:val="32"/>
        </w:rPr>
      </w:pPr>
      <w:r>
        <w:rPr>
          <w:rFonts w:hint="eastAsia" w:hAnsi="宋体"/>
          <w:bCs w:val="0"/>
          <w:color w:val="auto"/>
          <w:szCs w:val="32"/>
        </w:rPr>
        <w:br w:type="page"/>
      </w:r>
      <w:bookmarkStart w:id="173" w:name="_Toc2269"/>
      <w:r>
        <w:rPr>
          <w:rFonts w:hint="eastAsia" w:hAnsi="宋体"/>
          <w:bCs w:val="0"/>
          <w:color w:val="auto"/>
          <w:szCs w:val="32"/>
        </w:rPr>
        <w:t>5 评价结论</w:t>
      </w:r>
      <w:bookmarkEnd w:id="172"/>
      <w:bookmarkEnd w:id="173"/>
    </w:p>
    <w:p w14:paraId="30029222">
      <w:pPr>
        <w:pStyle w:val="3"/>
        <w:rPr>
          <w:color w:val="auto"/>
        </w:rPr>
      </w:pPr>
      <w:bookmarkStart w:id="174" w:name="_Toc338762985"/>
      <w:bookmarkStart w:id="175" w:name="_Toc28111"/>
      <w:bookmarkStart w:id="176" w:name="_Toc338762984"/>
      <w:r>
        <w:rPr>
          <w:rFonts w:hint="eastAsia"/>
          <w:color w:val="auto"/>
        </w:rPr>
        <w:t>5.</w:t>
      </w:r>
      <w:bookmarkStart w:id="177" w:name="_Toc219127244"/>
      <w:bookmarkStart w:id="178" w:name="_Toc219097882"/>
      <w:r>
        <w:rPr>
          <w:rFonts w:hint="eastAsia"/>
          <w:color w:val="auto"/>
        </w:rPr>
        <w:t>1归纳、整合各部分评价结果</w:t>
      </w:r>
      <w:bookmarkEnd w:id="174"/>
      <w:bookmarkEnd w:id="175"/>
      <w:bookmarkEnd w:id="177"/>
      <w:bookmarkEnd w:id="178"/>
    </w:p>
    <w:p w14:paraId="6F30C422">
      <w:pPr>
        <w:pStyle w:val="4"/>
        <w:rPr>
          <w:color w:val="auto"/>
        </w:rPr>
      </w:pPr>
      <w:bookmarkStart w:id="179" w:name="_Toc219127246"/>
      <w:bookmarkStart w:id="180" w:name="_Toc225934729"/>
      <w:r>
        <w:rPr>
          <w:rFonts w:hint="eastAsia"/>
          <w:color w:val="auto"/>
        </w:rPr>
        <w:t>5.1.1主要危险、有害因素评价结果</w:t>
      </w:r>
    </w:p>
    <w:p w14:paraId="008ED8E6">
      <w:pPr>
        <w:ind w:firstLine="560"/>
        <w:rPr>
          <w:rFonts w:ascii="Times New Roman"/>
          <w:color w:val="auto"/>
          <w:szCs w:val="28"/>
        </w:rPr>
      </w:pPr>
      <w:r>
        <w:rPr>
          <w:rFonts w:hint="eastAsia" w:ascii="Times New Roman"/>
          <w:color w:val="auto"/>
          <w:szCs w:val="28"/>
        </w:rPr>
        <w:t>依据重大危险源评价辨识结果，该地下矿山未构成重大危险源。</w:t>
      </w:r>
    </w:p>
    <w:p w14:paraId="01A00B8C">
      <w:pPr>
        <w:ind w:firstLine="560"/>
        <w:rPr>
          <w:color w:val="auto"/>
        </w:rPr>
      </w:pPr>
      <w:r>
        <w:rPr>
          <w:rFonts w:hint="eastAsia"/>
          <w:color w:val="auto"/>
          <w:kern w:val="0"/>
          <w:szCs w:val="28"/>
          <w:lang w:eastAsia="zh-CN"/>
        </w:rPr>
        <w:t>凤县绿能诚睿矿业有限公司</w:t>
      </w:r>
      <w:r>
        <w:rPr>
          <w:rFonts w:hint="eastAsia"/>
          <w:color w:val="auto"/>
          <w:lang w:val="en-US" w:eastAsia="zh-CN"/>
        </w:rPr>
        <w:t>陕西省凤县李家庄方解石矿地下开采工程</w:t>
      </w:r>
      <w:r>
        <w:rPr>
          <w:rFonts w:hint="eastAsia"/>
          <w:color w:val="auto"/>
        </w:rPr>
        <w:t>在建设和生产过程中存在的主要危险、有害因素有：</w:t>
      </w:r>
      <w:r>
        <w:rPr>
          <w:rFonts w:hint="eastAsia" w:ascii="Times New Roman"/>
          <w:color w:val="auto"/>
          <w:szCs w:val="28"/>
        </w:rPr>
        <w:t>高处坠落，机械伤害及物体打击，放炮、火药爆炸，透水，冒顶片帮，车辆伤害，容器爆炸，中毒和窒息，触电，火灾，粉尘、噪声及振动危害以及安全管理缺陷等危险、有害因素。</w:t>
      </w:r>
    </w:p>
    <w:p w14:paraId="75B90B88">
      <w:pPr>
        <w:pStyle w:val="4"/>
        <w:rPr>
          <w:color w:val="auto"/>
        </w:rPr>
      </w:pPr>
      <w:r>
        <w:rPr>
          <w:rFonts w:hint="eastAsia"/>
          <w:color w:val="auto"/>
        </w:rPr>
        <w:t>5.1.2应重视的安全对策措施建议</w:t>
      </w:r>
    </w:p>
    <w:p w14:paraId="2EB6CB3D">
      <w:pPr>
        <w:ind w:firstLine="560"/>
        <w:rPr>
          <w:color w:val="auto"/>
        </w:rPr>
      </w:pPr>
      <w:r>
        <w:rPr>
          <w:rFonts w:hint="eastAsia"/>
          <w:color w:val="auto"/>
        </w:rPr>
        <w:t>为确保矿山安全，建议矿山在今后的基建、生产过程中，应针对上述重点防范的重大危险、有害因素，认真落实相关安全对策措施，严格执行国家的安全生产法律、法规和有关安全规范、规程；加强对职工的安全教育和安全技术培训，使作业人员能熟练掌握安全操作规程，建立矿山安全生产长效机制，提高矿山安全生产整体水平。</w:t>
      </w:r>
    </w:p>
    <w:p w14:paraId="61502F2F">
      <w:pPr>
        <w:ind w:firstLine="560"/>
        <w:rPr>
          <w:color w:val="auto"/>
        </w:rPr>
      </w:pPr>
      <w:r>
        <w:rPr>
          <w:rFonts w:hint="eastAsia"/>
          <w:color w:val="auto"/>
        </w:rPr>
        <w:t>针对该矿存在的危险有害因素，结合</w:t>
      </w:r>
      <w:r>
        <w:rPr>
          <w:rFonts w:hint="eastAsia"/>
          <w:color w:val="auto"/>
          <w:lang w:val="en-US" w:eastAsia="zh-CN"/>
        </w:rPr>
        <w:t>可研报告</w:t>
      </w:r>
      <w:r>
        <w:rPr>
          <w:rFonts w:hint="eastAsia"/>
          <w:color w:val="auto"/>
        </w:rPr>
        <w:t>，</w:t>
      </w:r>
      <w:r>
        <w:rPr>
          <w:rFonts w:hint="eastAsia"/>
          <w:color w:val="auto"/>
          <w:lang w:val="en-US" w:eastAsia="zh-CN"/>
        </w:rPr>
        <w:t>建议安全设施设计采纳</w:t>
      </w:r>
      <w:r>
        <w:rPr>
          <w:rFonts w:hint="eastAsia"/>
          <w:color w:val="auto"/>
        </w:rPr>
        <w:t>以下安全对策措施：</w:t>
      </w:r>
    </w:p>
    <w:p w14:paraId="0F5382F9">
      <w:pPr>
        <w:ind w:firstLine="560"/>
        <w:rPr>
          <w:rFonts w:hint="eastAsia" w:eastAsia="宋体"/>
          <w:color w:val="auto"/>
          <w:lang w:val="en-US" w:eastAsia="zh-CN"/>
        </w:rPr>
      </w:pPr>
      <w:r>
        <w:rPr>
          <w:rFonts w:hint="eastAsia"/>
          <w:color w:val="auto"/>
          <w:lang w:val="en-US" w:eastAsia="zh-CN"/>
        </w:rPr>
        <w:t>(1)</w:t>
      </w:r>
      <w:r>
        <w:rPr>
          <w:rFonts w:hint="eastAsia" w:cs="宋体"/>
          <w:color w:val="auto"/>
          <w:szCs w:val="28"/>
          <w:lang w:val="en-US" w:eastAsia="zh-CN"/>
        </w:rPr>
        <w:t>中段运输巷道宜布置在矿体下盘或下盘，该矿体为方解石，价值较低，若需布置在矿体中央，应明确巷道留设的保护矿柱等参数</w:t>
      </w:r>
      <w:r>
        <w:rPr>
          <w:rFonts w:hint="eastAsia"/>
          <w:color w:val="auto"/>
          <w:lang w:eastAsia="zh-CN"/>
        </w:rPr>
        <w:t>；</w:t>
      </w:r>
    </w:p>
    <w:p w14:paraId="3D2923F4">
      <w:pPr>
        <w:ind w:firstLine="560"/>
        <w:rPr>
          <w:rFonts w:hint="eastAsia"/>
          <w:color w:val="auto"/>
          <w:lang w:val="en-US" w:eastAsia="zh-CN"/>
        </w:rPr>
      </w:pPr>
      <w:r>
        <w:rPr>
          <w:rFonts w:hint="eastAsia"/>
          <w:color w:val="auto"/>
          <w:lang w:val="en-US" w:eastAsia="zh-CN"/>
        </w:rPr>
        <w:t>(2)</w:t>
      </w:r>
      <w:r>
        <w:rPr>
          <w:rFonts w:hint="eastAsia" w:cs="宋体"/>
          <w:color w:val="auto"/>
          <w:szCs w:val="28"/>
          <w:lang w:val="en-US" w:eastAsia="zh-CN"/>
        </w:rPr>
        <w:t>主要平硐和斜坡道布置在岩石移动范围之内，需明确保护措施</w:t>
      </w:r>
      <w:r>
        <w:rPr>
          <w:rFonts w:hint="eastAsia"/>
          <w:color w:val="auto"/>
          <w:lang w:val="en-US" w:eastAsia="zh-CN"/>
        </w:rPr>
        <w:t>；</w:t>
      </w:r>
    </w:p>
    <w:p w14:paraId="7337DEB3">
      <w:pPr>
        <w:ind w:firstLine="560"/>
        <w:rPr>
          <w:rFonts w:hint="eastAsia" w:eastAsia="宋体"/>
          <w:color w:val="auto"/>
          <w:lang w:val="en-US" w:eastAsia="zh-CN"/>
        </w:rPr>
      </w:pPr>
      <w:r>
        <w:rPr>
          <w:rFonts w:hint="eastAsia"/>
          <w:color w:val="auto"/>
          <w:lang w:val="en-US" w:eastAsia="zh-CN"/>
        </w:rPr>
        <w:t>(3)回风井口的风机功率较大，应在</w:t>
      </w:r>
      <w:r>
        <w:rPr>
          <w:color w:val="auto"/>
        </w:rPr>
        <w:t>主扇风机侧设置供人员通过的安全通道，安全通道</w:t>
      </w:r>
      <w:r>
        <w:rPr>
          <w:rFonts w:hint="eastAsia"/>
          <w:color w:val="auto"/>
          <w:lang w:eastAsia="zh-CN"/>
        </w:rPr>
        <w:t>与</w:t>
      </w:r>
      <w:r>
        <w:rPr>
          <w:rFonts w:hint="eastAsia"/>
          <w:color w:val="auto"/>
          <w:lang w:val="en-US" w:eastAsia="zh-CN"/>
        </w:rPr>
        <w:t>主通风机的水平距离应确保人员能正常、安全行走，且须</w:t>
      </w:r>
      <w:r>
        <w:rPr>
          <w:color w:val="auto"/>
        </w:rPr>
        <w:t>安设两道开向相反的密闭风门</w:t>
      </w:r>
      <w:r>
        <w:rPr>
          <w:rFonts w:hint="eastAsia"/>
          <w:color w:val="auto"/>
          <w:lang w:eastAsia="zh-CN"/>
        </w:rPr>
        <w:t>；</w:t>
      </w:r>
    </w:p>
    <w:p w14:paraId="6DEA0B5C">
      <w:pPr>
        <w:ind w:firstLine="560"/>
        <w:rPr>
          <w:rFonts w:hint="eastAsia"/>
          <w:color w:val="auto"/>
          <w:lang w:val="en-US" w:eastAsia="zh-CN"/>
        </w:rPr>
      </w:pPr>
      <w:r>
        <w:rPr>
          <w:rFonts w:hint="eastAsia"/>
          <w:color w:val="auto"/>
          <w:lang w:val="en-US" w:eastAsia="zh-CN"/>
        </w:rPr>
        <w:t>(3)明确缓坡段的坡度、长度；</w:t>
      </w:r>
    </w:p>
    <w:p w14:paraId="532F604A">
      <w:pPr>
        <w:ind w:firstLine="560"/>
        <w:rPr>
          <w:rFonts w:hint="eastAsia"/>
          <w:color w:val="auto"/>
          <w:lang w:val="en-US" w:eastAsia="zh-CN"/>
        </w:rPr>
      </w:pPr>
      <w:r>
        <w:rPr>
          <w:rFonts w:hint="eastAsia" w:ascii="宋体" w:hAnsi="宋体" w:eastAsia="宋体"/>
          <w:color w:val="auto"/>
          <w:lang w:val="en-US" w:eastAsia="zh-CN"/>
        </w:rPr>
        <w:t>(4)</w:t>
      </w:r>
      <w:r>
        <w:rPr>
          <w:rFonts w:hint="eastAsia"/>
          <w:color w:val="auto"/>
          <w:lang w:val="en-US" w:eastAsia="zh-CN"/>
        </w:rPr>
        <w:t>明确</w:t>
      </w:r>
      <w:r>
        <w:rPr>
          <w:rFonts w:hint="eastAsia" w:ascii="宋体" w:hAnsi="宋体" w:eastAsia="宋体"/>
          <w:color w:val="auto"/>
          <w:lang w:val="en-US" w:eastAsia="zh-CN"/>
        </w:rPr>
        <w:t>无轨设备管理要求</w:t>
      </w:r>
      <w:r>
        <w:rPr>
          <w:rFonts w:hint="eastAsia"/>
          <w:color w:val="auto"/>
          <w:lang w:val="en-US" w:eastAsia="zh-CN"/>
        </w:rPr>
        <w:t>；</w:t>
      </w:r>
    </w:p>
    <w:p w14:paraId="370A9E91">
      <w:pPr>
        <w:ind w:firstLine="560"/>
        <w:rPr>
          <w:rFonts w:hint="eastAsia"/>
          <w:color w:val="auto"/>
          <w:lang w:val="en-US" w:eastAsia="zh-CN"/>
        </w:rPr>
      </w:pPr>
      <w:r>
        <w:rPr>
          <w:rFonts w:hint="eastAsia" w:ascii="宋体" w:hAnsi="宋体" w:eastAsia="宋体"/>
          <w:color w:val="auto"/>
          <w:lang w:val="en-US" w:eastAsia="zh-CN"/>
        </w:rPr>
        <w:t>(</w:t>
      </w:r>
      <w:r>
        <w:rPr>
          <w:rFonts w:hint="eastAsia"/>
          <w:color w:val="auto"/>
          <w:lang w:val="en-US" w:eastAsia="zh-CN"/>
        </w:rPr>
        <w:t>5</w:t>
      </w:r>
      <w:r>
        <w:rPr>
          <w:rFonts w:hint="eastAsia" w:ascii="宋体" w:hAnsi="宋体" w:eastAsia="宋体"/>
          <w:color w:val="auto"/>
          <w:lang w:val="en-US" w:eastAsia="zh-CN"/>
        </w:rPr>
        <w:t>)</w:t>
      </w:r>
      <w:r>
        <w:rPr>
          <w:rFonts w:hint="eastAsia"/>
          <w:color w:val="auto"/>
          <w:lang w:val="en-US" w:eastAsia="zh-CN"/>
        </w:rPr>
        <w:t>运输人员、油料的无轨设备要求；</w:t>
      </w:r>
    </w:p>
    <w:p w14:paraId="12D04F59">
      <w:pPr>
        <w:ind w:firstLine="560"/>
        <w:rPr>
          <w:rFonts w:hint="eastAsia"/>
          <w:color w:val="auto"/>
          <w:lang w:val="en-US" w:eastAsia="zh-CN"/>
        </w:rPr>
      </w:pPr>
      <w:r>
        <w:rPr>
          <w:rFonts w:hint="eastAsia" w:ascii="宋体" w:hAnsi="宋体" w:eastAsia="宋体"/>
          <w:color w:val="auto"/>
          <w:lang w:val="en-US" w:eastAsia="zh-CN"/>
        </w:rPr>
        <w:t>(</w:t>
      </w:r>
      <w:r>
        <w:rPr>
          <w:rFonts w:hint="eastAsia"/>
          <w:color w:val="auto"/>
          <w:lang w:val="en-US" w:eastAsia="zh-CN"/>
        </w:rPr>
        <w:t>6</w:t>
      </w:r>
      <w:r>
        <w:rPr>
          <w:rFonts w:hint="eastAsia" w:ascii="宋体" w:hAnsi="宋体" w:eastAsia="宋体"/>
          <w:color w:val="auto"/>
          <w:lang w:val="en-US" w:eastAsia="zh-CN"/>
        </w:rPr>
        <w:t>)</w:t>
      </w:r>
      <w:r>
        <w:rPr>
          <w:rFonts w:hint="eastAsia"/>
          <w:color w:val="auto"/>
          <w:lang w:val="en-US" w:eastAsia="zh-CN"/>
        </w:rPr>
        <w:t>螺旋式斜坡道运输会产生离心力，容易造成车辆侧翻、侧滑，此外还存在视距不良问题，下一步安全设施设计应针对针对上述问题采取措施；</w:t>
      </w:r>
    </w:p>
    <w:p w14:paraId="220DE85C">
      <w:pPr>
        <w:ind w:firstLine="560"/>
        <w:rPr>
          <w:rFonts w:hint="eastAsia"/>
          <w:color w:val="auto"/>
          <w:lang w:val="en-US" w:eastAsia="zh-CN"/>
        </w:rPr>
      </w:pPr>
      <w:r>
        <w:rPr>
          <w:rFonts w:hint="eastAsia" w:ascii="宋体" w:hAnsi="宋体" w:eastAsia="宋体"/>
          <w:color w:val="auto"/>
          <w:lang w:val="en-US" w:eastAsia="zh-CN"/>
        </w:rPr>
        <w:t>(</w:t>
      </w:r>
      <w:r>
        <w:rPr>
          <w:rFonts w:hint="eastAsia"/>
          <w:color w:val="auto"/>
          <w:lang w:val="en-US" w:eastAsia="zh-CN"/>
        </w:rPr>
        <w:t>7</w:t>
      </w:r>
      <w:r>
        <w:rPr>
          <w:rFonts w:hint="eastAsia" w:ascii="宋体" w:hAnsi="宋体" w:eastAsia="宋体"/>
          <w:color w:val="auto"/>
          <w:lang w:val="en-US" w:eastAsia="zh-CN"/>
        </w:rPr>
        <w:t>)</w:t>
      </w:r>
      <w:r>
        <w:rPr>
          <w:rFonts w:hint="eastAsia"/>
          <w:color w:val="auto"/>
          <w:lang w:val="en-US" w:eastAsia="zh-CN"/>
        </w:rPr>
        <w:t>建议下一步安全设施设计细化采空区处理措施，考虑采用废石对采空区进行充填；</w:t>
      </w:r>
    </w:p>
    <w:p w14:paraId="77736B01">
      <w:pPr>
        <w:ind w:firstLine="560"/>
        <w:rPr>
          <w:rFonts w:hint="eastAsia"/>
          <w:color w:val="auto"/>
        </w:rPr>
      </w:pPr>
      <w:r>
        <w:rPr>
          <w:rFonts w:hint="eastAsia"/>
          <w:color w:val="auto"/>
        </w:rPr>
        <w:t>(</w:t>
      </w:r>
      <w:r>
        <w:rPr>
          <w:rFonts w:hint="eastAsia"/>
          <w:color w:val="auto"/>
          <w:lang w:val="en-US" w:eastAsia="zh-CN"/>
        </w:rPr>
        <w:t>8</w:t>
      </w:r>
      <w:r>
        <w:rPr>
          <w:rFonts w:hint="eastAsia"/>
          <w:color w:val="auto"/>
        </w:rPr>
        <w:t>)</w:t>
      </w:r>
      <w:r>
        <w:rPr>
          <w:rFonts w:hint="eastAsia"/>
          <w:color w:val="auto"/>
          <w:lang w:val="en-US" w:eastAsia="zh-CN"/>
        </w:rPr>
        <w:t>明确采用阻燃风筒及风筒直径、风机口的安全防护措施；</w:t>
      </w:r>
    </w:p>
    <w:p w14:paraId="1BC75BF2">
      <w:pPr>
        <w:ind w:firstLine="560"/>
        <w:rPr>
          <w:rFonts w:hint="eastAsia"/>
          <w:color w:val="auto"/>
          <w:lang w:val="en-US" w:eastAsia="zh-CN"/>
        </w:rPr>
      </w:pPr>
      <w:r>
        <w:rPr>
          <w:rFonts w:hint="eastAsia"/>
          <w:color w:val="auto"/>
        </w:rPr>
        <w:t>(</w:t>
      </w:r>
      <w:r>
        <w:rPr>
          <w:rFonts w:hint="eastAsia"/>
          <w:color w:val="auto"/>
          <w:lang w:val="en-US" w:eastAsia="zh-CN"/>
        </w:rPr>
        <w:t>9</w:t>
      </w:r>
      <w:r>
        <w:rPr>
          <w:rFonts w:hint="eastAsia"/>
          <w:color w:val="auto"/>
        </w:rPr>
        <w:t>)明确</w:t>
      </w:r>
      <w:r>
        <w:rPr>
          <w:rFonts w:hint="eastAsia"/>
          <w:color w:val="auto"/>
          <w:lang w:val="en-US" w:eastAsia="zh-CN"/>
        </w:rPr>
        <w:t>电缆</w:t>
      </w:r>
      <w:r>
        <w:rPr>
          <w:rFonts w:hint="eastAsia"/>
          <w:color w:val="auto"/>
          <w:lang w:eastAsia="zh-CN"/>
        </w:rPr>
        <w:t>的</w:t>
      </w:r>
      <w:r>
        <w:rPr>
          <w:rFonts w:hint="eastAsia"/>
          <w:color w:val="auto"/>
          <w:lang w:val="en-US" w:eastAsia="zh-CN"/>
        </w:rPr>
        <w:t>型号规格和敷设要求；</w:t>
      </w:r>
    </w:p>
    <w:p w14:paraId="28463361">
      <w:pPr>
        <w:ind w:firstLine="560"/>
        <w:rPr>
          <w:rFonts w:hint="eastAsia"/>
          <w:color w:val="auto"/>
          <w:lang w:val="en-US" w:eastAsia="zh-CN"/>
        </w:rPr>
      </w:pPr>
      <w:r>
        <w:rPr>
          <w:rFonts w:hint="eastAsia"/>
          <w:color w:val="auto"/>
        </w:rPr>
        <w:t>(</w:t>
      </w:r>
      <w:r>
        <w:rPr>
          <w:rFonts w:hint="eastAsia"/>
          <w:color w:val="auto"/>
          <w:lang w:val="en-US" w:eastAsia="zh-CN"/>
        </w:rPr>
        <w:t>10</w:t>
      </w:r>
      <w:r>
        <w:rPr>
          <w:rFonts w:hint="eastAsia"/>
          <w:color w:val="auto"/>
        </w:rPr>
        <w:t>)</w:t>
      </w:r>
      <w:r>
        <w:rPr>
          <w:rFonts w:hint="eastAsia"/>
          <w:color w:val="auto"/>
          <w:lang w:val="en-US" w:eastAsia="zh-CN"/>
        </w:rPr>
        <w:t>按照《矿山电力设计标准》</w:t>
      </w:r>
      <w:r>
        <w:rPr>
          <w:rFonts w:hint="eastAsia"/>
          <w:color w:val="auto"/>
          <w:sz w:val="21"/>
          <w:szCs w:val="21"/>
          <w:lang w:eastAsia="zh-CN"/>
        </w:rPr>
        <w:t>，</w:t>
      </w:r>
      <w:r>
        <w:rPr>
          <w:rFonts w:hint="eastAsia"/>
          <w:color w:val="auto"/>
          <w:lang w:val="en-US" w:eastAsia="zh-CN"/>
        </w:rPr>
        <w:t>矿山无一级负荷用电设备，可由一回电源线路供电，建议取消备用电源；</w:t>
      </w:r>
    </w:p>
    <w:p w14:paraId="639D279D">
      <w:pPr>
        <w:ind w:firstLine="560"/>
        <w:rPr>
          <w:rFonts w:hint="eastAsia"/>
          <w:color w:val="auto"/>
          <w:lang w:val="en-US" w:eastAsia="zh-CN"/>
        </w:rPr>
      </w:pPr>
      <w:r>
        <w:rPr>
          <w:rFonts w:hint="eastAsia"/>
          <w:color w:val="auto"/>
        </w:rPr>
        <w:t>(</w:t>
      </w:r>
      <w:r>
        <w:rPr>
          <w:rFonts w:hint="eastAsia"/>
          <w:color w:val="auto"/>
          <w:lang w:val="en-US" w:eastAsia="zh-CN"/>
        </w:rPr>
        <w:t>11</w:t>
      </w:r>
      <w:r>
        <w:rPr>
          <w:rFonts w:hint="eastAsia"/>
          <w:color w:val="auto"/>
        </w:rPr>
        <w:t>)</w:t>
      </w:r>
      <w:r>
        <w:rPr>
          <w:rFonts w:hint="eastAsia"/>
          <w:color w:val="auto"/>
          <w:lang w:val="en-US" w:eastAsia="zh-CN"/>
        </w:rPr>
        <w:t>明确采区变电所的位置和设置要求；</w:t>
      </w:r>
    </w:p>
    <w:p w14:paraId="1C7EC212">
      <w:pPr>
        <w:ind w:firstLine="560"/>
        <w:rPr>
          <w:rFonts w:hint="eastAsia" w:ascii="宋体" w:hAnsi="宋体" w:eastAsia="宋体"/>
          <w:color w:val="auto"/>
          <w:lang w:eastAsia="zh-CN"/>
        </w:rPr>
      </w:pPr>
      <w:r>
        <w:rPr>
          <w:rFonts w:hint="eastAsia"/>
          <w:color w:val="auto"/>
        </w:rPr>
        <w:t>(</w:t>
      </w:r>
      <w:r>
        <w:rPr>
          <w:rFonts w:hint="eastAsia"/>
          <w:color w:val="auto"/>
          <w:lang w:val="en-US" w:eastAsia="zh-CN"/>
        </w:rPr>
        <w:t>12</w:t>
      </w:r>
      <w:r>
        <w:rPr>
          <w:rFonts w:hint="eastAsia"/>
          <w:color w:val="auto"/>
        </w:rPr>
        <w:t>)</w:t>
      </w:r>
      <w:r>
        <w:rPr>
          <w:rFonts w:hint="eastAsia"/>
          <w:color w:val="auto"/>
          <w:lang w:val="en-US" w:eastAsia="zh-CN"/>
        </w:rPr>
        <w:t>补充</w:t>
      </w:r>
      <w:r>
        <w:rPr>
          <w:rFonts w:hint="eastAsia" w:ascii="宋体" w:hAnsi="宋体" w:eastAsia="宋体"/>
          <w:color w:val="auto"/>
          <w:lang w:val="en-US" w:eastAsia="zh-CN"/>
        </w:rPr>
        <w:t>灭火器配置数量要求</w:t>
      </w:r>
      <w:r>
        <w:rPr>
          <w:rFonts w:hint="eastAsia"/>
          <w:color w:val="auto"/>
          <w:lang w:eastAsia="zh-CN"/>
        </w:rPr>
        <w:t>；</w:t>
      </w:r>
    </w:p>
    <w:p w14:paraId="7ECFE166">
      <w:pPr>
        <w:ind w:firstLine="560"/>
        <w:rPr>
          <w:rFonts w:hint="eastAsia"/>
          <w:color w:val="auto"/>
        </w:rPr>
      </w:pPr>
      <w:r>
        <w:rPr>
          <w:rFonts w:hint="eastAsia"/>
          <w:color w:val="auto"/>
        </w:rPr>
        <w:t>(</w:t>
      </w:r>
      <w:r>
        <w:rPr>
          <w:rFonts w:hint="eastAsia"/>
          <w:color w:val="auto"/>
          <w:lang w:val="en-US" w:eastAsia="zh-CN"/>
        </w:rPr>
        <w:t>13</w:t>
      </w:r>
      <w:r>
        <w:rPr>
          <w:rFonts w:hint="eastAsia"/>
          <w:color w:val="auto"/>
        </w:rPr>
        <w:t>)</w:t>
      </w:r>
      <w:r>
        <w:rPr>
          <w:rFonts w:hint="eastAsia"/>
          <w:color w:val="auto"/>
          <w:lang w:val="en-US" w:eastAsia="zh-CN"/>
        </w:rPr>
        <w:t>明确</w:t>
      </w:r>
      <w:r>
        <w:rPr>
          <w:rFonts w:hint="eastAsia" w:ascii="宋体" w:hAnsi="宋体" w:eastAsia="宋体"/>
          <w:color w:val="auto"/>
          <w:lang w:val="en-US" w:eastAsia="zh-CN"/>
        </w:rPr>
        <w:t>消防水池容积</w:t>
      </w:r>
      <w:r>
        <w:rPr>
          <w:rFonts w:hint="eastAsia"/>
          <w:color w:val="auto"/>
          <w:lang w:val="en-US" w:eastAsia="zh-CN"/>
        </w:rPr>
        <w:t>不小于200m³；</w:t>
      </w:r>
    </w:p>
    <w:p w14:paraId="353472E1">
      <w:pPr>
        <w:ind w:firstLine="560"/>
        <w:rPr>
          <w:rFonts w:hint="eastAsia" w:eastAsia="宋体"/>
          <w:color w:val="auto"/>
          <w:lang w:eastAsia="zh-CN"/>
        </w:rPr>
      </w:pPr>
      <w:r>
        <w:rPr>
          <w:rFonts w:hint="eastAsia"/>
          <w:color w:val="auto"/>
        </w:rPr>
        <w:t>(</w:t>
      </w:r>
      <w:r>
        <w:rPr>
          <w:rFonts w:hint="eastAsia"/>
          <w:color w:val="auto"/>
          <w:lang w:val="en-US" w:eastAsia="zh-CN"/>
        </w:rPr>
        <w:t>14</w:t>
      </w:r>
      <w:r>
        <w:rPr>
          <w:rFonts w:hint="eastAsia"/>
          <w:color w:val="auto"/>
        </w:rPr>
        <w:t>)</w:t>
      </w:r>
      <w:r>
        <w:rPr>
          <w:rFonts w:hint="eastAsia"/>
          <w:color w:val="auto"/>
          <w:lang w:val="en-US" w:eastAsia="zh-CN"/>
        </w:rPr>
        <w:t>完善空压机设备保护的具体要求和压风管路设置要求</w:t>
      </w:r>
      <w:r>
        <w:rPr>
          <w:rFonts w:hint="eastAsia"/>
          <w:color w:val="auto"/>
          <w:lang w:eastAsia="zh-CN"/>
        </w:rPr>
        <w:t>；</w:t>
      </w:r>
    </w:p>
    <w:p w14:paraId="2FC4B646">
      <w:pPr>
        <w:ind w:firstLine="560"/>
        <w:rPr>
          <w:rFonts w:hint="eastAsia" w:eastAsia="宋体"/>
          <w:color w:val="auto"/>
          <w:lang w:eastAsia="zh-CN"/>
        </w:rPr>
      </w:pPr>
      <w:r>
        <w:rPr>
          <w:rFonts w:hint="eastAsia" w:ascii="宋体" w:hAnsi="宋体" w:eastAsia="宋体"/>
          <w:color w:val="auto"/>
        </w:rPr>
        <w:t>(</w:t>
      </w:r>
      <w:r>
        <w:rPr>
          <w:rFonts w:hint="eastAsia"/>
          <w:color w:val="auto"/>
          <w:lang w:val="en-US" w:eastAsia="zh-CN"/>
        </w:rPr>
        <w:t>15</w:t>
      </w:r>
      <w:r>
        <w:rPr>
          <w:rFonts w:hint="eastAsia" w:ascii="宋体" w:hAnsi="宋体" w:eastAsia="宋体"/>
          <w:color w:val="auto"/>
        </w:rPr>
        <w:t>)</w:t>
      </w:r>
      <w:r>
        <w:rPr>
          <w:rFonts w:hint="eastAsia" w:ascii="宋体" w:hAnsi="宋体" w:eastAsia="宋体"/>
          <w:color w:val="auto"/>
          <w:lang w:val="en-US" w:eastAsia="zh-CN"/>
        </w:rPr>
        <w:t>该矿山应</w:t>
      </w:r>
      <w:r>
        <w:rPr>
          <w:rFonts w:hint="eastAsia"/>
          <w:color w:val="auto"/>
          <w:lang w:val="en-US" w:eastAsia="zh-CN"/>
        </w:rPr>
        <w:t>当</w:t>
      </w:r>
      <w:r>
        <w:rPr>
          <w:rFonts w:hint="eastAsia" w:ascii="宋体" w:hAnsi="宋体" w:eastAsia="宋体"/>
          <w:color w:val="auto"/>
        </w:rPr>
        <w:t>有注册安全工程师从事安全生产管理工作</w:t>
      </w:r>
      <w:r>
        <w:rPr>
          <w:rFonts w:hint="eastAsia"/>
          <w:color w:val="auto"/>
          <w:lang w:eastAsia="zh-CN"/>
        </w:rPr>
        <w:t>；</w:t>
      </w:r>
    </w:p>
    <w:p w14:paraId="2A3C2F41">
      <w:pPr>
        <w:ind w:firstLine="560"/>
        <w:rPr>
          <w:rFonts w:hint="eastAsia"/>
          <w:color w:val="auto"/>
          <w:lang w:val="en-US" w:eastAsia="zh-CN"/>
        </w:rPr>
      </w:pPr>
      <w:r>
        <w:rPr>
          <w:rFonts w:hint="eastAsia"/>
          <w:color w:val="auto"/>
          <w:lang w:val="en-US" w:eastAsia="zh-CN"/>
        </w:rPr>
        <w:t>(16)依据矿安综〔2025〕12号文件，完善五职矿长、五科职能部门负责人的要求；</w:t>
      </w:r>
    </w:p>
    <w:p w14:paraId="79762B6A">
      <w:pPr>
        <w:ind w:firstLine="560"/>
        <w:rPr>
          <w:rFonts w:hint="eastAsia"/>
          <w:color w:val="auto"/>
          <w:lang w:eastAsia="zh-CN"/>
        </w:rPr>
      </w:pPr>
      <w:r>
        <w:rPr>
          <w:rFonts w:hint="eastAsia"/>
          <w:color w:val="auto"/>
          <w:lang w:val="en-US" w:eastAsia="zh-CN"/>
        </w:rPr>
        <w:t>(17)完善</w:t>
      </w:r>
      <w:r>
        <w:rPr>
          <w:rFonts w:hint="eastAsia"/>
          <w:color w:val="auto"/>
        </w:rPr>
        <w:t>安全投入、</w:t>
      </w:r>
      <w:r>
        <w:rPr>
          <w:rFonts w:hint="eastAsia"/>
          <w:color w:val="auto"/>
          <w:lang w:eastAsia="zh-CN"/>
        </w:rPr>
        <w:t>员工培训、</w:t>
      </w:r>
      <w:r>
        <w:rPr>
          <w:rFonts w:hint="eastAsia"/>
          <w:color w:val="auto"/>
        </w:rPr>
        <w:t>安全运行管理</w:t>
      </w:r>
      <w:r>
        <w:rPr>
          <w:rFonts w:hint="eastAsia"/>
          <w:color w:val="auto"/>
          <w:lang w:eastAsia="zh-CN"/>
        </w:rPr>
        <w:t>等</w:t>
      </w:r>
      <w:r>
        <w:rPr>
          <w:rFonts w:hint="eastAsia"/>
          <w:color w:val="auto"/>
        </w:rPr>
        <w:t>相关内容进行完善</w:t>
      </w:r>
      <w:r>
        <w:rPr>
          <w:rFonts w:hint="eastAsia"/>
          <w:color w:val="auto"/>
          <w:lang w:eastAsia="zh-CN"/>
        </w:rPr>
        <w:t>；</w:t>
      </w:r>
    </w:p>
    <w:p w14:paraId="71CCBA3A">
      <w:pPr>
        <w:ind w:firstLine="560"/>
        <w:rPr>
          <w:rFonts w:hint="eastAsia"/>
          <w:color w:val="auto"/>
          <w:lang w:val="en-US" w:eastAsia="zh-CN"/>
        </w:rPr>
      </w:pPr>
      <w:r>
        <w:rPr>
          <w:rFonts w:hint="eastAsia"/>
          <w:color w:val="auto"/>
          <w:lang w:val="en-US" w:eastAsia="zh-CN"/>
        </w:rPr>
        <w:t>(18)建议补充达到勘探程度的地质报告，为下一步安全设施设计提供地质资料的依据。</w:t>
      </w:r>
    </w:p>
    <w:p w14:paraId="201E1150">
      <w:pPr>
        <w:pStyle w:val="4"/>
        <w:spacing w:before="0" w:after="0" w:line="360" w:lineRule="auto"/>
        <w:rPr>
          <w:rFonts w:hAnsi="宋体"/>
          <w:color w:val="auto"/>
        </w:rPr>
      </w:pPr>
      <w:r>
        <w:rPr>
          <w:rFonts w:hint="eastAsia" w:hAnsi="宋体"/>
          <w:color w:val="auto"/>
        </w:rPr>
        <w:t>5.1.3潜在的危险、有害因素在采取安全对策措施后的受控的程度</w:t>
      </w:r>
    </w:p>
    <w:p w14:paraId="75C1C4D2">
      <w:pPr>
        <w:ind w:firstLine="560"/>
        <w:rPr>
          <w:color w:val="auto"/>
        </w:rPr>
      </w:pPr>
      <w:r>
        <w:rPr>
          <w:color w:val="auto"/>
        </w:rPr>
        <w:t>综上所述，建设单位认真落实报告</w:t>
      </w:r>
      <w:r>
        <w:rPr>
          <w:rFonts w:hint="eastAsia"/>
          <w:color w:val="auto"/>
        </w:rPr>
        <w:t>中</w:t>
      </w:r>
      <w:r>
        <w:rPr>
          <w:color w:val="auto"/>
        </w:rPr>
        <w:t>提出的各项安全对策措施及建议，确保安全设施与主体工程</w:t>
      </w:r>
      <w:r>
        <w:rPr>
          <w:rFonts w:hint="eastAsia"/>
          <w:color w:val="auto"/>
        </w:rPr>
        <w:t>的</w:t>
      </w:r>
      <w:r>
        <w:rPr>
          <w:color w:val="auto"/>
        </w:rPr>
        <w:t>“三同时”，实现建设工程本质化安全，该建设项目的安全风险可以降低到可控制范围内。</w:t>
      </w:r>
    </w:p>
    <w:bookmarkEnd w:id="179"/>
    <w:bookmarkEnd w:id="180"/>
    <w:p w14:paraId="7BF999AA">
      <w:pPr>
        <w:pStyle w:val="3"/>
        <w:rPr>
          <w:color w:val="auto"/>
        </w:rPr>
      </w:pPr>
      <w:bookmarkStart w:id="181" w:name="_Toc8794"/>
      <w:r>
        <w:rPr>
          <w:rFonts w:hint="eastAsia"/>
          <w:color w:val="auto"/>
        </w:rPr>
        <w:t>5.2建设项目安全状况综合评述</w:t>
      </w:r>
      <w:bookmarkEnd w:id="176"/>
      <w:bookmarkEnd w:id="181"/>
    </w:p>
    <w:p w14:paraId="6D133408">
      <w:pPr>
        <w:ind w:firstLine="560"/>
        <w:rPr>
          <w:color w:val="auto"/>
        </w:rPr>
      </w:pPr>
      <w:r>
        <w:rPr>
          <w:rFonts w:hint="eastAsia"/>
          <w:color w:val="auto"/>
        </w:rPr>
        <w:t>该项目选址从安全角度来说符合相关要求，总体布置合理，拟建地下采矿工程与周围环境之间</w:t>
      </w:r>
      <w:r>
        <w:rPr>
          <w:rFonts w:hint="eastAsia"/>
          <w:color w:val="auto"/>
          <w:lang w:val="en-US" w:eastAsia="zh-CN"/>
        </w:rPr>
        <w:t>不存在相互安全影响</w:t>
      </w:r>
      <w:r>
        <w:rPr>
          <w:rFonts w:hint="eastAsia"/>
          <w:color w:val="auto"/>
        </w:rPr>
        <w:t>。</w:t>
      </w:r>
    </w:p>
    <w:p w14:paraId="56FB598D">
      <w:pPr>
        <w:ind w:firstLine="560"/>
        <w:rPr>
          <w:color w:val="auto"/>
        </w:rPr>
      </w:pPr>
      <w:r>
        <w:rPr>
          <w:rFonts w:hint="eastAsia"/>
          <w:color w:val="auto"/>
        </w:rPr>
        <w:t>地下采矿工程的开拓、运输、采掘、通风、供配电、防排水及防灭火等系统的设计方案总体合理，建议在进行下步安全设施设计时，对本报告所提出的建议进行补充、完善，建设单位也应按照有关规定，制定相关的管理制度，确保矿山安全设施设计</w:t>
      </w:r>
      <w:r>
        <w:rPr>
          <w:rFonts w:hint="eastAsia"/>
          <w:color w:val="auto"/>
          <w:lang w:eastAsia="zh-CN"/>
        </w:rPr>
        <w:t>得到</w:t>
      </w:r>
      <w:r>
        <w:rPr>
          <w:rFonts w:hint="eastAsia"/>
          <w:color w:val="auto"/>
        </w:rPr>
        <w:t>全面和可靠的落实。</w:t>
      </w:r>
    </w:p>
    <w:p w14:paraId="584F900A">
      <w:pPr>
        <w:pStyle w:val="3"/>
        <w:rPr>
          <w:color w:val="auto"/>
        </w:rPr>
      </w:pPr>
      <w:bookmarkStart w:id="182" w:name="_Toc276368296"/>
      <w:bookmarkStart w:id="183" w:name="_Toc27908"/>
      <w:bookmarkStart w:id="184" w:name="_Toc256678573"/>
      <w:bookmarkStart w:id="185" w:name="_Toc338762986"/>
      <w:bookmarkStart w:id="186" w:name="_Toc272314796"/>
      <w:r>
        <w:rPr>
          <w:rFonts w:hint="eastAsia"/>
          <w:color w:val="auto"/>
        </w:rPr>
        <w:t>5.3安全总体评价结论</w:t>
      </w:r>
      <w:bookmarkEnd w:id="182"/>
      <w:bookmarkEnd w:id="183"/>
      <w:bookmarkEnd w:id="184"/>
      <w:bookmarkEnd w:id="185"/>
      <w:bookmarkEnd w:id="186"/>
    </w:p>
    <w:p w14:paraId="0C0313BE">
      <w:pPr>
        <w:ind w:firstLine="560"/>
        <w:rPr>
          <w:rFonts w:hint="eastAsia"/>
          <w:b/>
          <w:color w:val="auto"/>
          <w:szCs w:val="28"/>
        </w:rPr>
        <w:sectPr>
          <w:headerReference r:id="rId21" w:type="default"/>
          <w:footerReference r:id="rId23" w:type="default"/>
          <w:headerReference r:id="rId22" w:type="even"/>
          <w:pgSz w:w="11906" w:h="16838"/>
          <w:pgMar w:top="1417" w:right="1134" w:bottom="1020" w:left="1587" w:header="851" w:footer="850" w:gutter="0"/>
          <w:pgBorders>
            <w:top w:val="none" w:sz="0" w:space="0"/>
            <w:left w:val="none" w:sz="0" w:space="0"/>
            <w:bottom w:val="none" w:sz="0" w:space="0"/>
            <w:right w:val="none" w:sz="0" w:space="0"/>
          </w:pgBorders>
          <w:pgNumType w:fmt="decimal"/>
          <w:cols w:space="0" w:num="1"/>
          <w:docGrid w:type="lines" w:linePitch="312" w:charSpace="0"/>
        </w:sectPr>
      </w:pPr>
      <w:r>
        <w:rPr>
          <w:rFonts w:hint="eastAsia"/>
          <w:color w:val="auto"/>
        </w:rPr>
        <w:t>评价结论：</w:t>
      </w:r>
      <w:r>
        <w:rPr>
          <w:rFonts w:hint="eastAsia"/>
          <w:b/>
          <w:bCs/>
          <w:color w:val="auto"/>
          <w:lang w:eastAsia="zh-CN"/>
        </w:rPr>
        <w:t>凤县绿能诚睿矿业有限公司</w:t>
      </w:r>
      <w:r>
        <w:rPr>
          <w:rFonts w:hint="eastAsia"/>
          <w:b/>
          <w:bCs/>
          <w:color w:val="auto"/>
          <w:lang w:val="en-US" w:eastAsia="zh-CN"/>
        </w:rPr>
        <w:t>陕西省凤县李家庄方解石矿</w:t>
      </w:r>
      <w:r>
        <w:rPr>
          <w:rFonts w:hint="eastAsia"/>
          <w:b/>
          <w:bCs/>
          <w:color w:val="auto"/>
          <w:lang w:eastAsia="zh-CN"/>
        </w:rPr>
        <w:t>地下</w:t>
      </w:r>
      <w:r>
        <w:rPr>
          <w:rFonts w:hint="eastAsia"/>
          <w:b/>
          <w:bCs/>
          <w:color w:val="auto"/>
          <w:lang w:val="en-US" w:eastAsia="zh-CN"/>
        </w:rPr>
        <w:t>开采</w:t>
      </w:r>
      <w:r>
        <w:rPr>
          <w:rFonts w:hint="eastAsia"/>
          <w:b/>
          <w:bCs/>
          <w:color w:val="auto"/>
          <w:lang w:eastAsia="zh-CN"/>
        </w:rPr>
        <w:t>工程</w:t>
      </w:r>
      <w:r>
        <w:rPr>
          <w:rFonts w:hint="eastAsia"/>
          <w:b/>
          <w:bCs/>
          <w:color w:val="auto"/>
        </w:rPr>
        <w:t>建设方案完善本评价报告提出的安全措施建议后，从安全生产角度分析，符合国家法律、法规、规章、标准</w:t>
      </w:r>
      <w:r>
        <w:rPr>
          <w:rFonts w:hint="eastAsia"/>
          <w:b/>
          <w:bCs/>
          <w:color w:val="auto"/>
          <w:lang w:val="en-US" w:eastAsia="zh-CN"/>
        </w:rPr>
        <w:t>和</w:t>
      </w:r>
      <w:r>
        <w:rPr>
          <w:rFonts w:hint="eastAsia"/>
          <w:b/>
          <w:bCs/>
          <w:color w:val="auto"/>
        </w:rPr>
        <w:t>规范的要求。</w:t>
      </w:r>
    </w:p>
    <w:p w14:paraId="0FC53ED3">
      <w:pPr>
        <w:pStyle w:val="2"/>
        <w:rPr>
          <w:color w:val="auto"/>
        </w:rPr>
      </w:pPr>
      <w:bookmarkStart w:id="187" w:name="_Toc10545"/>
      <w:bookmarkStart w:id="188" w:name="_Toc23767"/>
      <w:r>
        <w:rPr>
          <w:rFonts w:hint="eastAsia"/>
          <w:color w:val="auto"/>
        </w:rPr>
        <w:t>6 附件</w:t>
      </w:r>
      <w:bookmarkEnd w:id="187"/>
      <w:bookmarkEnd w:id="188"/>
    </w:p>
    <w:p w14:paraId="087FC5D8">
      <w:pPr>
        <w:ind w:firstLine="560"/>
        <w:rPr>
          <w:color w:val="auto"/>
        </w:rPr>
      </w:pPr>
      <w:r>
        <w:rPr>
          <w:rFonts w:hint="eastAsia"/>
          <w:color w:val="auto"/>
        </w:rPr>
        <w:t>(1)安全预评价委托书</w:t>
      </w:r>
    </w:p>
    <w:p w14:paraId="167E94A3">
      <w:pPr>
        <w:ind w:firstLine="560"/>
        <w:rPr>
          <w:rFonts w:hint="default" w:eastAsia="宋体"/>
          <w:color w:val="auto"/>
          <w:lang w:val="en-US" w:eastAsia="zh-CN"/>
        </w:rPr>
      </w:pPr>
      <w:r>
        <w:rPr>
          <w:rFonts w:hint="eastAsia"/>
          <w:color w:val="auto"/>
        </w:rPr>
        <w:t>(</w:t>
      </w:r>
      <w:r>
        <w:rPr>
          <w:rFonts w:hint="eastAsia"/>
          <w:color w:val="auto"/>
          <w:lang w:val="en-US" w:eastAsia="zh-CN"/>
        </w:rPr>
        <w:t>2</w:t>
      </w:r>
      <w:r>
        <w:rPr>
          <w:rFonts w:hint="eastAsia"/>
          <w:color w:val="auto"/>
        </w:rPr>
        <w:t>)</w:t>
      </w:r>
      <w:r>
        <w:rPr>
          <w:rFonts w:hint="eastAsia"/>
          <w:color w:val="auto"/>
          <w:lang w:val="en-US" w:eastAsia="zh-CN"/>
        </w:rPr>
        <w:t>评价人员与企业管理人员现场勘查合影</w:t>
      </w:r>
    </w:p>
    <w:p w14:paraId="1771CE6C">
      <w:pPr>
        <w:ind w:firstLine="560"/>
        <w:rPr>
          <w:color w:val="auto"/>
        </w:rPr>
      </w:pPr>
      <w:r>
        <w:rPr>
          <w:rFonts w:hint="eastAsia"/>
          <w:color w:val="auto"/>
        </w:rPr>
        <w:t>(</w:t>
      </w:r>
      <w:r>
        <w:rPr>
          <w:rFonts w:hint="eastAsia"/>
          <w:color w:val="auto"/>
          <w:lang w:val="en-US" w:eastAsia="zh-CN"/>
        </w:rPr>
        <w:t>3</w:t>
      </w:r>
      <w:r>
        <w:rPr>
          <w:rFonts w:hint="eastAsia"/>
          <w:color w:val="auto"/>
        </w:rPr>
        <w:t>)营业执照</w:t>
      </w:r>
    </w:p>
    <w:p w14:paraId="73552005">
      <w:pPr>
        <w:ind w:firstLine="560"/>
        <w:rPr>
          <w:color w:val="auto"/>
        </w:rPr>
      </w:pPr>
      <w:r>
        <w:rPr>
          <w:rFonts w:hint="eastAsia"/>
          <w:color w:val="auto"/>
        </w:rPr>
        <w:t>(</w:t>
      </w:r>
      <w:r>
        <w:rPr>
          <w:rFonts w:hint="eastAsia"/>
          <w:color w:val="auto"/>
          <w:lang w:val="en-US" w:eastAsia="zh-CN"/>
        </w:rPr>
        <w:t>4</w:t>
      </w:r>
      <w:r>
        <w:rPr>
          <w:rFonts w:hint="eastAsia"/>
          <w:color w:val="auto"/>
        </w:rPr>
        <w:t>)采矿许可证</w:t>
      </w:r>
    </w:p>
    <w:p w14:paraId="4751039C">
      <w:pPr>
        <w:ind w:firstLine="560"/>
        <w:rPr>
          <w:rFonts w:hint="default" w:eastAsia="宋体"/>
          <w:color w:val="auto"/>
          <w:lang w:val="en-US" w:eastAsia="zh-CN"/>
        </w:rPr>
      </w:pPr>
      <w:r>
        <w:rPr>
          <w:rFonts w:hint="eastAsia"/>
          <w:color w:val="auto"/>
        </w:rPr>
        <w:t>(</w:t>
      </w:r>
      <w:r>
        <w:rPr>
          <w:rFonts w:hint="eastAsia"/>
          <w:color w:val="auto"/>
          <w:lang w:val="en-US" w:eastAsia="zh-CN"/>
        </w:rPr>
        <w:t>5</w:t>
      </w:r>
      <w:r>
        <w:rPr>
          <w:rFonts w:hint="eastAsia"/>
          <w:color w:val="auto"/>
        </w:rPr>
        <w:t>)</w:t>
      </w:r>
      <w:r>
        <w:rPr>
          <w:rFonts w:hint="eastAsia"/>
          <w:color w:val="auto"/>
          <w:lang w:val="en-US" w:eastAsia="zh-CN"/>
        </w:rPr>
        <w:t>企业投资项目备案确认书</w:t>
      </w:r>
    </w:p>
    <w:p w14:paraId="59EDC77A">
      <w:pPr>
        <w:pStyle w:val="9"/>
        <w:rPr>
          <w:color w:val="auto"/>
        </w:rPr>
      </w:pPr>
    </w:p>
    <w:p w14:paraId="352BB61E">
      <w:pPr>
        <w:spacing w:line="360" w:lineRule="auto"/>
        <w:ind w:firstLine="560"/>
        <w:rPr>
          <w:color w:val="auto"/>
          <w:szCs w:val="28"/>
        </w:rPr>
      </w:pPr>
      <w:r>
        <w:rPr>
          <w:rFonts w:hint="eastAsia"/>
          <w:color w:val="auto"/>
          <w:szCs w:val="28"/>
        </w:rPr>
        <w:br w:type="page"/>
      </w:r>
    </w:p>
    <w:p w14:paraId="440964F6">
      <w:pPr>
        <w:pStyle w:val="2"/>
        <w:rPr>
          <w:color w:val="auto"/>
        </w:rPr>
      </w:pPr>
      <w:bookmarkStart w:id="189" w:name="_Toc17372"/>
      <w:bookmarkStart w:id="190" w:name="_Toc17051"/>
      <w:r>
        <w:rPr>
          <w:rFonts w:hint="eastAsia"/>
          <w:color w:val="auto"/>
        </w:rPr>
        <w:t>7 附图</w:t>
      </w:r>
      <w:bookmarkEnd w:id="189"/>
      <w:bookmarkEnd w:id="190"/>
    </w:p>
    <w:p w14:paraId="2285D1F9">
      <w:pPr>
        <w:ind w:firstLine="560"/>
        <w:rPr>
          <w:rFonts w:hint="eastAsia"/>
          <w:color w:val="auto"/>
        </w:rPr>
      </w:pPr>
      <w:r>
        <w:rPr>
          <w:rFonts w:hint="eastAsia"/>
          <w:color w:val="auto"/>
        </w:rPr>
        <w:t>(</w:t>
      </w:r>
      <w:r>
        <w:rPr>
          <w:rFonts w:hint="eastAsia"/>
          <w:color w:val="auto"/>
          <w:lang w:val="en-US" w:eastAsia="zh-CN"/>
        </w:rPr>
        <w:t>1</w:t>
      </w:r>
      <w:r>
        <w:rPr>
          <w:rFonts w:hint="eastAsia"/>
          <w:color w:val="auto"/>
        </w:rPr>
        <w:t>)井上井下对照图</w:t>
      </w:r>
    </w:p>
    <w:p w14:paraId="7633DFBC">
      <w:pPr>
        <w:ind w:firstLine="560"/>
        <w:rPr>
          <w:rFonts w:hint="eastAsia" w:ascii="宋体" w:hAnsi="宋体" w:eastAsia="宋体"/>
          <w:color w:val="auto"/>
          <w:lang w:val="en-US" w:eastAsia="zh-CN"/>
        </w:rPr>
      </w:pPr>
      <w:r>
        <w:rPr>
          <w:rFonts w:hint="eastAsia" w:ascii="宋体" w:hAnsi="宋体" w:eastAsia="宋体"/>
          <w:color w:val="auto"/>
        </w:rPr>
        <w:t>(</w:t>
      </w:r>
      <w:r>
        <w:rPr>
          <w:rFonts w:hint="eastAsia"/>
          <w:color w:val="auto"/>
          <w:lang w:val="en-US" w:eastAsia="zh-CN"/>
        </w:rPr>
        <w:t>2</w:t>
      </w:r>
      <w:r>
        <w:rPr>
          <w:rFonts w:hint="eastAsia" w:ascii="宋体" w:hAnsi="宋体" w:eastAsia="宋体"/>
          <w:color w:val="auto"/>
        </w:rPr>
        <w:t>)</w:t>
      </w:r>
      <w:r>
        <w:rPr>
          <w:rFonts w:hint="eastAsia"/>
          <w:color w:val="auto"/>
          <w:lang w:val="en-US" w:eastAsia="zh-CN"/>
        </w:rPr>
        <w:t>总平面布置</w:t>
      </w:r>
      <w:r>
        <w:rPr>
          <w:rFonts w:hint="eastAsia" w:ascii="宋体" w:hAnsi="宋体" w:eastAsia="宋体"/>
          <w:color w:val="auto"/>
        </w:rPr>
        <w:t>图</w:t>
      </w:r>
    </w:p>
    <w:p w14:paraId="40154E58">
      <w:pPr>
        <w:ind w:firstLine="560"/>
        <w:rPr>
          <w:rFonts w:hint="eastAsia" w:ascii="宋体" w:hAnsi="宋体" w:eastAsia="宋体"/>
          <w:color w:val="auto"/>
        </w:rPr>
      </w:pPr>
      <w:r>
        <w:rPr>
          <w:rFonts w:hint="eastAsia" w:ascii="宋体" w:hAnsi="宋体" w:eastAsia="宋体"/>
          <w:color w:val="auto"/>
        </w:rPr>
        <w:t>(</w:t>
      </w:r>
      <w:r>
        <w:rPr>
          <w:rFonts w:hint="eastAsia"/>
          <w:color w:val="auto"/>
          <w:lang w:val="en-US" w:eastAsia="zh-CN"/>
        </w:rPr>
        <w:t>3</w:t>
      </w:r>
      <w:r>
        <w:rPr>
          <w:rFonts w:hint="eastAsia" w:ascii="宋体" w:hAnsi="宋体" w:eastAsia="宋体"/>
          <w:color w:val="auto"/>
        </w:rPr>
        <w:t>)</w:t>
      </w:r>
      <w:r>
        <w:rPr>
          <w:rFonts w:hint="eastAsia"/>
          <w:color w:val="auto"/>
          <w:lang w:val="en-US" w:eastAsia="zh-CN"/>
        </w:rPr>
        <w:t>开拓系统</w:t>
      </w:r>
      <w:r>
        <w:rPr>
          <w:rFonts w:hint="eastAsia" w:ascii="宋体" w:hAnsi="宋体" w:eastAsia="宋体"/>
          <w:color w:val="auto"/>
        </w:rPr>
        <w:t>图</w:t>
      </w:r>
    </w:p>
    <w:p w14:paraId="44500703">
      <w:pPr>
        <w:ind w:firstLine="560"/>
        <w:rPr>
          <w:rFonts w:hint="eastAsia" w:ascii="宋体" w:hAnsi="宋体" w:eastAsia="宋体"/>
          <w:color w:val="auto"/>
        </w:rPr>
      </w:pPr>
      <w:r>
        <w:rPr>
          <w:rFonts w:hint="eastAsia" w:ascii="宋体" w:hAnsi="宋体" w:eastAsia="宋体"/>
          <w:color w:val="auto"/>
        </w:rPr>
        <w:t>(</w:t>
      </w:r>
      <w:r>
        <w:rPr>
          <w:rFonts w:hint="eastAsia"/>
          <w:color w:val="auto"/>
          <w:lang w:val="en-US" w:eastAsia="zh-CN"/>
        </w:rPr>
        <w:t>4</w:t>
      </w:r>
      <w:r>
        <w:rPr>
          <w:rFonts w:hint="eastAsia" w:ascii="宋体" w:hAnsi="宋体" w:eastAsia="宋体"/>
          <w:color w:val="auto"/>
        </w:rPr>
        <w:t>)</w:t>
      </w:r>
      <w:r>
        <w:rPr>
          <w:rFonts w:hint="eastAsia"/>
          <w:color w:val="auto"/>
          <w:lang w:val="en-US" w:eastAsia="zh-CN"/>
        </w:rPr>
        <w:t>通风系统</w:t>
      </w:r>
      <w:r>
        <w:rPr>
          <w:rFonts w:hint="eastAsia" w:ascii="宋体" w:hAnsi="宋体" w:eastAsia="宋体"/>
          <w:color w:val="auto"/>
        </w:rPr>
        <w:t>图</w:t>
      </w:r>
    </w:p>
    <w:p w14:paraId="66E0A49F">
      <w:pPr>
        <w:ind w:firstLine="560"/>
        <w:rPr>
          <w:rFonts w:hint="eastAsia" w:ascii="宋体" w:hAnsi="宋体" w:eastAsia="宋体"/>
          <w:color w:val="auto"/>
        </w:rPr>
      </w:pPr>
      <w:r>
        <w:rPr>
          <w:rFonts w:hint="eastAsia" w:ascii="宋体" w:hAnsi="宋体" w:eastAsia="宋体"/>
          <w:color w:val="auto"/>
        </w:rPr>
        <w:t>(</w:t>
      </w:r>
      <w:r>
        <w:rPr>
          <w:rFonts w:hint="eastAsia"/>
          <w:color w:val="auto"/>
          <w:lang w:val="en-US" w:eastAsia="zh-CN"/>
        </w:rPr>
        <w:t>5</w:t>
      </w:r>
      <w:r>
        <w:rPr>
          <w:rFonts w:hint="eastAsia" w:ascii="宋体" w:hAnsi="宋体" w:eastAsia="宋体"/>
          <w:color w:val="auto"/>
        </w:rPr>
        <w:t>)</w:t>
      </w:r>
      <w:r>
        <w:rPr>
          <w:rFonts w:hint="eastAsia"/>
          <w:color w:val="auto"/>
          <w:lang w:eastAsia="zh-CN"/>
        </w:rPr>
        <w:t>巷道断面</w:t>
      </w:r>
      <w:r>
        <w:rPr>
          <w:rFonts w:hint="eastAsia" w:ascii="宋体" w:hAnsi="宋体" w:eastAsia="宋体"/>
          <w:color w:val="auto"/>
        </w:rPr>
        <w:t>图</w:t>
      </w:r>
    </w:p>
    <w:p w14:paraId="0F3D56C7">
      <w:pPr>
        <w:ind w:firstLine="560"/>
        <w:rPr>
          <w:rFonts w:hint="eastAsia" w:ascii="宋体" w:hAnsi="宋体" w:eastAsia="宋体"/>
          <w:color w:val="auto"/>
        </w:rPr>
      </w:pPr>
      <w:r>
        <w:rPr>
          <w:rFonts w:hint="eastAsia" w:ascii="宋体" w:hAnsi="宋体" w:eastAsia="宋体"/>
          <w:color w:val="auto"/>
        </w:rPr>
        <w:t>(</w:t>
      </w:r>
      <w:r>
        <w:rPr>
          <w:rFonts w:hint="eastAsia"/>
          <w:color w:val="auto"/>
          <w:lang w:val="en-US" w:eastAsia="zh-CN"/>
        </w:rPr>
        <w:t>6</w:t>
      </w:r>
      <w:r>
        <w:rPr>
          <w:rFonts w:hint="eastAsia" w:ascii="宋体" w:hAnsi="宋体" w:eastAsia="宋体"/>
          <w:color w:val="auto"/>
        </w:rPr>
        <w:t>)</w:t>
      </w:r>
      <w:r>
        <w:rPr>
          <w:rFonts w:hint="eastAsia"/>
          <w:color w:val="auto"/>
          <w:lang w:val="en-US" w:eastAsia="zh-CN"/>
        </w:rPr>
        <w:t>采矿方法</w:t>
      </w:r>
      <w:r>
        <w:rPr>
          <w:rFonts w:hint="eastAsia" w:ascii="宋体" w:hAnsi="宋体" w:eastAsia="宋体"/>
          <w:color w:val="auto"/>
        </w:rPr>
        <w:t>图</w:t>
      </w:r>
    </w:p>
    <w:p w14:paraId="5450942B">
      <w:pPr>
        <w:ind w:firstLine="560"/>
        <w:rPr>
          <w:rFonts w:hint="eastAsia" w:ascii="宋体" w:hAnsi="宋体" w:eastAsia="宋体"/>
          <w:color w:val="auto"/>
          <w:lang w:eastAsia="zh-CN"/>
        </w:rPr>
      </w:pPr>
      <w:r>
        <w:rPr>
          <w:rFonts w:hint="eastAsia" w:ascii="宋体" w:hAnsi="宋体" w:eastAsia="宋体"/>
          <w:color w:val="auto"/>
        </w:rPr>
        <w:t>(</w:t>
      </w:r>
      <w:r>
        <w:rPr>
          <w:rFonts w:hint="eastAsia"/>
          <w:color w:val="auto"/>
          <w:lang w:val="en-US" w:eastAsia="zh-CN"/>
        </w:rPr>
        <w:t>7</w:t>
      </w:r>
      <w:r>
        <w:rPr>
          <w:rFonts w:hint="eastAsia" w:ascii="宋体" w:hAnsi="宋体" w:eastAsia="宋体"/>
          <w:color w:val="auto"/>
        </w:rPr>
        <w:t>)</w:t>
      </w:r>
      <w:r>
        <w:rPr>
          <w:rFonts w:hint="eastAsia"/>
          <w:color w:val="auto"/>
          <w:lang w:val="en-US" w:eastAsia="zh-CN"/>
        </w:rPr>
        <w:t>供</w:t>
      </w:r>
      <w:r>
        <w:rPr>
          <w:rFonts w:hint="eastAsia"/>
          <w:color w:val="auto"/>
          <w:lang w:eastAsia="zh-CN"/>
        </w:rPr>
        <w:t>配电系统图</w:t>
      </w:r>
    </w:p>
    <w:p w14:paraId="1BFF9169">
      <w:pPr>
        <w:ind w:firstLine="560"/>
        <w:rPr>
          <w:color w:val="auto"/>
        </w:rPr>
      </w:pPr>
    </w:p>
    <w:sectPr>
      <w:pgSz w:w="11906" w:h="16838"/>
      <w:pgMar w:top="1417" w:right="1134" w:bottom="1020" w:left="1587" w:header="851" w:footer="850" w:gutter="0"/>
      <w:pgBorders>
        <w:top w:val="none" w:sz="0" w:space="0"/>
        <w:left w:val="none" w:sz="0" w:space="0"/>
        <w:bottom w:val="none" w:sz="0" w:space="0"/>
        <w:right w:val="none" w:sz="0" w:space="0"/>
      </w:pgBorders>
      <w:pgNumType w:fmt="decimal"/>
      <w:cols w:space="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28"/>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宋体_x0010_郥.ā">
    <w:altName w:val="宋体"/>
    <w:panose1 w:val="00000000000000000000"/>
    <w:charset w:val="86"/>
    <w:family w:val="auto"/>
    <w:pitch w:val="default"/>
    <w:sig w:usb0="00000000" w:usb1="00000000" w:usb2="00000010" w:usb3="00000000" w:csb0="00040000" w:csb1="00000000"/>
  </w:font>
  <w:font w:name="瀹嬩綋">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8C4153">
    <w:pPr>
      <w:pStyle w:val="16"/>
      <w:pBdr>
        <w:top w:val="none" w:color="auto" w:sz="0" w:space="1"/>
        <w:left w:val="none" w:color="auto" w:sz="0" w:space="0"/>
        <w:bottom w:val="none" w:color="auto" w:sz="0" w:space="0"/>
        <w:right w:val="none" w:color="auto" w:sz="0" w:space="0"/>
        <w:between w:val="none" w:color="auto" w:sz="0" w:space="0"/>
      </w:pBdr>
      <w:jc w:val="both"/>
      <w:rPr>
        <w:rFonts w:ascii="宋体" w:hAnsi="宋体" w:cs="宋体"/>
        <w:szCs w:val="23"/>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1FF79A">
    <w:pPr>
      <w:pStyle w:val="16"/>
      <w:pBdr>
        <w:top w:val="single" w:color="auto" w:sz="4" w:space="1"/>
        <w:left w:val="none" w:color="auto" w:sz="0" w:space="4"/>
        <w:bottom w:val="none" w:color="auto" w:sz="0" w:space="1"/>
        <w:right w:val="none" w:color="auto" w:sz="0" w:space="4"/>
        <w:between w:val="none" w:color="auto" w:sz="0" w:space="0"/>
      </w:pBdr>
      <w:tabs>
        <w:tab w:val="clear" w:pos="4153"/>
      </w:tabs>
      <w:jc w:val="left"/>
    </w:pPr>
    <w:r>
      <w:rPr>
        <w:rFonts w:hint="eastAsia" w:asciiTheme="minorEastAsia" w:hAnsiTheme="minorEastAsia" w:eastAsiaTheme="minorEastAsia" w:cstheme="minorEastAsia"/>
        <w:bCs/>
        <w:kern w:val="2"/>
        <w:sz w:val="18"/>
        <w:szCs w:val="18"/>
        <w:lang w:val="en-US" w:eastAsia="zh-CN" w:bidi="ar-SA"/>
      </w:rPr>
      <w:t>江西赣安安全生产科学技术咨询服务中心                                                  APJ﹣(赣)﹣002</w:t>
    </w:r>
    <w:r>
      <w:rPr>
        <w:sz w:val="23"/>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274C3A">
                          <w:pPr>
                            <w:pStyle w:val="16"/>
                          </w:pPr>
                          <w:r>
                            <w:fldChar w:fldCharType="begin"/>
                          </w:r>
                          <w:r>
                            <w:instrText xml:space="preserve"> PAGE  \* MERGEFORMAT </w:instrText>
                          </w:r>
                          <w:r>
                            <w:fldChar w:fldCharType="separate"/>
                          </w:r>
                          <w:r>
                            <w:t>XCIII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ptGXY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1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ptGXYzAgAAYwQAAA4AAAAAAAAAAQAgAAAAHwEAAGRycy9lMm9Eb2MueG1sUEsF&#10;BgAAAAAGAAYAWQEAAMQFAAAAAA==&#10;">
              <v:fill on="f" focussize="0,0"/>
              <v:stroke on="f" weight="0.5pt"/>
              <v:imagedata o:title=""/>
              <o:lock v:ext="edit" aspectratio="f"/>
              <v:textbox inset="0mm,0mm,0mm,0mm" style="mso-fit-shape-to-text:t;">
                <w:txbxContent>
                  <w:p w14:paraId="79274C3A">
                    <w:pPr>
                      <w:pStyle w:val="16"/>
                    </w:pPr>
                    <w:r>
                      <w:fldChar w:fldCharType="begin"/>
                    </w:r>
                    <w:r>
                      <w:instrText xml:space="preserve"> PAGE  \* MERGEFORMAT </w:instrText>
                    </w:r>
                    <w:r>
                      <w:fldChar w:fldCharType="separate"/>
                    </w:r>
                    <w:r>
                      <w:t>XCIII</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C2FFC8">
    <w:pPr>
      <w:pStyle w:val="1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C8D3C5">
    <w:pPr>
      <w:pStyle w:val="16"/>
      <w:pBdr>
        <w:top w:val="single" w:color="auto" w:sz="4" w:space="1"/>
      </w:pBdr>
      <w:jc w:val="both"/>
      <w:rPr>
        <w:rFonts w:ascii="宋体" w:hAnsi="宋体" w:cs="宋体"/>
        <w:szCs w:val="23"/>
      </w:rPr>
    </w:pPr>
    <w:r>
      <w:rPr>
        <w:rFonts w:hint="eastAsia" w:asciiTheme="minorEastAsia" w:hAnsiTheme="minorEastAsia" w:eastAsiaTheme="minorEastAsia" w:cstheme="minorEastAsia"/>
        <w:bCs/>
        <w:kern w:val="2"/>
        <w:sz w:val="18"/>
        <w:szCs w:val="18"/>
        <w:lang w:val="en-US" w:eastAsia="zh-CN" w:bidi="ar-SA"/>
      </w:rPr>
      <w:t>江西赣安安全生产科学技术咨询服务中心                                                  APJ﹣(赣)﹣002</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B8060C">
    <w:pPr>
      <w:pStyle w:val="16"/>
      <w:pBdr>
        <w:top w:val="single" w:color="auto" w:sz="4" w:space="1"/>
      </w:pBdr>
      <w:jc w:val="both"/>
    </w:pPr>
    <w:r>
      <w:rPr>
        <w:rFonts w:hint="eastAsia" w:asciiTheme="minorEastAsia" w:hAnsiTheme="minorEastAsia" w:eastAsiaTheme="minorEastAsia" w:cstheme="minorEastAsia"/>
        <w:bCs/>
        <w:kern w:val="2"/>
        <w:sz w:val="18"/>
        <w:szCs w:val="18"/>
        <w:lang w:val="en-US" w:eastAsia="zh-CN" w:bidi="ar-SA"/>
      </w:rPr>
      <w:t>江西赣安安全生产科学技术咨询服务中心                                                  APJ﹣(赣)﹣002</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A8C129">
    <w:pPr>
      <w:pStyle w:val="16"/>
      <w:pBdr>
        <w:top w:val="single" w:color="auto" w:sz="4" w:space="1"/>
      </w:pBdr>
      <w:jc w:val="both"/>
    </w:pPr>
    <w:r>
      <w:rPr>
        <w:rFonts w:hint="eastAsia" w:asciiTheme="minorEastAsia" w:hAnsiTheme="minorEastAsia" w:eastAsiaTheme="minorEastAsia" w:cstheme="minorEastAsia"/>
        <w:bCs/>
        <w:kern w:val="2"/>
        <w:sz w:val="18"/>
        <w:szCs w:val="18"/>
        <w:lang w:val="en-US" w:eastAsia="zh-CN" w:bidi="ar-SA"/>
      </w:rPr>
      <w:t>江西赣安安全生产科学技术咨询服务中心                                                  APJ﹣(赣)﹣002</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13C673">
    <w:pPr>
      <w:pStyle w:val="16"/>
      <w:pBdr>
        <w:top w:val="single" w:color="auto" w:sz="4" w:space="0"/>
      </w:pBdr>
    </w:pPr>
    <w:r>
      <w:rPr>
        <w:rFonts w:hint="eastAsia" w:asciiTheme="minorEastAsia" w:hAnsiTheme="minorEastAsia" w:eastAsiaTheme="minorEastAsia" w:cstheme="minorEastAsia"/>
        <w:bCs/>
        <w:kern w:val="2"/>
        <w:sz w:val="18"/>
        <w:szCs w:val="18"/>
        <w:lang w:val="en-US" w:eastAsia="zh-CN" w:bidi="ar-SA"/>
      </w:rPr>
      <w:t>江西赣安安全生产科学技术咨询服务中心                                                  APJ﹣(赣)﹣002</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75975E">
    <w:pPr>
      <w:pStyle w:val="16"/>
      <w:pBdr>
        <w:top w:val="single" w:color="auto" w:sz="4" w:space="0"/>
      </w:pBdr>
    </w:pPr>
    <w:r>
      <w:rPr>
        <w:rFonts w:hint="eastAsia" w:asciiTheme="minorEastAsia" w:hAnsiTheme="minorEastAsia" w:eastAsiaTheme="minorEastAsia" w:cstheme="minorEastAsia"/>
        <w:bCs/>
        <w:kern w:val="2"/>
        <w:sz w:val="18"/>
        <w:szCs w:val="18"/>
        <w:lang w:val="en-US" w:eastAsia="zh-CN" w:bidi="ar-SA"/>
      </w:rPr>
      <w:t>江西赣安安全生产科学技术咨询服务中心                                                  APJ﹣(赣)﹣002</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677777">
    <w:pPr>
      <w:pStyle w:val="16"/>
      <w:pBdr>
        <w:top w:val="single" w:color="auto" w:sz="4" w:space="0"/>
        <w:left w:val="none" w:color="auto" w:sz="0" w:space="0"/>
        <w:bottom w:val="none" w:color="auto" w:sz="0" w:space="0"/>
        <w:right w:val="none" w:color="auto" w:sz="0" w:space="0"/>
        <w:between w:val="none" w:color="auto" w:sz="0" w:space="0"/>
      </w:pBdr>
      <w:ind w:firstLine="0" w:firstLineChars="0"/>
      <w:rPr>
        <w:rFonts w:ascii="Arial" w:hAnsi="Arial"/>
        <w:color w:val="000000"/>
        <w:spacing w:val="20"/>
      </w:rPr>
    </w:pPr>
    <w:r>
      <w:rPr>
        <w:rFonts w:hint="eastAsia" w:asciiTheme="minorEastAsia" w:hAnsiTheme="minorEastAsia" w:eastAsiaTheme="minorEastAsia" w:cstheme="minorEastAsia"/>
        <w:bCs/>
        <w:kern w:val="2"/>
        <w:sz w:val="18"/>
        <w:szCs w:val="18"/>
        <w:lang w:val="en-US" w:eastAsia="zh-CN" w:bidi="ar-SA"/>
      </w:rPr>
      <w:t>江西赣安安全生产科学技术咨询服务中心                                                  APJ﹣(赣)﹣002</w:t>
    </w:r>
    <w:r>
      <w:rPr>
        <w:sz w:val="23"/>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B7E8E1">
                          <w:pPr>
                            <w:pStyle w:val="16"/>
                          </w:pPr>
                          <w:r>
                            <w:fldChar w:fldCharType="begin"/>
                          </w:r>
                          <w:r>
                            <w:instrText xml:space="preserve"> PAGE  \* MERGEFORMAT </w:instrText>
                          </w:r>
                          <w:r>
                            <w:fldChar w:fldCharType="separate"/>
                          </w:r>
                          <w:r>
                            <w:t>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WW+3o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WW+3ozAgAAYwQAAA4AAAAAAAAAAQAgAAAAHwEAAGRycy9lMm9Eb2MueG1sUEsF&#10;BgAAAAAGAAYAWQEAAMQFAAAAAA==&#10;">
              <v:fill on="f" focussize="0,0"/>
              <v:stroke on="f" weight="0.5pt"/>
              <v:imagedata o:title=""/>
              <o:lock v:ext="edit" aspectratio="f"/>
              <v:textbox inset="0mm,0mm,0mm,0mm" style="mso-fit-shape-to-text:t;">
                <w:txbxContent>
                  <w:p w14:paraId="2FB7E8E1">
                    <w:pPr>
                      <w:pStyle w:val="16"/>
                    </w:pPr>
                    <w:r>
                      <w:fldChar w:fldCharType="begin"/>
                    </w:r>
                    <w:r>
                      <w:instrText xml:space="preserve"> PAGE  \* MERGEFORMAT </w:instrText>
                    </w:r>
                    <w:r>
                      <w:fldChar w:fldCharType="separate"/>
                    </w:r>
                    <w:r>
                      <w:t>I</w:t>
                    </w:r>
                    <w:r>
                      <w:fldChar w:fldCharType="end"/>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644525" cy="237490"/>
              <wp:effectExtent l="0" t="0" r="0" b="0"/>
              <wp:wrapNone/>
              <wp:docPr id="369" name="文本框 369"/>
              <wp:cNvGraphicFramePr/>
              <a:graphic xmlns:a="http://schemas.openxmlformats.org/drawingml/2006/main">
                <a:graphicData uri="http://schemas.microsoft.com/office/word/2010/wordprocessingShape">
                  <wps:wsp>
                    <wps:cNvSpPr txBox="1"/>
                    <wps:spPr>
                      <a:xfrm>
                        <a:off x="0" y="0"/>
                        <a:ext cx="644525" cy="237490"/>
                      </a:xfrm>
                      <a:prstGeom prst="rect">
                        <a:avLst/>
                      </a:prstGeom>
                      <a:noFill/>
                      <a:ln>
                        <a:noFill/>
                      </a:ln>
                    </wps:spPr>
                    <wps:txbx>
                      <w:txbxContent>
                        <w:p w14:paraId="3031A96F">
                          <w:pPr>
                            <w:pStyle w:val="16"/>
                            <w:ind w:firstLine="360"/>
                            <w:rPr>
                              <w:rFonts w:hint="default" w:eastAsia="等线"/>
                              <w:lang w:val="en-US" w:eastAsia="zh-CN"/>
                            </w:rPr>
                          </w:pPr>
                        </w:p>
                      </w:txbxContent>
                    </wps:txbx>
                    <wps:bodyPr lIns="0" tIns="0" rIns="0" bIns="0" upright="0"/>
                  </wps:wsp>
                </a:graphicData>
              </a:graphic>
            </wp:anchor>
          </w:drawing>
        </mc:Choice>
        <mc:Fallback>
          <w:pict>
            <v:shape id="_x0000_s1026" o:spid="_x0000_s1026" o:spt="202" type="#_x0000_t202" style="position:absolute;left:0pt;margin-top:0pt;height:18.7pt;width:50.75pt;mso-position-horizontal:center;mso-position-horizontal-relative:margin;z-index:251661312;mso-width-relative:page;mso-height-relative:page;" filled="f" stroked="f" coordsize="21600,21600" o:gfxdata="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urDwr1AAAAAQBAAAPAAAAAAAAAAEAIAAAACIAAABkcnMvZG93bnJldi54bWxQSwEC&#10;FAAUAAAACACHTuJAJsrc6b8BAAB1AwAADgAAAAAAAAABACAAAAAjAQAAZHJzL2Uyb0RvYy54bWxQ&#10;SwUGAAAAAAYABgBZAQAAVAUAAAAA&#10;">
              <v:fill on="f" focussize="0,0"/>
              <v:stroke on="f"/>
              <v:imagedata o:title=""/>
              <o:lock v:ext="edit" aspectratio="f"/>
              <v:textbox inset="0mm,0mm,0mm,0mm">
                <w:txbxContent>
                  <w:p w14:paraId="3031A96F">
                    <w:pPr>
                      <w:pStyle w:val="16"/>
                      <w:ind w:firstLine="360"/>
                      <w:rPr>
                        <w:rFonts w:hint="default" w:eastAsia="等线"/>
                        <w:lang w:val="en-US" w:eastAsia="zh-CN"/>
                      </w:rPr>
                    </w:pP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C5301A">
    <w:pPr>
      <w:pStyle w:val="16"/>
      <w:pBdr>
        <w:top w:val="single" w:color="auto" w:sz="4" w:space="0"/>
        <w:left w:val="none" w:color="auto" w:sz="0" w:space="0"/>
        <w:bottom w:val="none" w:color="auto" w:sz="0" w:space="0"/>
        <w:right w:val="none" w:color="auto" w:sz="0" w:space="0"/>
        <w:between w:val="none" w:color="auto" w:sz="0" w:space="0"/>
      </w:pBdr>
      <w:ind w:firstLine="0" w:firstLineChars="0"/>
      <w:jc w:val="both"/>
    </w:pPr>
    <w:r>
      <w:rPr>
        <w:rFonts w:hint="eastAsia" w:asciiTheme="minorEastAsia" w:hAnsiTheme="minorEastAsia" w:eastAsiaTheme="minorEastAsia" w:cstheme="minorEastAsia"/>
        <w:bCs/>
        <w:kern w:val="2"/>
        <w:sz w:val="18"/>
        <w:szCs w:val="18"/>
        <w:lang w:val="en-US" w:eastAsia="zh-CN" w:bidi="ar-SA"/>
      </w:rPr>
      <w:t>江西赣安安全生产科学技术咨询服务中心                                                  APJ﹣(赣)﹣002</w:t>
    </w:r>
    <w:r>
      <w:rPr>
        <w:sz w:val="23"/>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F5D3AD">
                          <w:pPr>
                            <w:pStyle w:val="16"/>
                          </w:pPr>
                          <w:r>
                            <w:fldChar w:fldCharType="begin"/>
                          </w:r>
                          <w:r>
                            <w:instrText xml:space="preserve"> PAGE  \* MERGEFORMAT </w:instrText>
                          </w:r>
                          <w:r>
                            <w:fldChar w:fldCharType="separate"/>
                          </w:r>
                          <w:r>
                            <w:t>II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c+bJUzAgAAYw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kzf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c+bJUzAgAAYwQAAA4AAAAAAAAAAQAgAAAAHwEAAGRycy9lMm9Eb2MueG1sUEsF&#10;BgAAAAAGAAYAWQEAAMQFAAAAAA==&#10;">
              <v:fill on="f" focussize="0,0"/>
              <v:stroke on="f" weight="0.5pt"/>
              <v:imagedata o:title=""/>
              <o:lock v:ext="edit" aspectratio="f"/>
              <v:textbox inset="0mm,0mm,0mm,0mm" style="mso-fit-shape-to-text:t;">
                <w:txbxContent>
                  <w:p w14:paraId="19F5D3AD">
                    <w:pPr>
                      <w:pStyle w:val="16"/>
                    </w:pPr>
                    <w:r>
                      <w:fldChar w:fldCharType="begin"/>
                    </w:r>
                    <w:r>
                      <w:instrText xml:space="preserve"> PAGE  \* MERGEFORMAT </w:instrText>
                    </w:r>
                    <w:r>
                      <w:fldChar w:fldCharType="separate"/>
                    </w:r>
                    <w:r>
                      <w:t>II</w:t>
                    </w:r>
                    <w:r>
                      <w:fldChar w:fldCharType="end"/>
                    </w:r>
                  </w:p>
                </w:txbxContent>
              </v:textbox>
            </v:shape>
          </w:pict>
        </mc:Fallback>
      </mc:AlternateContent>
    </w:r>
    <w:r>
      <w:rPr>
        <w:sz w:val="23"/>
      </w:rPr>
      <mc:AlternateContent>
        <mc:Choice Requires="wps">
          <w:drawing>
            <wp:anchor distT="0" distB="0" distL="114300" distR="114300" simplePos="0" relativeHeight="251663360" behindDoc="0" locked="0" layoutInCell="1" allowOverlap="1">
              <wp:simplePos x="0" y="0"/>
              <wp:positionH relativeFrom="margin">
                <wp:posOffset>5644515</wp:posOffset>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77C29D">
                          <w:pPr>
                            <w:pStyle w:val="16"/>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444.45pt;margin-top:0pt;height:144pt;width:144pt;mso-position-horizontal-relative:margin;mso-wrap-style:none;z-index:251663360;mso-width-relative:page;mso-height-relative:page;" filled="f" stroked="f" coordsize="21600,21600" o:gfxdata="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F98OPDVAAAACQEAAA8AAAAAAAAAAQAgAAAAIgAAAGRycy9kb3ducmV2LnhtbFBL&#10;AQIUABQAAAAIAIdO4kD/W0FrMgIAAGMEAAAOAAAAAAAAAAEAIAAAACQBAABkcnMvZTJvRG9jLnht&#10;bFBLBQYAAAAABgAGAFkBAADIBQAAAAA=&#10;">
              <v:fill on="f" focussize="0,0"/>
              <v:stroke on="f" weight="0.5pt"/>
              <v:imagedata o:title=""/>
              <o:lock v:ext="edit" aspectratio="f"/>
              <v:textbox inset="0mm,0mm,0mm,0mm" style="mso-fit-shape-to-text:t;">
                <w:txbxContent>
                  <w:p w14:paraId="2B77C29D">
                    <w:pPr>
                      <w:pStyle w:val="16"/>
                    </w:pPr>
                  </w:p>
                </w:txbxContent>
              </v:textbox>
            </v:shape>
          </w:pict>
        </mc:Fallback>
      </mc:AlternateContent>
    </w:r>
    <w:r>
      <mc:AlternateContent>
        <mc:Choice Requires="wps">
          <w:drawing>
            <wp:anchor distT="0" distB="0" distL="114300" distR="114300" simplePos="0" relativeHeight="251662336" behindDoc="0" locked="0" layoutInCell="1" allowOverlap="1">
              <wp:simplePos x="0" y="0"/>
              <wp:positionH relativeFrom="margin">
                <wp:posOffset>2539365</wp:posOffset>
              </wp:positionH>
              <wp:positionV relativeFrom="paragraph">
                <wp:posOffset>0</wp:posOffset>
              </wp:positionV>
              <wp:extent cx="644525" cy="23749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644525" cy="237490"/>
                      </a:xfrm>
                      <a:prstGeom prst="rect">
                        <a:avLst/>
                      </a:prstGeom>
                      <a:noFill/>
                      <a:ln>
                        <a:noFill/>
                      </a:ln>
                    </wps:spPr>
                    <wps:txbx>
                      <w:txbxContent>
                        <w:p w14:paraId="5FCA7B9C">
                          <w:pPr>
                            <w:pStyle w:val="16"/>
                            <w:ind w:firstLine="360"/>
                            <w:rPr>
                              <w:rFonts w:hint="default" w:eastAsia="等线"/>
                              <w:lang w:val="en-US" w:eastAsia="zh-CN"/>
                            </w:rPr>
                          </w:pPr>
                        </w:p>
                      </w:txbxContent>
                    </wps:txbx>
                    <wps:bodyPr lIns="0" tIns="0" rIns="0" bIns="0" upright="0"/>
                  </wps:wsp>
                </a:graphicData>
              </a:graphic>
            </wp:anchor>
          </w:drawing>
        </mc:Choice>
        <mc:Fallback>
          <w:pict>
            <v:shape id="_x0000_s1026" o:spid="_x0000_s1026" o:spt="202" type="#_x0000_t202" style="position:absolute;left:0pt;margin-left:199.95pt;margin-top:0pt;height:18.7pt;width:50.75pt;mso-position-horizontal-relative:margin;z-index:251662336;mso-width-relative:page;mso-height-relative:page;" filled="f" stroked="f" coordsize="21600,21600" o:gfxdata="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D20/MHWAAAABwEAAA8AAAAAAAAAAQAgAAAAIgAAAGRycy9kb3ducmV2LnhtbFBLAQIU&#10;ABQAAAAIAIdO4kCbQjBBvAEAAHMDAAAOAAAAAAAAAAEAIAAAACUBAABkcnMvZTJvRG9jLnhtbFBL&#10;BQYAAAAABgAGAFkBAABTBQAAAAA=&#10;">
              <v:fill on="f" focussize="0,0"/>
              <v:stroke on="f"/>
              <v:imagedata o:title=""/>
              <o:lock v:ext="edit" aspectratio="f"/>
              <v:textbox inset="0mm,0mm,0mm,0mm">
                <w:txbxContent>
                  <w:p w14:paraId="5FCA7B9C">
                    <w:pPr>
                      <w:pStyle w:val="16"/>
                      <w:ind w:firstLine="360"/>
                      <w:rPr>
                        <w:rFonts w:hint="default" w:eastAsia="等线"/>
                        <w:lang w:val="en-US" w:eastAsia="zh-CN"/>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560"/>
      </w:pPr>
      <w:r>
        <w:separator/>
      </w:r>
    </w:p>
  </w:footnote>
  <w:footnote w:type="continuationSeparator" w:id="1">
    <w:p>
      <w:pPr>
        <w:spacing w:line="24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34C721">
    <w:pPr>
      <w:pStyle w:val="17"/>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bidi w:val="0"/>
      <w:adjustRightInd/>
      <w:snapToGrid w:val="0"/>
      <w:spacing w:line="240" w:lineRule="auto"/>
      <w:jc w:val="left"/>
      <w:textAlignment w:val="aut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5E6B37">
    <w:pPr>
      <w:pStyle w:val="17"/>
      <w:keepNext w:val="0"/>
      <w:keepLines w:val="0"/>
      <w:pageBreakBefore w:val="0"/>
      <w:widowControl w:val="0"/>
      <w:pBdr>
        <w:top w:val="none" w:color="auto" w:sz="0" w:space="1"/>
        <w:left w:val="none" w:color="auto" w:sz="0" w:space="4"/>
        <w:bottom w:val="single" w:color="auto" w:sz="4" w:space="1"/>
        <w:right w:val="none" w:color="auto" w:sz="0" w:space="4"/>
      </w:pBdr>
      <w:kinsoku/>
      <w:wordWrap/>
      <w:overflowPunct/>
      <w:topLinePunct w:val="0"/>
      <w:bidi w:val="0"/>
      <w:adjustRightInd/>
      <w:snapToGrid w:val="0"/>
      <w:spacing w:line="240" w:lineRule="auto"/>
      <w:jc w:val="left"/>
      <w:textAlignment w:val="auto"/>
    </w:pPr>
    <w:r>
      <w:rPr>
        <w:rFonts w:hint="eastAsia" w:asciiTheme="minorEastAsia" w:hAnsiTheme="minorEastAsia" w:eastAsiaTheme="minorEastAsia" w:cstheme="minorEastAsia"/>
        <w:bCs/>
        <w:sz w:val="18"/>
        <w:szCs w:val="18"/>
        <w:lang w:val="en-US" w:eastAsia="zh-CN"/>
      </w:rPr>
      <w:t xml:space="preserve">凤县绿能诚睿矿业有限公司陕西省凤县李家庄方解石矿地下开采建设项目安全预评价报告    </w:t>
    </w:r>
    <w:r>
      <w:rPr>
        <w:rFonts w:hint="eastAsia" w:ascii="宋体" w:hAnsi="宋体"/>
        <w:bCs/>
        <w:lang w:val="en-US" w:eastAsia="zh-CN"/>
      </w:rPr>
      <w:t xml:space="preserve">  </w:t>
    </w:r>
    <w:r>
      <w:rPr>
        <w:rFonts w:hint="eastAsia" w:asciiTheme="minorEastAsia" w:hAnsiTheme="minorEastAsia" w:eastAsiaTheme="minorEastAsia" w:cstheme="minorEastAsia"/>
        <w:bCs/>
        <w:sz w:val="18"/>
        <w:szCs w:val="18"/>
      </w:rPr>
      <w:t>GAAP[2025]</w:t>
    </w:r>
    <w:r>
      <w:rPr>
        <w:rFonts w:hint="eastAsia" w:asciiTheme="minorEastAsia" w:hAnsiTheme="minorEastAsia" w:eastAsiaTheme="minorEastAsia" w:cstheme="minorEastAsia"/>
        <w:bCs/>
        <w:sz w:val="18"/>
        <w:szCs w:val="18"/>
        <w:lang w:val="en-US" w:eastAsia="zh-CN"/>
      </w:rPr>
      <w:t>0554</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F42DBF">
    <w:pPr>
      <w:pStyle w:val="17"/>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92B7EC">
    <w:pPr>
      <w:pStyle w:val="17"/>
      <w:keepNext w:val="0"/>
      <w:keepLines w:val="0"/>
      <w:pageBreakBefore w:val="0"/>
      <w:widowControl w:val="0"/>
      <w:pBdr>
        <w:top w:val="none" w:color="auto" w:sz="0" w:space="1"/>
        <w:left w:val="none" w:color="auto" w:sz="0" w:space="4"/>
        <w:bottom w:val="single" w:color="auto" w:sz="4" w:space="1"/>
        <w:right w:val="none" w:color="auto" w:sz="0" w:space="4"/>
      </w:pBdr>
      <w:kinsoku/>
      <w:wordWrap/>
      <w:overflowPunct/>
      <w:topLinePunct w:val="0"/>
      <w:bidi w:val="0"/>
      <w:adjustRightInd/>
      <w:snapToGrid w:val="0"/>
      <w:spacing w:line="240" w:lineRule="auto"/>
      <w:jc w:val="left"/>
      <w:textAlignment w:val="auto"/>
    </w:pPr>
    <w:r>
      <w:rPr>
        <w:rFonts w:hint="eastAsia" w:asciiTheme="minorEastAsia" w:hAnsiTheme="minorEastAsia" w:eastAsiaTheme="minorEastAsia" w:cstheme="minorEastAsia"/>
        <w:bCs/>
        <w:sz w:val="18"/>
        <w:szCs w:val="18"/>
        <w:lang w:val="en-US" w:eastAsia="zh-CN"/>
      </w:rPr>
      <w:t xml:space="preserve">凤县绿能诚睿矿业有限公司陕西省凤县李家庄方解石矿地下开采建设项目安全预评价报告    </w:t>
    </w:r>
    <w:r>
      <w:rPr>
        <w:rFonts w:hint="eastAsia" w:ascii="宋体" w:hAnsi="宋体"/>
        <w:bCs/>
        <w:lang w:val="en-US" w:eastAsia="zh-CN"/>
      </w:rPr>
      <w:t xml:space="preserve">  </w:t>
    </w:r>
    <w:r>
      <w:rPr>
        <w:rFonts w:hint="eastAsia" w:asciiTheme="minorEastAsia" w:hAnsiTheme="minorEastAsia" w:eastAsiaTheme="minorEastAsia" w:cstheme="minorEastAsia"/>
        <w:bCs/>
        <w:sz w:val="18"/>
        <w:szCs w:val="18"/>
      </w:rPr>
      <w:t>GAAP[2025]</w:t>
    </w:r>
    <w:r>
      <w:rPr>
        <w:rFonts w:hint="eastAsia" w:asciiTheme="minorEastAsia" w:hAnsiTheme="minorEastAsia" w:eastAsiaTheme="minorEastAsia" w:cstheme="minorEastAsia"/>
        <w:bCs/>
        <w:sz w:val="18"/>
        <w:szCs w:val="18"/>
        <w:lang w:val="en-US" w:eastAsia="zh-CN"/>
      </w:rPr>
      <w:t>0554</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86FA96">
    <w:pPr>
      <w:pStyle w:val="17"/>
      <w:pBdr>
        <w:bottom w:val="single" w:color="auto" w:sz="4" w:space="1"/>
      </w:pBdr>
    </w:pPr>
    <w:r>
      <w:rPr>
        <w:rFonts w:hint="eastAsia" w:asciiTheme="minorEastAsia" w:hAnsiTheme="minorEastAsia" w:eastAsiaTheme="minorEastAsia" w:cstheme="minorEastAsia"/>
        <w:bCs/>
        <w:sz w:val="18"/>
        <w:szCs w:val="18"/>
        <w:lang w:val="en-US" w:eastAsia="zh-CN"/>
      </w:rPr>
      <w:t xml:space="preserve">凤县绿能诚睿矿业有限公司陕西省凤县李家庄方解石矿地下开采建设项目安全预评价报告    </w:t>
    </w:r>
    <w:r>
      <w:rPr>
        <w:rFonts w:hint="eastAsia" w:ascii="宋体" w:hAnsi="宋体"/>
        <w:bCs/>
        <w:lang w:val="en-US" w:eastAsia="zh-CN"/>
      </w:rPr>
      <w:t xml:space="preserve">  </w:t>
    </w:r>
    <w:r>
      <w:rPr>
        <w:rFonts w:hint="eastAsia" w:asciiTheme="minorEastAsia" w:hAnsiTheme="minorEastAsia" w:eastAsiaTheme="minorEastAsia" w:cstheme="minorEastAsia"/>
        <w:bCs/>
        <w:sz w:val="18"/>
        <w:szCs w:val="18"/>
      </w:rPr>
      <w:t>GAAP[2025]</w:t>
    </w:r>
    <w:r>
      <w:rPr>
        <w:rFonts w:hint="eastAsia" w:asciiTheme="minorEastAsia" w:hAnsiTheme="minorEastAsia" w:eastAsiaTheme="minorEastAsia" w:cstheme="minorEastAsia"/>
        <w:bCs/>
        <w:sz w:val="18"/>
        <w:szCs w:val="18"/>
        <w:lang w:val="en-US" w:eastAsia="zh-CN"/>
      </w:rPr>
      <w:t>0554</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DB2C44">
    <w:pPr>
      <w:pStyle w:val="17"/>
    </w:pPr>
    <w:r>
      <w:rPr>
        <w:rFonts w:hint="eastAsia" w:asciiTheme="minorEastAsia" w:hAnsiTheme="minorEastAsia" w:eastAsiaTheme="minorEastAsia" w:cstheme="minorEastAsia"/>
        <w:bCs/>
        <w:sz w:val="18"/>
        <w:szCs w:val="18"/>
        <w:lang w:val="en-US" w:eastAsia="zh-CN"/>
      </w:rPr>
      <w:t xml:space="preserve">凤县绿能诚睿矿业有限公司陕西省凤县李家庄方解石矿地下开采建设项目安全预评价报告    </w:t>
    </w:r>
    <w:r>
      <w:rPr>
        <w:rFonts w:hint="eastAsia" w:ascii="宋体" w:hAnsi="宋体"/>
        <w:bCs/>
        <w:lang w:val="en-US" w:eastAsia="zh-CN"/>
      </w:rPr>
      <w:t xml:space="preserve">  </w:t>
    </w:r>
    <w:r>
      <w:rPr>
        <w:rFonts w:hint="eastAsia" w:asciiTheme="minorEastAsia" w:hAnsiTheme="minorEastAsia" w:eastAsiaTheme="minorEastAsia" w:cstheme="minorEastAsia"/>
        <w:bCs/>
        <w:sz w:val="18"/>
        <w:szCs w:val="18"/>
      </w:rPr>
      <w:t>GAAP[2025]</w:t>
    </w:r>
    <w:r>
      <w:rPr>
        <w:rFonts w:hint="eastAsia" w:asciiTheme="minorEastAsia" w:hAnsiTheme="minorEastAsia" w:eastAsiaTheme="minorEastAsia" w:cstheme="minorEastAsia"/>
        <w:bCs/>
        <w:sz w:val="18"/>
        <w:szCs w:val="18"/>
        <w:lang w:val="en-US" w:eastAsia="zh-CN"/>
      </w:rPr>
      <w:t>0554</w:t>
    </w:r>
    <w:r>
      <mc:AlternateContent>
        <mc:Choice Requires="wps">
          <w:drawing>
            <wp:anchor distT="0" distB="0" distL="114300" distR="114300" simplePos="0" relativeHeight="251660288" behindDoc="1" locked="0" layoutInCell="0" allowOverlap="1">
              <wp:simplePos x="0" y="0"/>
              <wp:positionH relativeFrom="page">
                <wp:posOffset>1079500</wp:posOffset>
              </wp:positionH>
              <wp:positionV relativeFrom="page">
                <wp:posOffset>359410</wp:posOffset>
              </wp:positionV>
              <wp:extent cx="5399405" cy="179705"/>
              <wp:effectExtent l="0" t="0" r="0" b="0"/>
              <wp:wrapNone/>
              <wp:docPr id="65" name="任意多边形 65"/>
              <wp:cNvGraphicFramePr/>
              <a:graphic xmlns:a="http://schemas.openxmlformats.org/drawingml/2006/main">
                <a:graphicData uri="http://schemas.microsoft.com/office/word/2010/wordprocessingShape">
                  <wps:wsp>
                    <wps:cNvSpPr/>
                    <wps:spPr bwMode="auto">
                      <a:xfrm>
                        <a:off x="0" y="0"/>
                        <a:ext cx="5399405" cy="179705"/>
                      </a:xfrm>
                      <a:custGeom>
                        <a:avLst/>
                        <a:gdLst>
                          <a:gd name="T0" fmla="*/ 0 w 20000"/>
                          <a:gd name="T1" fmla="*/ 0 h 20000"/>
                          <a:gd name="T2" fmla="*/ 0 w 20000"/>
                          <a:gd name="T3" fmla="*/ 20000 h 20000"/>
                          <a:gd name="T4" fmla="*/ 20000 w 20000"/>
                          <a:gd name="T5" fmla="*/ 20000 h 20000"/>
                          <a:gd name="T6" fmla="*/ 20000 w 20000"/>
                          <a:gd name="T7" fmla="*/ 0 h 20000"/>
                          <a:gd name="T8" fmla="*/ 0 w 20000"/>
                          <a:gd name="T9" fmla="*/ 0 h 20000"/>
                        </a:gdLst>
                        <a:ahLst/>
                        <a:cxnLst>
                          <a:cxn ang="0">
                            <a:pos x="T0" y="T1"/>
                          </a:cxn>
                          <a:cxn ang="0">
                            <a:pos x="T2" y="T3"/>
                          </a:cxn>
                          <a:cxn ang="0">
                            <a:pos x="T4" y="T5"/>
                          </a:cxn>
                          <a:cxn ang="0">
                            <a:pos x="T6" y="T7"/>
                          </a:cxn>
                          <a:cxn ang="0">
                            <a:pos x="T8" y="T9"/>
                          </a:cxn>
                        </a:cxnLst>
                        <a:rect l="0" t="0" r="r" b="b"/>
                        <a:pathLst>
                          <a:path w="20000" h="20000">
                            <a:moveTo>
                              <a:pt x="0" y="0"/>
                            </a:moveTo>
                            <a:lnTo>
                              <a:pt x="0" y="20000"/>
                            </a:lnTo>
                            <a:lnTo>
                              <a:pt x="20000" y="20000"/>
                            </a:lnTo>
                            <a:lnTo>
                              <a:pt x="20000" y="0"/>
                            </a:lnTo>
                            <a:lnTo>
                              <a:pt x="0" y="0"/>
                            </a:lnTo>
                          </a:path>
                        </a:pathLst>
                      </a:custGeom>
                      <a:noFill/>
                      <a:ln>
                        <a:noFill/>
                      </a:ln>
                      <a:effectLst/>
                    </wps:spPr>
                    <wps:bodyPr rot="0" vert="horz" wrap="square" lIns="91440" tIns="45720" rIns="91440" bIns="45720" anchor="t" anchorCtr="0" upright="1">
                      <a:noAutofit/>
                    </wps:bodyPr>
                  </wps:wsp>
                </a:graphicData>
              </a:graphic>
            </wp:anchor>
          </w:drawing>
        </mc:Choice>
        <mc:Fallback>
          <w:pict>
            <v:shape id="_x0000_s1026" o:spid="_x0000_s1026" o:spt="100" style="position:absolute;left:0pt;margin-left:85pt;margin-top:28.3pt;height:14.15pt;width:425.15pt;mso-position-horizontal-relative:page;mso-position-vertical-relative:page;z-index:-251656192;mso-width-relative:page;mso-height-relative:page;" filled="f" stroked="f" coordsize="20000,20000" o:allowincell="f" o:gfxdata="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" path="m0,0l0,20000,20000,20000,20000,0,0,0e">
              <v:path o:connectlocs="0,0;0,179705;5399405,179705;5399405,0;0,0" o:connectangles="0,0,0,0,0"/>
              <v:fill on="f" focussize="0,0"/>
              <v:stroke on="f"/>
              <v:imagedata o:title=""/>
              <o:lock v:ext="edit" aspectratio="f"/>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4111DD">
    <w:pPr>
      <w:pStyle w:val="17"/>
    </w:pPr>
    <w:r>
      <w:rPr>
        <w:rFonts w:hint="eastAsia" w:asciiTheme="minorEastAsia" w:hAnsiTheme="minorEastAsia" w:eastAsiaTheme="minorEastAsia" w:cstheme="minorEastAsia"/>
        <w:bCs/>
        <w:sz w:val="18"/>
        <w:szCs w:val="18"/>
        <w:lang w:val="en-US" w:eastAsia="zh-CN"/>
      </w:rPr>
      <w:t xml:space="preserve">凤县绿能诚睿矿业有限公司陕西省凤县李家庄方解石矿地下开采建设项目安全预评价报告    </w:t>
    </w:r>
    <w:r>
      <w:rPr>
        <w:rFonts w:hint="eastAsia" w:ascii="宋体" w:hAnsi="宋体"/>
        <w:bCs/>
        <w:lang w:val="en-US" w:eastAsia="zh-CN"/>
      </w:rPr>
      <w:t xml:space="preserve">  </w:t>
    </w:r>
    <w:r>
      <w:rPr>
        <w:rFonts w:hint="eastAsia" w:asciiTheme="minorEastAsia" w:hAnsiTheme="minorEastAsia" w:eastAsiaTheme="minorEastAsia" w:cstheme="minorEastAsia"/>
        <w:bCs/>
        <w:sz w:val="18"/>
        <w:szCs w:val="18"/>
      </w:rPr>
      <w:t>GAAP[2025]</w:t>
    </w:r>
    <w:r>
      <w:rPr>
        <w:rFonts w:hint="eastAsia" w:asciiTheme="minorEastAsia" w:hAnsiTheme="minorEastAsia" w:eastAsiaTheme="minorEastAsia" w:cstheme="minorEastAsia"/>
        <w:bCs/>
        <w:sz w:val="18"/>
        <w:szCs w:val="18"/>
        <w:lang w:val="en-US" w:eastAsia="zh-CN"/>
      </w:rPr>
      <w:t>0554</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B7E67E">
    <w:pPr>
      <w:pStyle w:val="17"/>
      <w:rPr>
        <w:w w:val="90"/>
        <w:szCs w:val="23"/>
      </w:rPr>
    </w:pPr>
    <w:r>
      <w:rPr>
        <w:rFonts w:hint="eastAsia" w:asciiTheme="minorEastAsia" w:hAnsiTheme="minorEastAsia" w:eastAsiaTheme="minorEastAsia" w:cstheme="minorEastAsia"/>
        <w:bCs/>
        <w:sz w:val="18"/>
        <w:szCs w:val="18"/>
        <w:lang w:val="en-US" w:eastAsia="zh-CN"/>
      </w:rPr>
      <w:t xml:space="preserve">凤县绿能诚睿矿业有限公司陕西省凤县李家庄方解石矿地下开采建设项目安全预评价报告    </w:t>
    </w:r>
    <w:r>
      <w:rPr>
        <w:rFonts w:hint="eastAsia" w:ascii="宋体" w:hAnsi="宋体"/>
        <w:bCs/>
        <w:lang w:val="en-US" w:eastAsia="zh-CN"/>
      </w:rPr>
      <w:t xml:space="preserve">  </w:t>
    </w:r>
    <w:r>
      <w:rPr>
        <w:rFonts w:hint="eastAsia" w:asciiTheme="minorEastAsia" w:hAnsiTheme="minorEastAsia" w:eastAsiaTheme="minorEastAsia" w:cstheme="minorEastAsia"/>
        <w:bCs/>
        <w:sz w:val="18"/>
        <w:szCs w:val="18"/>
      </w:rPr>
      <w:t>GAAP[2025]</w:t>
    </w:r>
    <w:r>
      <w:rPr>
        <w:rFonts w:hint="eastAsia" w:asciiTheme="minorEastAsia" w:hAnsiTheme="minorEastAsia" w:eastAsiaTheme="minorEastAsia" w:cstheme="minorEastAsia"/>
        <w:bCs/>
        <w:sz w:val="18"/>
        <w:szCs w:val="18"/>
        <w:lang w:val="en-US" w:eastAsia="zh-CN"/>
      </w:rPr>
      <w:t>0554</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D169DE">
    <w:pPr>
      <w:pStyle w:val="17"/>
      <w:rPr>
        <w:w w:val="90"/>
        <w:szCs w:val="23"/>
      </w:rPr>
    </w:pPr>
    <w:r>
      <w:rPr>
        <w:rFonts w:hint="eastAsia" w:asciiTheme="minorEastAsia" w:hAnsiTheme="minorEastAsia" w:eastAsiaTheme="minorEastAsia" w:cstheme="minorEastAsia"/>
        <w:bCs/>
        <w:sz w:val="18"/>
        <w:szCs w:val="18"/>
        <w:lang w:val="en-US" w:eastAsia="zh-CN"/>
      </w:rPr>
      <w:t xml:space="preserve">凤县绿能诚睿矿业有限公司陕西省凤县李家庄方解石矿地下开采建设项目安全预评价报告    </w:t>
    </w:r>
    <w:r>
      <w:rPr>
        <w:rFonts w:hint="eastAsia" w:ascii="宋体" w:hAnsi="宋体"/>
        <w:bCs/>
        <w:lang w:val="en-US" w:eastAsia="zh-CN"/>
      </w:rPr>
      <w:t xml:space="preserve">  </w:t>
    </w:r>
    <w:r>
      <w:rPr>
        <w:rFonts w:hint="eastAsia" w:asciiTheme="minorEastAsia" w:hAnsiTheme="minorEastAsia" w:eastAsiaTheme="minorEastAsia" w:cstheme="minorEastAsia"/>
        <w:bCs/>
        <w:sz w:val="18"/>
        <w:szCs w:val="18"/>
      </w:rPr>
      <w:t>GAAP[2025]</w:t>
    </w:r>
    <w:r>
      <w:rPr>
        <w:rFonts w:hint="eastAsia" w:asciiTheme="minorEastAsia" w:hAnsiTheme="minorEastAsia" w:eastAsiaTheme="minorEastAsia" w:cstheme="minorEastAsia"/>
        <w:bCs/>
        <w:sz w:val="18"/>
        <w:szCs w:val="18"/>
        <w:lang w:val="en-US" w:eastAsia="zh-CN"/>
      </w:rPr>
      <w:t>0554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A6066D"/>
    <w:multiLevelType w:val="singleLevel"/>
    <w:tmpl w:val="8DA6066D"/>
    <w:lvl w:ilvl="0" w:tentative="0">
      <w:start w:val="1"/>
      <w:numFmt w:val="decimal"/>
      <w:suff w:val="nothing"/>
      <w:lvlText w:val="(%1)"/>
      <w:lvlJc w:val="left"/>
      <w:pPr>
        <w:ind w:left="0" w:firstLine="560"/>
      </w:pPr>
      <w:rPr>
        <w:rFonts w:hint="default"/>
        <w:sz w:val="28"/>
        <w:szCs w:val="28"/>
      </w:rPr>
    </w:lvl>
  </w:abstractNum>
  <w:abstractNum w:abstractNumId="1">
    <w:nsid w:val="46BEB674"/>
    <w:multiLevelType w:val="singleLevel"/>
    <w:tmpl w:val="46BEB674"/>
    <w:lvl w:ilvl="0" w:tentative="0">
      <w:start w:val="1"/>
      <w:numFmt w:val="decimal"/>
      <w:suff w:val="nothing"/>
      <w:lvlText w:val="(%1)"/>
      <w:lvlJc w:val="left"/>
      <w:pPr>
        <w:ind w:left="0" w:firstLine="560"/>
      </w:pPr>
      <w:rPr>
        <w:rFonts w:hint="default"/>
        <w:sz w:val="28"/>
        <w:szCs w:val="28"/>
      </w:rPr>
    </w:lvl>
  </w:abstractNum>
  <w:abstractNum w:abstractNumId="2">
    <w:nsid w:val="58862BC2"/>
    <w:multiLevelType w:val="singleLevel"/>
    <w:tmpl w:val="58862BC2"/>
    <w:lvl w:ilvl="0" w:tentative="0">
      <w:start w:val="1"/>
      <w:numFmt w:val="decimal"/>
      <w:suff w:val="nothing"/>
      <w:lvlText w:val="(%1)"/>
      <w:lvlJc w:val="left"/>
      <w:pPr>
        <w:ind w:left="0" w:firstLine="560"/>
      </w:pPr>
      <w:rPr>
        <w:rFonts w:hint="default"/>
        <w:sz w:val="28"/>
        <w:szCs w:val="28"/>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420"/>
  <w:evenAndOddHeaders w:val="1"/>
  <w:drawingGridHorizontalSpacing w:val="280"/>
  <w:drawingGridVerticalSpacing w:val="195"/>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JlMzU4MzBkNjcyMzU4ZjBhODhkNzZhZmE3MWZkYjEifQ=="/>
    <w:docVar w:name="KSO_WPS_MARK_KEY" w:val="bafdb2ef-d397-4407-82e7-4b260981e2f6"/>
  </w:docVars>
  <w:rsids>
    <w:rsidRoot w:val="00172A27"/>
    <w:rsid w:val="000273CC"/>
    <w:rsid w:val="00084823"/>
    <w:rsid w:val="000E3FC3"/>
    <w:rsid w:val="00172A27"/>
    <w:rsid w:val="001B0E3A"/>
    <w:rsid w:val="001D15B0"/>
    <w:rsid w:val="001F7F7E"/>
    <w:rsid w:val="002235CA"/>
    <w:rsid w:val="00227F9F"/>
    <w:rsid w:val="002322DB"/>
    <w:rsid w:val="002B06D1"/>
    <w:rsid w:val="002C7026"/>
    <w:rsid w:val="002F72BE"/>
    <w:rsid w:val="003273C9"/>
    <w:rsid w:val="00371807"/>
    <w:rsid w:val="00384EF2"/>
    <w:rsid w:val="00394CCE"/>
    <w:rsid w:val="003A0914"/>
    <w:rsid w:val="003A6B66"/>
    <w:rsid w:val="003C7144"/>
    <w:rsid w:val="003F0600"/>
    <w:rsid w:val="00497B27"/>
    <w:rsid w:val="004D2747"/>
    <w:rsid w:val="004D4AEB"/>
    <w:rsid w:val="004F1596"/>
    <w:rsid w:val="00502B1C"/>
    <w:rsid w:val="005261A1"/>
    <w:rsid w:val="00530D75"/>
    <w:rsid w:val="00541B5E"/>
    <w:rsid w:val="00543B60"/>
    <w:rsid w:val="005B0E4A"/>
    <w:rsid w:val="005B40D2"/>
    <w:rsid w:val="00664143"/>
    <w:rsid w:val="00675370"/>
    <w:rsid w:val="00687070"/>
    <w:rsid w:val="006E6B44"/>
    <w:rsid w:val="0077538C"/>
    <w:rsid w:val="007916F0"/>
    <w:rsid w:val="007D3855"/>
    <w:rsid w:val="0081137E"/>
    <w:rsid w:val="00816AFC"/>
    <w:rsid w:val="00846DBE"/>
    <w:rsid w:val="008A3E1E"/>
    <w:rsid w:val="00917501"/>
    <w:rsid w:val="00945EA1"/>
    <w:rsid w:val="00951FEE"/>
    <w:rsid w:val="00961BA6"/>
    <w:rsid w:val="00973FB8"/>
    <w:rsid w:val="009A7605"/>
    <w:rsid w:val="00A16BE5"/>
    <w:rsid w:val="00A57B0B"/>
    <w:rsid w:val="00A9129B"/>
    <w:rsid w:val="00AC1EF8"/>
    <w:rsid w:val="00AE3357"/>
    <w:rsid w:val="00AE4805"/>
    <w:rsid w:val="00AE5B8E"/>
    <w:rsid w:val="00AF33B2"/>
    <w:rsid w:val="00AF74A3"/>
    <w:rsid w:val="00B07A03"/>
    <w:rsid w:val="00B56930"/>
    <w:rsid w:val="00BD37C1"/>
    <w:rsid w:val="00BD611A"/>
    <w:rsid w:val="00BD6C5A"/>
    <w:rsid w:val="00BF3421"/>
    <w:rsid w:val="00C16677"/>
    <w:rsid w:val="00C528D4"/>
    <w:rsid w:val="00CA792F"/>
    <w:rsid w:val="00CB3C62"/>
    <w:rsid w:val="00CE20EC"/>
    <w:rsid w:val="00D20B95"/>
    <w:rsid w:val="00D72607"/>
    <w:rsid w:val="00D84242"/>
    <w:rsid w:val="00DB6531"/>
    <w:rsid w:val="00DF01AF"/>
    <w:rsid w:val="00ED0C19"/>
    <w:rsid w:val="00F1315D"/>
    <w:rsid w:val="00F61D3A"/>
    <w:rsid w:val="00FC3A2D"/>
    <w:rsid w:val="01080FB7"/>
    <w:rsid w:val="010B0093"/>
    <w:rsid w:val="01246D9A"/>
    <w:rsid w:val="012C5242"/>
    <w:rsid w:val="0149727D"/>
    <w:rsid w:val="014D1F33"/>
    <w:rsid w:val="016F329F"/>
    <w:rsid w:val="017815E6"/>
    <w:rsid w:val="01814321"/>
    <w:rsid w:val="01930EFF"/>
    <w:rsid w:val="019E4ED3"/>
    <w:rsid w:val="01AA7D1B"/>
    <w:rsid w:val="01B6221C"/>
    <w:rsid w:val="01B82438"/>
    <w:rsid w:val="01BA61B0"/>
    <w:rsid w:val="01BF5575"/>
    <w:rsid w:val="01CB60A7"/>
    <w:rsid w:val="01D9415D"/>
    <w:rsid w:val="01DB1EFD"/>
    <w:rsid w:val="01DB2786"/>
    <w:rsid w:val="01E640EE"/>
    <w:rsid w:val="01E90844"/>
    <w:rsid w:val="01EE5E5A"/>
    <w:rsid w:val="020548F6"/>
    <w:rsid w:val="020972D1"/>
    <w:rsid w:val="023F2EC5"/>
    <w:rsid w:val="02647ECA"/>
    <w:rsid w:val="026779BA"/>
    <w:rsid w:val="026E6A32"/>
    <w:rsid w:val="027B123B"/>
    <w:rsid w:val="027E647B"/>
    <w:rsid w:val="02931AEB"/>
    <w:rsid w:val="02A94FD5"/>
    <w:rsid w:val="02B97A9C"/>
    <w:rsid w:val="02BB3C0E"/>
    <w:rsid w:val="02C91CBB"/>
    <w:rsid w:val="02E1776D"/>
    <w:rsid w:val="02E4587F"/>
    <w:rsid w:val="02E51C72"/>
    <w:rsid w:val="02F51F0C"/>
    <w:rsid w:val="03013B62"/>
    <w:rsid w:val="03015719"/>
    <w:rsid w:val="03092193"/>
    <w:rsid w:val="0314094B"/>
    <w:rsid w:val="03161EC4"/>
    <w:rsid w:val="03222CFC"/>
    <w:rsid w:val="03250913"/>
    <w:rsid w:val="032E564B"/>
    <w:rsid w:val="03305FFE"/>
    <w:rsid w:val="0334789D"/>
    <w:rsid w:val="03351867"/>
    <w:rsid w:val="03832FAB"/>
    <w:rsid w:val="03A013D6"/>
    <w:rsid w:val="03A34A22"/>
    <w:rsid w:val="03A5718C"/>
    <w:rsid w:val="03B44E81"/>
    <w:rsid w:val="03BA2ABC"/>
    <w:rsid w:val="03DE3CAC"/>
    <w:rsid w:val="03F4527E"/>
    <w:rsid w:val="03FF6280"/>
    <w:rsid w:val="04257207"/>
    <w:rsid w:val="04473600"/>
    <w:rsid w:val="044E03A3"/>
    <w:rsid w:val="045301F6"/>
    <w:rsid w:val="045C354F"/>
    <w:rsid w:val="04826D2E"/>
    <w:rsid w:val="04893C18"/>
    <w:rsid w:val="048A28FC"/>
    <w:rsid w:val="049D20AA"/>
    <w:rsid w:val="04BD38C2"/>
    <w:rsid w:val="04C14B1F"/>
    <w:rsid w:val="04C67FD9"/>
    <w:rsid w:val="04C9670A"/>
    <w:rsid w:val="04CE2CC9"/>
    <w:rsid w:val="04E452F2"/>
    <w:rsid w:val="04E6106A"/>
    <w:rsid w:val="04ED41A7"/>
    <w:rsid w:val="05157BA2"/>
    <w:rsid w:val="05373674"/>
    <w:rsid w:val="053F69CD"/>
    <w:rsid w:val="054B35C3"/>
    <w:rsid w:val="056802AA"/>
    <w:rsid w:val="058B05D8"/>
    <w:rsid w:val="05B04764"/>
    <w:rsid w:val="05B22B37"/>
    <w:rsid w:val="05C36534"/>
    <w:rsid w:val="05C869C2"/>
    <w:rsid w:val="05CA098C"/>
    <w:rsid w:val="05DD1F63"/>
    <w:rsid w:val="05F570B8"/>
    <w:rsid w:val="05F61781"/>
    <w:rsid w:val="05F872A7"/>
    <w:rsid w:val="061E4834"/>
    <w:rsid w:val="06380A36"/>
    <w:rsid w:val="06400A0D"/>
    <w:rsid w:val="065546FA"/>
    <w:rsid w:val="0658074F"/>
    <w:rsid w:val="06676252"/>
    <w:rsid w:val="06712BB6"/>
    <w:rsid w:val="067F1859"/>
    <w:rsid w:val="06885D30"/>
    <w:rsid w:val="06990DAE"/>
    <w:rsid w:val="069A3818"/>
    <w:rsid w:val="06A50DBA"/>
    <w:rsid w:val="06B156A8"/>
    <w:rsid w:val="06C76C7A"/>
    <w:rsid w:val="06D01FD2"/>
    <w:rsid w:val="06D858B8"/>
    <w:rsid w:val="06D870D9"/>
    <w:rsid w:val="06D96F7C"/>
    <w:rsid w:val="06DB44D3"/>
    <w:rsid w:val="06DC1469"/>
    <w:rsid w:val="06F72402"/>
    <w:rsid w:val="06FF13BC"/>
    <w:rsid w:val="06FF2B5E"/>
    <w:rsid w:val="0700028A"/>
    <w:rsid w:val="07040510"/>
    <w:rsid w:val="070954E4"/>
    <w:rsid w:val="070D6D82"/>
    <w:rsid w:val="07293490"/>
    <w:rsid w:val="07397B77"/>
    <w:rsid w:val="07494F59"/>
    <w:rsid w:val="074A23CE"/>
    <w:rsid w:val="07500A1D"/>
    <w:rsid w:val="07593D76"/>
    <w:rsid w:val="075E75DE"/>
    <w:rsid w:val="076D15CF"/>
    <w:rsid w:val="0784404A"/>
    <w:rsid w:val="079C1EB4"/>
    <w:rsid w:val="07A019A5"/>
    <w:rsid w:val="07B216D8"/>
    <w:rsid w:val="07B537D1"/>
    <w:rsid w:val="07B765A6"/>
    <w:rsid w:val="07C531B9"/>
    <w:rsid w:val="07C9793D"/>
    <w:rsid w:val="07CA6288"/>
    <w:rsid w:val="07D16002"/>
    <w:rsid w:val="07D433FC"/>
    <w:rsid w:val="07E11D88"/>
    <w:rsid w:val="07E841BB"/>
    <w:rsid w:val="07F1509C"/>
    <w:rsid w:val="07F86735"/>
    <w:rsid w:val="07FB307F"/>
    <w:rsid w:val="080122B1"/>
    <w:rsid w:val="08070A00"/>
    <w:rsid w:val="081D2FF5"/>
    <w:rsid w:val="082779D0"/>
    <w:rsid w:val="08297BEC"/>
    <w:rsid w:val="082A5712"/>
    <w:rsid w:val="082B2A54"/>
    <w:rsid w:val="0834184F"/>
    <w:rsid w:val="085911F2"/>
    <w:rsid w:val="085D1D84"/>
    <w:rsid w:val="0862633B"/>
    <w:rsid w:val="08732C15"/>
    <w:rsid w:val="087846CF"/>
    <w:rsid w:val="087A0447"/>
    <w:rsid w:val="08872B64"/>
    <w:rsid w:val="08893E4A"/>
    <w:rsid w:val="0898267C"/>
    <w:rsid w:val="08A2799E"/>
    <w:rsid w:val="08A31406"/>
    <w:rsid w:val="08A76D63"/>
    <w:rsid w:val="08AC4379"/>
    <w:rsid w:val="08C0550B"/>
    <w:rsid w:val="08C15EE6"/>
    <w:rsid w:val="08C47915"/>
    <w:rsid w:val="08EB4EA1"/>
    <w:rsid w:val="08F57ACE"/>
    <w:rsid w:val="090129D5"/>
    <w:rsid w:val="09092DE7"/>
    <w:rsid w:val="090B5543"/>
    <w:rsid w:val="090D6D7A"/>
    <w:rsid w:val="09114527"/>
    <w:rsid w:val="09181A0E"/>
    <w:rsid w:val="091B5B83"/>
    <w:rsid w:val="09246605"/>
    <w:rsid w:val="09377983"/>
    <w:rsid w:val="09615107"/>
    <w:rsid w:val="09615163"/>
    <w:rsid w:val="099E121C"/>
    <w:rsid w:val="09A11A04"/>
    <w:rsid w:val="09AE41F5"/>
    <w:rsid w:val="09C23374"/>
    <w:rsid w:val="09C44AB1"/>
    <w:rsid w:val="09C9203C"/>
    <w:rsid w:val="09E33DCA"/>
    <w:rsid w:val="09F9539C"/>
    <w:rsid w:val="0A001C43"/>
    <w:rsid w:val="0A0124A3"/>
    <w:rsid w:val="0A0326E0"/>
    <w:rsid w:val="0A0C71A7"/>
    <w:rsid w:val="0A151EE8"/>
    <w:rsid w:val="0A371FFD"/>
    <w:rsid w:val="0A405407"/>
    <w:rsid w:val="0A47022C"/>
    <w:rsid w:val="0A481E7F"/>
    <w:rsid w:val="0A5151D8"/>
    <w:rsid w:val="0A653517"/>
    <w:rsid w:val="0A716185"/>
    <w:rsid w:val="0A782765"/>
    <w:rsid w:val="0A877197"/>
    <w:rsid w:val="0A8842FD"/>
    <w:rsid w:val="0A9926DB"/>
    <w:rsid w:val="0AAA48E8"/>
    <w:rsid w:val="0AD017FF"/>
    <w:rsid w:val="0AD025A1"/>
    <w:rsid w:val="0AD269B6"/>
    <w:rsid w:val="0ADE5D3C"/>
    <w:rsid w:val="0ADF27E4"/>
    <w:rsid w:val="0AE72A95"/>
    <w:rsid w:val="0AEA2735"/>
    <w:rsid w:val="0AEF0CC9"/>
    <w:rsid w:val="0B17653B"/>
    <w:rsid w:val="0B184DBD"/>
    <w:rsid w:val="0B1A2EA0"/>
    <w:rsid w:val="0B3F3282"/>
    <w:rsid w:val="0B406373"/>
    <w:rsid w:val="0B4566D4"/>
    <w:rsid w:val="0B493D99"/>
    <w:rsid w:val="0B4C599F"/>
    <w:rsid w:val="0B662DD8"/>
    <w:rsid w:val="0B664CB3"/>
    <w:rsid w:val="0B7E1A1A"/>
    <w:rsid w:val="0B9A6334"/>
    <w:rsid w:val="0BAC331A"/>
    <w:rsid w:val="0BDF77A3"/>
    <w:rsid w:val="0BF73038"/>
    <w:rsid w:val="0C180A97"/>
    <w:rsid w:val="0C2C7CAB"/>
    <w:rsid w:val="0C30170C"/>
    <w:rsid w:val="0C344DB1"/>
    <w:rsid w:val="0C524BC1"/>
    <w:rsid w:val="0C5E5EFE"/>
    <w:rsid w:val="0C747876"/>
    <w:rsid w:val="0C9413AC"/>
    <w:rsid w:val="0C9A62EB"/>
    <w:rsid w:val="0CA01E95"/>
    <w:rsid w:val="0CA06937"/>
    <w:rsid w:val="0CC47EE3"/>
    <w:rsid w:val="0CD512A4"/>
    <w:rsid w:val="0CE62A84"/>
    <w:rsid w:val="0CEB1914"/>
    <w:rsid w:val="0CF70564"/>
    <w:rsid w:val="0D180F50"/>
    <w:rsid w:val="0D2027F3"/>
    <w:rsid w:val="0D223A3A"/>
    <w:rsid w:val="0D2D7CEC"/>
    <w:rsid w:val="0D336E17"/>
    <w:rsid w:val="0D3D30EB"/>
    <w:rsid w:val="0D4250A8"/>
    <w:rsid w:val="0D466B4A"/>
    <w:rsid w:val="0D493F23"/>
    <w:rsid w:val="0D4E59FF"/>
    <w:rsid w:val="0D4F1296"/>
    <w:rsid w:val="0D5634FB"/>
    <w:rsid w:val="0D58062B"/>
    <w:rsid w:val="0D5A05B1"/>
    <w:rsid w:val="0D667C25"/>
    <w:rsid w:val="0D696CDD"/>
    <w:rsid w:val="0D844D06"/>
    <w:rsid w:val="0D860EC5"/>
    <w:rsid w:val="0D955DE9"/>
    <w:rsid w:val="0DA04D0A"/>
    <w:rsid w:val="0DA3127A"/>
    <w:rsid w:val="0DB26DC2"/>
    <w:rsid w:val="0DB937C0"/>
    <w:rsid w:val="0DBF1A2F"/>
    <w:rsid w:val="0DBF4B4E"/>
    <w:rsid w:val="0DC67C8B"/>
    <w:rsid w:val="0DCA6F99"/>
    <w:rsid w:val="0DD34156"/>
    <w:rsid w:val="0DE32CA1"/>
    <w:rsid w:val="0DE83E5B"/>
    <w:rsid w:val="0DEA1BCB"/>
    <w:rsid w:val="0DF50570"/>
    <w:rsid w:val="0DF96664"/>
    <w:rsid w:val="0DFF319D"/>
    <w:rsid w:val="0E1A3B33"/>
    <w:rsid w:val="0E230C39"/>
    <w:rsid w:val="0E2D7D0A"/>
    <w:rsid w:val="0E384AA4"/>
    <w:rsid w:val="0E3C1CFB"/>
    <w:rsid w:val="0E3E77E2"/>
    <w:rsid w:val="0E432F06"/>
    <w:rsid w:val="0E464928"/>
    <w:rsid w:val="0E5E6115"/>
    <w:rsid w:val="0E6B6937"/>
    <w:rsid w:val="0E753803"/>
    <w:rsid w:val="0E7A5BBB"/>
    <w:rsid w:val="0E83792A"/>
    <w:rsid w:val="0E87566C"/>
    <w:rsid w:val="0E8B1784"/>
    <w:rsid w:val="0EA95AE9"/>
    <w:rsid w:val="0ECA1DF5"/>
    <w:rsid w:val="0ED2440E"/>
    <w:rsid w:val="0ED87BD6"/>
    <w:rsid w:val="0EDD528C"/>
    <w:rsid w:val="0EF56629"/>
    <w:rsid w:val="0EF7178C"/>
    <w:rsid w:val="0EFB1BB6"/>
    <w:rsid w:val="0F1A402A"/>
    <w:rsid w:val="0F41676A"/>
    <w:rsid w:val="0F582B83"/>
    <w:rsid w:val="0F5903DB"/>
    <w:rsid w:val="0F5A1B1C"/>
    <w:rsid w:val="0F637EAE"/>
    <w:rsid w:val="0F6459AD"/>
    <w:rsid w:val="0F717E21"/>
    <w:rsid w:val="0F825E34"/>
    <w:rsid w:val="0F847C52"/>
    <w:rsid w:val="0F8B2F3A"/>
    <w:rsid w:val="0F8B4C54"/>
    <w:rsid w:val="0F8C0A60"/>
    <w:rsid w:val="0FA36690"/>
    <w:rsid w:val="0FB50242"/>
    <w:rsid w:val="0FB91ED8"/>
    <w:rsid w:val="0FCF74EE"/>
    <w:rsid w:val="0FD20B69"/>
    <w:rsid w:val="0FDE750E"/>
    <w:rsid w:val="0FE05B3A"/>
    <w:rsid w:val="0FE21723"/>
    <w:rsid w:val="0FE34B24"/>
    <w:rsid w:val="10260EB5"/>
    <w:rsid w:val="103E7FAD"/>
    <w:rsid w:val="10437371"/>
    <w:rsid w:val="1045758D"/>
    <w:rsid w:val="105477D0"/>
    <w:rsid w:val="105607A4"/>
    <w:rsid w:val="10580C66"/>
    <w:rsid w:val="107C703F"/>
    <w:rsid w:val="108871F8"/>
    <w:rsid w:val="10A047C3"/>
    <w:rsid w:val="10A5627E"/>
    <w:rsid w:val="10AB3168"/>
    <w:rsid w:val="10AD6EE0"/>
    <w:rsid w:val="10DD670C"/>
    <w:rsid w:val="10FB7C4C"/>
    <w:rsid w:val="11000D9F"/>
    <w:rsid w:val="110D797F"/>
    <w:rsid w:val="111D4066"/>
    <w:rsid w:val="11366ED6"/>
    <w:rsid w:val="114525FF"/>
    <w:rsid w:val="114710E3"/>
    <w:rsid w:val="114E2471"/>
    <w:rsid w:val="11692E07"/>
    <w:rsid w:val="116F0610"/>
    <w:rsid w:val="117D2481"/>
    <w:rsid w:val="117F262B"/>
    <w:rsid w:val="11851437"/>
    <w:rsid w:val="11877D9F"/>
    <w:rsid w:val="11974D06"/>
    <w:rsid w:val="11A976A8"/>
    <w:rsid w:val="11A97C00"/>
    <w:rsid w:val="11C24FF4"/>
    <w:rsid w:val="11D50DB2"/>
    <w:rsid w:val="11D54941"/>
    <w:rsid w:val="11DC6206"/>
    <w:rsid w:val="11E044D7"/>
    <w:rsid w:val="11E507BB"/>
    <w:rsid w:val="11F254F3"/>
    <w:rsid w:val="11F72EB2"/>
    <w:rsid w:val="11FE3E97"/>
    <w:rsid w:val="12103BCB"/>
    <w:rsid w:val="1212349F"/>
    <w:rsid w:val="12143EC2"/>
    <w:rsid w:val="1218364A"/>
    <w:rsid w:val="1222006D"/>
    <w:rsid w:val="12320AD3"/>
    <w:rsid w:val="1235718D"/>
    <w:rsid w:val="123F1DBA"/>
    <w:rsid w:val="125A606E"/>
    <w:rsid w:val="125C471A"/>
    <w:rsid w:val="127A5249"/>
    <w:rsid w:val="12865C3B"/>
    <w:rsid w:val="12886634"/>
    <w:rsid w:val="12A0408A"/>
    <w:rsid w:val="12B411CC"/>
    <w:rsid w:val="12B411D4"/>
    <w:rsid w:val="12C0114D"/>
    <w:rsid w:val="12C3266C"/>
    <w:rsid w:val="12CD73C6"/>
    <w:rsid w:val="12F4756B"/>
    <w:rsid w:val="12FB7C2C"/>
    <w:rsid w:val="13085B4B"/>
    <w:rsid w:val="13144FF5"/>
    <w:rsid w:val="131C5736"/>
    <w:rsid w:val="13255454"/>
    <w:rsid w:val="133032AB"/>
    <w:rsid w:val="134A0A16"/>
    <w:rsid w:val="1352499F"/>
    <w:rsid w:val="135D4BEE"/>
    <w:rsid w:val="13637D2A"/>
    <w:rsid w:val="136A5CD4"/>
    <w:rsid w:val="13743620"/>
    <w:rsid w:val="13A01B6A"/>
    <w:rsid w:val="13A04ADA"/>
    <w:rsid w:val="13B01C0F"/>
    <w:rsid w:val="13BA5B9C"/>
    <w:rsid w:val="13BB3314"/>
    <w:rsid w:val="13CC4E74"/>
    <w:rsid w:val="13D824C6"/>
    <w:rsid w:val="13DB5B12"/>
    <w:rsid w:val="14037C1F"/>
    <w:rsid w:val="140744D4"/>
    <w:rsid w:val="141103F5"/>
    <w:rsid w:val="141259D8"/>
    <w:rsid w:val="141623FA"/>
    <w:rsid w:val="141C0F78"/>
    <w:rsid w:val="14306300"/>
    <w:rsid w:val="1432607A"/>
    <w:rsid w:val="143270B2"/>
    <w:rsid w:val="1446484C"/>
    <w:rsid w:val="14515CFB"/>
    <w:rsid w:val="14522278"/>
    <w:rsid w:val="145C30F7"/>
    <w:rsid w:val="146D70B2"/>
    <w:rsid w:val="14706BA3"/>
    <w:rsid w:val="14977C8B"/>
    <w:rsid w:val="149A3C1F"/>
    <w:rsid w:val="149F2FE4"/>
    <w:rsid w:val="14A31207"/>
    <w:rsid w:val="14B13B55"/>
    <w:rsid w:val="14B27946"/>
    <w:rsid w:val="14C11897"/>
    <w:rsid w:val="14C447F8"/>
    <w:rsid w:val="14D013EF"/>
    <w:rsid w:val="14D94748"/>
    <w:rsid w:val="14E530ED"/>
    <w:rsid w:val="14EA3519"/>
    <w:rsid w:val="14F50E56"/>
    <w:rsid w:val="14F55080"/>
    <w:rsid w:val="14FD7A35"/>
    <w:rsid w:val="153C0833"/>
    <w:rsid w:val="155D514E"/>
    <w:rsid w:val="15655FDB"/>
    <w:rsid w:val="156C2180"/>
    <w:rsid w:val="159D4B97"/>
    <w:rsid w:val="15B36D47"/>
    <w:rsid w:val="15CC7E09"/>
    <w:rsid w:val="15DC10E5"/>
    <w:rsid w:val="15E05154"/>
    <w:rsid w:val="15F13669"/>
    <w:rsid w:val="15F85A55"/>
    <w:rsid w:val="15FE0889"/>
    <w:rsid w:val="15FE2F64"/>
    <w:rsid w:val="16026BD5"/>
    <w:rsid w:val="161377E5"/>
    <w:rsid w:val="16467BBB"/>
    <w:rsid w:val="164756E1"/>
    <w:rsid w:val="164F0587"/>
    <w:rsid w:val="1662251B"/>
    <w:rsid w:val="166F5285"/>
    <w:rsid w:val="1670737F"/>
    <w:rsid w:val="167D5B33"/>
    <w:rsid w:val="1684355B"/>
    <w:rsid w:val="16930926"/>
    <w:rsid w:val="16B54D41"/>
    <w:rsid w:val="16CC3B78"/>
    <w:rsid w:val="16D36F75"/>
    <w:rsid w:val="16DF0FD5"/>
    <w:rsid w:val="170D692B"/>
    <w:rsid w:val="174827FE"/>
    <w:rsid w:val="17516817"/>
    <w:rsid w:val="17670696"/>
    <w:rsid w:val="178843F6"/>
    <w:rsid w:val="179B7A92"/>
    <w:rsid w:val="17A0154D"/>
    <w:rsid w:val="17A27073"/>
    <w:rsid w:val="17CE585E"/>
    <w:rsid w:val="17D42FA4"/>
    <w:rsid w:val="17D46287"/>
    <w:rsid w:val="17DE54CF"/>
    <w:rsid w:val="18003D99"/>
    <w:rsid w:val="18177FE3"/>
    <w:rsid w:val="18235E31"/>
    <w:rsid w:val="182779D6"/>
    <w:rsid w:val="18356E45"/>
    <w:rsid w:val="183B7D55"/>
    <w:rsid w:val="18441420"/>
    <w:rsid w:val="1848423D"/>
    <w:rsid w:val="184B14B9"/>
    <w:rsid w:val="1857712C"/>
    <w:rsid w:val="18585984"/>
    <w:rsid w:val="185E2368"/>
    <w:rsid w:val="18644328"/>
    <w:rsid w:val="18770500"/>
    <w:rsid w:val="188F0B1E"/>
    <w:rsid w:val="189C4E19"/>
    <w:rsid w:val="18BA5B17"/>
    <w:rsid w:val="18CD6371"/>
    <w:rsid w:val="18D4670B"/>
    <w:rsid w:val="18E90564"/>
    <w:rsid w:val="190475D2"/>
    <w:rsid w:val="190B4671"/>
    <w:rsid w:val="191915B7"/>
    <w:rsid w:val="19297FBA"/>
    <w:rsid w:val="192F4E41"/>
    <w:rsid w:val="19371A3D"/>
    <w:rsid w:val="194D7F9C"/>
    <w:rsid w:val="19570467"/>
    <w:rsid w:val="196D29C0"/>
    <w:rsid w:val="196D5993"/>
    <w:rsid w:val="19720CC7"/>
    <w:rsid w:val="19936AE1"/>
    <w:rsid w:val="19946E8F"/>
    <w:rsid w:val="199A3E11"/>
    <w:rsid w:val="199B64E5"/>
    <w:rsid w:val="19A10A1B"/>
    <w:rsid w:val="19AA220F"/>
    <w:rsid w:val="19AF5A77"/>
    <w:rsid w:val="19B20A68"/>
    <w:rsid w:val="19B66E06"/>
    <w:rsid w:val="19C0250B"/>
    <w:rsid w:val="19CE0BFB"/>
    <w:rsid w:val="19CE23A1"/>
    <w:rsid w:val="19D03922"/>
    <w:rsid w:val="19E35721"/>
    <w:rsid w:val="19EA2F53"/>
    <w:rsid w:val="19F31E08"/>
    <w:rsid w:val="19F65454"/>
    <w:rsid w:val="1A0C7826"/>
    <w:rsid w:val="1A1D50D7"/>
    <w:rsid w:val="1A2E2E40"/>
    <w:rsid w:val="1A2F140D"/>
    <w:rsid w:val="1A4306D0"/>
    <w:rsid w:val="1A5358A1"/>
    <w:rsid w:val="1A5D761B"/>
    <w:rsid w:val="1A6B7134"/>
    <w:rsid w:val="1A6C61D4"/>
    <w:rsid w:val="1A7120E8"/>
    <w:rsid w:val="1A806BCE"/>
    <w:rsid w:val="1A8A5457"/>
    <w:rsid w:val="1A9A68F5"/>
    <w:rsid w:val="1A9F5AEC"/>
    <w:rsid w:val="1AAA5CD9"/>
    <w:rsid w:val="1AAC1FB7"/>
    <w:rsid w:val="1AB579F3"/>
    <w:rsid w:val="1AB66952"/>
    <w:rsid w:val="1AC04C8E"/>
    <w:rsid w:val="1AC509AC"/>
    <w:rsid w:val="1AC67120"/>
    <w:rsid w:val="1AF5570C"/>
    <w:rsid w:val="1AFB7E2B"/>
    <w:rsid w:val="1B097409"/>
    <w:rsid w:val="1B177D78"/>
    <w:rsid w:val="1B26620D"/>
    <w:rsid w:val="1B2A18D8"/>
    <w:rsid w:val="1B302BE8"/>
    <w:rsid w:val="1B355E64"/>
    <w:rsid w:val="1B3B11DE"/>
    <w:rsid w:val="1B3C2B84"/>
    <w:rsid w:val="1B430B6D"/>
    <w:rsid w:val="1B4E2FBD"/>
    <w:rsid w:val="1B542D7A"/>
    <w:rsid w:val="1B78692F"/>
    <w:rsid w:val="1B844DE8"/>
    <w:rsid w:val="1B866CAC"/>
    <w:rsid w:val="1B9E5DA3"/>
    <w:rsid w:val="1BA870F9"/>
    <w:rsid w:val="1BD712B5"/>
    <w:rsid w:val="1BDE2589"/>
    <w:rsid w:val="1BE5055C"/>
    <w:rsid w:val="1BEE12BF"/>
    <w:rsid w:val="1BF57933"/>
    <w:rsid w:val="1C0363DF"/>
    <w:rsid w:val="1C092910"/>
    <w:rsid w:val="1C1B3898"/>
    <w:rsid w:val="1C1E0C92"/>
    <w:rsid w:val="1C2838BF"/>
    <w:rsid w:val="1C2D7127"/>
    <w:rsid w:val="1C2F20FA"/>
    <w:rsid w:val="1C31256F"/>
    <w:rsid w:val="1C332F95"/>
    <w:rsid w:val="1C726FD2"/>
    <w:rsid w:val="1C766D20"/>
    <w:rsid w:val="1C7F3E27"/>
    <w:rsid w:val="1C8A55DB"/>
    <w:rsid w:val="1CA7512B"/>
    <w:rsid w:val="1CA76EDA"/>
    <w:rsid w:val="1CAB4C1C"/>
    <w:rsid w:val="1CAC2742"/>
    <w:rsid w:val="1CC47DA2"/>
    <w:rsid w:val="1CC950A2"/>
    <w:rsid w:val="1CED6FE2"/>
    <w:rsid w:val="1D1722B1"/>
    <w:rsid w:val="1D185917"/>
    <w:rsid w:val="1D1D022C"/>
    <w:rsid w:val="1D2D33B0"/>
    <w:rsid w:val="1D364BAA"/>
    <w:rsid w:val="1D4C36BB"/>
    <w:rsid w:val="1D5C1A72"/>
    <w:rsid w:val="1D6923E1"/>
    <w:rsid w:val="1D8D4FDB"/>
    <w:rsid w:val="1D8E2B76"/>
    <w:rsid w:val="1D93016D"/>
    <w:rsid w:val="1D9C4564"/>
    <w:rsid w:val="1DAA6ECD"/>
    <w:rsid w:val="1DBD3CE9"/>
    <w:rsid w:val="1DBD6D5B"/>
    <w:rsid w:val="1DC53ABB"/>
    <w:rsid w:val="1DCF3FCA"/>
    <w:rsid w:val="1DF12B02"/>
    <w:rsid w:val="1E133835"/>
    <w:rsid w:val="1E224180"/>
    <w:rsid w:val="1E360358"/>
    <w:rsid w:val="1E42335E"/>
    <w:rsid w:val="1E452429"/>
    <w:rsid w:val="1E4714F9"/>
    <w:rsid w:val="1E4852D2"/>
    <w:rsid w:val="1E560BB7"/>
    <w:rsid w:val="1E5A33C0"/>
    <w:rsid w:val="1E5D0198"/>
    <w:rsid w:val="1E650DFA"/>
    <w:rsid w:val="1E6A59DA"/>
    <w:rsid w:val="1E88623C"/>
    <w:rsid w:val="1E8B6B43"/>
    <w:rsid w:val="1EA77665"/>
    <w:rsid w:val="1EAB0F03"/>
    <w:rsid w:val="1EB61656"/>
    <w:rsid w:val="1ECB5101"/>
    <w:rsid w:val="1ED74A41"/>
    <w:rsid w:val="1EE17CFF"/>
    <w:rsid w:val="1EE2244B"/>
    <w:rsid w:val="1EE76F85"/>
    <w:rsid w:val="1EFA59E6"/>
    <w:rsid w:val="1F1149A6"/>
    <w:rsid w:val="1F204D21"/>
    <w:rsid w:val="1F240CB5"/>
    <w:rsid w:val="1F2962CC"/>
    <w:rsid w:val="1F3152D9"/>
    <w:rsid w:val="1F3709E9"/>
    <w:rsid w:val="1F423EFE"/>
    <w:rsid w:val="1F486752"/>
    <w:rsid w:val="1F550E6F"/>
    <w:rsid w:val="1F5A0233"/>
    <w:rsid w:val="1F5B6FD3"/>
    <w:rsid w:val="1F6317DE"/>
    <w:rsid w:val="1F7A62B3"/>
    <w:rsid w:val="1F8009B1"/>
    <w:rsid w:val="1F824774"/>
    <w:rsid w:val="1F8654CC"/>
    <w:rsid w:val="1F9E6378"/>
    <w:rsid w:val="1FBC7140"/>
    <w:rsid w:val="1FBE0451"/>
    <w:rsid w:val="1FC73023"/>
    <w:rsid w:val="1FDC13A4"/>
    <w:rsid w:val="1FDC50EC"/>
    <w:rsid w:val="1FE521F3"/>
    <w:rsid w:val="1FF02946"/>
    <w:rsid w:val="20186AF1"/>
    <w:rsid w:val="20232D1B"/>
    <w:rsid w:val="202A4A12"/>
    <w:rsid w:val="20482782"/>
    <w:rsid w:val="204F3BFC"/>
    <w:rsid w:val="206700E7"/>
    <w:rsid w:val="20714D14"/>
    <w:rsid w:val="207407CA"/>
    <w:rsid w:val="20805618"/>
    <w:rsid w:val="208C7D22"/>
    <w:rsid w:val="208E4638"/>
    <w:rsid w:val="209918BD"/>
    <w:rsid w:val="20AA4B01"/>
    <w:rsid w:val="20AC4ABE"/>
    <w:rsid w:val="20AC7CD9"/>
    <w:rsid w:val="20B0050F"/>
    <w:rsid w:val="20CC0866"/>
    <w:rsid w:val="20CC2D02"/>
    <w:rsid w:val="20D14CCB"/>
    <w:rsid w:val="20D64231"/>
    <w:rsid w:val="20E24984"/>
    <w:rsid w:val="2107151D"/>
    <w:rsid w:val="211A5ECC"/>
    <w:rsid w:val="21275C6D"/>
    <w:rsid w:val="213056EF"/>
    <w:rsid w:val="21353974"/>
    <w:rsid w:val="213571AA"/>
    <w:rsid w:val="214370BF"/>
    <w:rsid w:val="214B2529"/>
    <w:rsid w:val="215D170A"/>
    <w:rsid w:val="21621621"/>
    <w:rsid w:val="2164183D"/>
    <w:rsid w:val="216E7FC6"/>
    <w:rsid w:val="217575A6"/>
    <w:rsid w:val="217952E8"/>
    <w:rsid w:val="217E5989"/>
    <w:rsid w:val="218477E9"/>
    <w:rsid w:val="2188552B"/>
    <w:rsid w:val="218C669E"/>
    <w:rsid w:val="2190618E"/>
    <w:rsid w:val="21D544E9"/>
    <w:rsid w:val="21DE339D"/>
    <w:rsid w:val="21E604A4"/>
    <w:rsid w:val="2210107D"/>
    <w:rsid w:val="22150208"/>
    <w:rsid w:val="222608A0"/>
    <w:rsid w:val="223236E9"/>
    <w:rsid w:val="22522477"/>
    <w:rsid w:val="22861367"/>
    <w:rsid w:val="2287505A"/>
    <w:rsid w:val="228A7CE8"/>
    <w:rsid w:val="22AC06A2"/>
    <w:rsid w:val="22AD1173"/>
    <w:rsid w:val="23001A7E"/>
    <w:rsid w:val="231471F7"/>
    <w:rsid w:val="231C55FA"/>
    <w:rsid w:val="231F4E1A"/>
    <w:rsid w:val="23411AEE"/>
    <w:rsid w:val="234B6811"/>
    <w:rsid w:val="235F4E4A"/>
    <w:rsid w:val="236723EA"/>
    <w:rsid w:val="23676978"/>
    <w:rsid w:val="236B0C61"/>
    <w:rsid w:val="23706277"/>
    <w:rsid w:val="23711FEF"/>
    <w:rsid w:val="237A4CAE"/>
    <w:rsid w:val="237D0994"/>
    <w:rsid w:val="23865A9B"/>
    <w:rsid w:val="23A076DF"/>
    <w:rsid w:val="23B048C6"/>
    <w:rsid w:val="23C16AD3"/>
    <w:rsid w:val="23CA31BB"/>
    <w:rsid w:val="23D71F71"/>
    <w:rsid w:val="23DF33FD"/>
    <w:rsid w:val="23E822B1"/>
    <w:rsid w:val="241035B6"/>
    <w:rsid w:val="243318B8"/>
    <w:rsid w:val="243512C2"/>
    <w:rsid w:val="244D65B8"/>
    <w:rsid w:val="24526729"/>
    <w:rsid w:val="24537CA2"/>
    <w:rsid w:val="245636BF"/>
    <w:rsid w:val="245E7725"/>
    <w:rsid w:val="246A5D3E"/>
    <w:rsid w:val="24701892"/>
    <w:rsid w:val="248144B4"/>
    <w:rsid w:val="24991614"/>
    <w:rsid w:val="24A3267C"/>
    <w:rsid w:val="24AA3A0B"/>
    <w:rsid w:val="24AB48BC"/>
    <w:rsid w:val="24B00FF9"/>
    <w:rsid w:val="24B537E5"/>
    <w:rsid w:val="24B620F8"/>
    <w:rsid w:val="24B6415E"/>
    <w:rsid w:val="24B714CA"/>
    <w:rsid w:val="24BC2154"/>
    <w:rsid w:val="24C20D54"/>
    <w:rsid w:val="24C745BD"/>
    <w:rsid w:val="24E20CF5"/>
    <w:rsid w:val="24ED38F7"/>
    <w:rsid w:val="2501161D"/>
    <w:rsid w:val="250273A3"/>
    <w:rsid w:val="251B3669"/>
    <w:rsid w:val="251C4572"/>
    <w:rsid w:val="251C7284"/>
    <w:rsid w:val="2535119A"/>
    <w:rsid w:val="25457290"/>
    <w:rsid w:val="25560DD8"/>
    <w:rsid w:val="25657932"/>
    <w:rsid w:val="256B766A"/>
    <w:rsid w:val="257225F5"/>
    <w:rsid w:val="2574222C"/>
    <w:rsid w:val="258A5DF9"/>
    <w:rsid w:val="258C42A9"/>
    <w:rsid w:val="25BB413D"/>
    <w:rsid w:val="25C1100C"/>
    <w:rsid w:val="25D54AB7"/>
    <w:rsid w:val="25DA3E7C"/>
    <w:rsid w:val="25FC2044"/>
    <w:rsid w:val="25FE1F57"/>
    <w:rsid w:val="26192BF6"/>
    <w:rsid w:val="26324020"/>
    <w:rsid w:val="26437C73"/>
    <w:rsid w:val="264D7C6C"/>
    <w:rsid w:val="264E03C6"/>
    <w:rsid w:val="265C29D1"/>
    <w:rsid w:val="265E685B"/>
    <w:rsid w:val="2662377F"/>
    <w:rsid w:val="266A0D63"/>
    <w:rsid w:val="266B0F78"/>
    <w:rsid w:val="267460DF"/>
    <w:rsid w:val="267642F4"/>
    <w:rsid w:val="267B50CE"/>
    <w:rsid w:val="26812549"/>
    <w:rsid w:val="26962499"/>
    <w:rsid w:val="26A34BB6"/>
    <w:rsid w:val="26A352DA"/>
    <w:rsid w:val="26A60202"/>
    <w:rsid w:val="26B47BF0"/>
    <w:rsid w:val="26B81871"/>
    <w:rsid w:val="26C62652"/>
    <w:rsid w:val="26C905EF"/>
    <w:rsid w:val="26CB02AF"/>
    <w:rsid w:val="26CD1C32"/>
    <w:rsid w:val="26D92385"/>
    <w:rsid w:val="26DD1E76"/>
    <w:rsid w:val="26E2748C"/>
    <w:rsid w:val="26F00A07"/>
    <w:rsid w:val="26F251F5"/>
    <w:rsid w:val="27000148"/>
    <w:rsid w:val="270216C1"/>
    <w:rsid w:val="270218DC"/>
    <w:rsid w:val="27072B67"/>
    <w:rsid w:val="27084A19"/>
    <w:rsid w:val="2736548A"/>
    <w:rsid w:val="27384E5C"/>
    <w:rsid w:val="27436AA7"/>
    <w:rsid w:val="274E68CF"/>
    <w:rsid w:val="274F7586"/>
    <w:rsid w:val="2754511E"/>
    <w:rsid w:val="27684462"/>
    <w:rsid w:val="277B1EA4"/>
    <w:rsid w:val="27814EF7"/>
    <w:rsid w:val="27856069"/>
    <w:rsid w:val="27914A0E"/>
    <w:rsid w:val="27AC7017"/>
    <w:rsid w:val="27AE0637"/>
    <w:rsid w:val="27B01338"/>
    <w:rsid w:val="27B119B4"/>
    <w:rsid w:val="27D668C5"/>
    <w:rsid w:val="27ED70AB"/>
    <w:rsid w:val="27FB0D54"/>
    <w:rsid w:val="281E604A"/>
    <w:rsid w:val="283E69A4"/>
    <w:rsid w:val="28445F24"/>
    <w:rsid w:val="28596016"/>
    <w:rsid w:val="285B4FA1"/>
    <w:rsid w:val="285C6DB6"/>
    <w:rsid w:val="285C6DCA"/>
    <w:rsid w:val="285F68BA"/>
    <w:rsid w:val="28666CAA"/>
    <w:rsid w:val="28670377"/>
    <w:rsid w:val="2874680A"/>
    <w:rsid w:val="287B7B98"/>
    <w:rsid w:val="28810F26"/>
    <w:rsid w:val="28A54C15"/>
    <w:rsid w:val="28B164BA"/>
    <w:rsid w:val="28BB5D28"/>
    <w:rsid w:val="28BE5CD7"/>
    <w:rsid w:val="28C11323"/>
    <w:rsid w:val="28C64B8B"/>
    <w:rsid w:val="28CB3F50"/>
    <w:rsid w:val="28CF57EE"/>
    <w:rsid w:val="28D64DCE"/>
    <w:rsid w:val="28E05C4D"/>
    <w:rsid w:val="28E31299"/>
    <w:rsid w:val="28F6721F"/>
    <w:rsid w:val="28F811E9"/>
    <w:rsid w:val="28F95D99"/>
    <w:rsid w:val="290874A2"/>
    <w:rsid w:val="291B09C7"/>
    <w:rsid w:val="291D29FD"/>
    <w:rsid w:val="291E6775"/>
    <w:rsid w:val="2922287F"/>
    <w:rsid w:val="29374813"/>
    <w:rsid w:val="2940049A"/>
    <w:rsid w:val="29451A7D"/>
    <w:rsid w:val="29673C78"/>
    <w:rsid w:val="297E255F"/>
    <w:rsid w:val="29C31E3E"/>
    <w:rsid w:val="29C50024"/>
    <w:rsid w:val="29C8726F"/>
    <w:rsid w:val="29E22301"/>
    <w:rsid w:val="29E928DF"/>
    <w:rsid w:val="2A2D016B"/>
    <w:rsid w:val="2A3224D8"/>
    <w:rsid w:val="2A391AB9"/>
    <w:rsid w:val="2A444630"/>
    <w:rsid w:val="2A467D32"/>
    <w:rsid w:val="2A4D7312"/>
    <w:rsid w:val="2A5B7D43"/>
    <w:rsid w:val="2A704DAF"/>
    <w:rsid w:val="2A746468"/>
    <w:rsid w:val="2AA25464"/>
    <w:rsid w:val="2AA35184"/>
    <w:rsid w:val="2AAB2C02"/>
    <w:rsid w:val="2AB02E53"/>
    <w:rsid w:val="2AB775FB"/>
    <w:rsid w:val="2AC61663"/>
    <w:rsid w:val="2AD25A69"/>
    <w:rsid w:val="2ADA4E69"/>
    <w:rsid w:val="2ADC41F2"/>
    <w:rsid w:val="2AED4651"/>
    <w:rsid w:val="2AF96853"/>
    <w:rsid w:val="2AFB6D6E"/>
    <w:rsid w:val="2B006E7A"/>
    <w:rsid w:val="2B0C5CFA"/>
    <w:rsid w:val="2B1470D5"/>
    <w:rsid w:val="2B161A0E"/>
    <w:rsid w:val="2B3B53BD"/>
    <w:rsid w:val="2B473575"/>
    <w:rsid w:val="2B5F515B"/>
    <w:rsid w:val="2B703976"/>
    <w:rsid w:val="2B710DDE"/>
    <w:rsid w:val="2B744625"/>
    <w:rsid w:val="2B7663F5"/>
    <w:rsid w:val="2B911481"/>
    <w:rsid w:val="2BD939C7"/>
    <w:rsid w:val="2BE94E19"/>
    <w:rsid w:val="2BF7373D"/>
    <w:rsid w:val="2BFE502A"/>
    <w:rsid w:val="2C016606"/>
    <w:rsid w:val="2C0B2FE1"/>
    <w:rsid w:val="2C0E56CF"/>
    <w:rsid w:val="2C160D0B"/>
    <w:rsid w:val="2C266948"/>
    <w:rsid w:val="2C2D3BF3"/>
    <w:rsid w:val="2C3167C0"/>
    <w:rsid w:val="2C5A7AC4"/>
    <w:rsid w:val="2C5D65F6"/>
    <w:rsid w:val="2C60493C"/>
    <w:rsid w:val="2C76065F"/>
    <w:rsid w:val="2C9618F5"/>
    <w:rsid w:val="2CA45E23"/>
    <w:rsid w:val="2CC43190"/>
    <w:rsid w:val="2CC55886"/>
    <w:rsid w:val="2CCC2CDE"/>
    <w:rsid w:val="2CDE23AC"/>
    <w:rsid w:val="2CE028C6"/>
    <w:rsid w:val="2CEB4BC0"/>
    <w:rsid w:val="2CF57B44"/>
    <w:rsid w:val="2D031F0A"/>
    <w:rsid w:val="2D08350A"/>
    <w:rsid w:val="2D0B7011"/>
    <w:rsid w:val="2D0C0574"/>
    <w:rsid w:val="2D0D3D73"/>
    <w:rsid w:val="2D0F4C2F"/>
    <w:rsid w:val="2D173C07"/>
    <w:rsid w:val="2D1C37DD"/>
    <w:rsid w:val="2D1C4D7A"/>
    <w:rsid w:val="2D546C0A"/>
    <w:rsid w:val="2D547854"/>
    <w:rsid w:val="2D561B9B"/>
    <w:rsid w:val="2D5C417E"/>
    <w:rsid w:val="2D7050C6"/>
    <w:rsid w:val="2D712AF4"/>
    <w:rsid w:val="2D9D542D"/>
    <w:rsid w:val="2DB0417C"/>
    <w:rsid w:val="2DBB27E5"/>
    <w:rsid w:val="2DBF665F"/>
    <w:rsid w:val="2DC5530F"/>
    <w:rsid w:val="2DCE076A"/>
    <w:rsid w:val="2DE47F8D"/>
    <w:rsid w:val="2DFB1659"/>
    <w:rsid w:val="2DFB37CC"/>
    <w:rsid w:val="2E09347D"/>
    <w:rsid w:val="2E123DF3"/>
    <w:rsid w:val="2E1756A9"/>
    <w:rsid w:val="2E340EFE"/>
    <w:rsid w:val="2E56250D"/>
    <w:rsid w:val="2E6966E5"/>
    <w:rsid w:val="2E7922DD"/>
    <w:rsid w:val="2E7C6418"/>
    <w:rsid w:val="2E900455"/>
    <w:rsid w:val="2EA86D20"/>
    <w:rsid w:val="2EAD4823"/>
    <w:rsid w:val="2EB57234"/>
    <w:rsid w:val="2EC63DD1"/>
    <w:rsid w:val="2ECB6A58"/>
    <w:rsid w:val="2ED22F9D"/>
    <w:rsid w:val="2EF06D92"/>
    <w:rsid w:val="2F000DF7"/>
    <w:rsid w:val="2F067A90"/>
    <w:rsid w:val="2F1E302B"/>
    <w:rsid w:val="2F2F5238"/>
    <w:rsid w:val="2F2F7FB6"/>
    <w:rsid w:val="2F364819"/>
    <w:rsid w:val="2F3A3BDD"/>
    <w:rsid w:val="2F465CA7"/>
    <w:rsid w:val="2F4819EE"/>
    <w:rsid w:val="2F490799"/>
    <w:rsid w:val="2F4F49C8"/>
    <w:rsid w:val="2F553B79"/>
    <w:rsid w:val="2F5C4F2B"/>
    <w:rsid w:val="2F6871D8"/>
    <w:rsid w:val="2F73343B"/>
    <w:rsid w:val="2F8754FD"/>
    <w:rsid w:val="2F884949"/>
    <w:rsid w:val="2FA005EA"/>
    <w:rsid w:val="2FA038EE"/>
    <w:rsid w:val="2FC55B9D"/>
    <w:rsid w:val="2FF07E01"/>
    <w:rsid w:val="2FF16EE0"/>
    <w:rsid w:val="2FF3270A"/>
    <w:rsid w:val="2FF40230"/>
    <w:rsid w:val="300645B8"/>
    <w:rsid w:val="3034687E"/>
    <w:rsid w:val="304C1E1A"/>
    <w:rsid w:val="306405FB"/>
    <w:rsid w:val="306925E3"/>
    <w:rsid w:val="30703D5A"/>
    <w:rsid w:val="307A0EB7"/>
    <w:rsid w:val="308B46F0"/>
    <w:rsid w:val="30A81ACC"/>
    <w:rsid w:val="30B420F4"/>
    <w:rsid w:val="30BF486D"/>
    <w:rsid w:val="30C220DC"/>
    <w:rsid w:val="30D342E9"/>
    <w:rsid w:val="30D77701"/>
    <w:rsid w:val="30D81900"/>
    <w:rsid w:val="30F355A2"/>
    <w:rsid w:val="310B5831"/>
    <w:rsid w:val="311913D0"/>
    <w:rsid w:val="31350B00"/>
    <w:rsid w:val="31506ACE"/>
    <w:rsid w:val="315076E8"/>
    <w:rsid w:val="315A2315"/>
    <w:rsid w:val="316B2857"/>
    <w:rsid w:val="31725842"/>
    <w:rsid w:val="31834069"/>
    <w:rsid w:val="318906F7"/>
    <w:rsid w:val="318B24CE"/>
    <w:rsid w:val="3190758B"/>
    <w:rsid w:val="319E7BAE"/>
    <w:rsid w:val="31A11CF2"/>
    <w:rsid w:val="31B1462B"/>
    <w:rsid w:val="31B724D0"/>
    <w:rsid w:val="31DE4CF4"/>
    <w:rsid w:val="31E602A8"/>
    <w:rsid w:val="31E6684E"/>
    <w:rsid w:val="31EC4A29"/>
    <w:rsid w:val="31EF6F01"/>
    <w:rsid w:val="31F04928"/>
    <w:rsid w:val="31F343BA"/>
    <w:rsid w:val="31FD7870"/>
    <w:rsid w:val="32083730"/>
    <w:rsid w:val="32230992"/>
    <w:rsid w:val="322D17D7"/>
    <w:rsid w:val="322E4844"/>
    <w:rsid w:val="3254227D"/>
    <w:rsid w:val="32672F3B"/>
    <w:rsid w:val="327D450D"/>
    <w:rsid w:val="32847649"/>
    <w:rsid w:val="32A001FB"/>
    <w:rsid w:val="32BD0DAD"/>
    <w:rsid w:val="32CB178B"/>
    <w:rsid w:val="32D007AA"/>
    <w:rsid w:val="32DB07DB"/>
    <w:rsid w:val="32DD144F"/>
    <w:rsid w:val="32E04E37"/>
    <w:rsid w:val="32E4458C"/>
    <w:rsid w:val="32FB44C9"/>
    <w:rsid w:val="330C5088"/>
    <w:rsid w:val="330F71A0"/>
    <w:rsid w:val="331F7372"/>
    <w:rsid w:val="33323549"/>
    <w:rsid w:val="3353526D"/>
    <w:rsid w:val="33737CBA"/>
    <w:rsid w:val="3381627F"/>
    <w:rsid w:val="33962A97"/>
    <w:rsid w:val="33AA7583"/>
    <w:rsid w:val="33D0525E"/>
    <w:rsid w:val="33D47BF8"/>
    <w:rsid w:val="33D60378"/>
    <w:rsid w:val="33DC5263"/>
    <w:rsid w:val="33E505BB"/>
    <w:rsid w:val="33F001AC"/>
    <w:rsid w:val="33F7209D"/>
    <w:rsid w:val="33F86541"/>
    <w:rsid w:val="33F90655"/>
    <w:rsid w:val="33FD2976"/>
    <w:rsid w:val="34043597"/>
    <w:rsid w:val="340D7B12"/>
    <w:rsid w:val="341129E3"/>
    <w:rsid w:val="341669C7"/>
    <w:rsid w:val="34325102"/>
    <w:rsid w:val="343E1A7A"/>
    <w:rsid w:val="343E5F1E"/>
    <w:rsid w:val="34473024"/>
    <w:rsid w:val="346C2B97"/>
    <w:rsid w:val="346D05EA"/>
    <w:rsid w:val="346F4329"/>
    <w:rsid w:val="34750B27"/>
    <w:rsid w:val="348257DA"/>
    <w:rsid w:val="348E24B6"/>
    <w:rsid w:val="34904252"/>
    <w:rsid w:val="34931DC5"/>
    <w:rsid w:val="34A0046F"/>
    <w:rsid w:val="34A00986"/>
    <w:rsid w:val="34A35960"/>
    <w:rsid w:val="34C5219B"/>
    <w:rsid w:val="34D90058"/>
    <w:rsid w:val="34EB74A7"/>
    <w:rsid w:val="34EC3BCC"/>
    <w:rsid w:val="35350F5A"/>
    <w:rsid w:val="35374E47"/>
    <w:rsid w:val="354258EB"/>
    <w:rsid w:val="35472BB0"/>
    <w:rsid w:val="355359F9"/>
    <w:rsid w:val="35562DD5"/>
    <w:rsid w:val="35696FCA"/>
    <w:rsid w:val="356C02AF"/>
    <w:rsid w:val="35725E7F"/>
    <w:rsid w:val="357517B4"/>
    <w:rsid w:val="3575596F"/>
    <w:rsid w:val="358B4CEE"/>
    <w:rsid w:val="35AF256A"/>
    <w:rsid w:val="35BF6BEA"/>
    <w:rsid w:val="35C948C7"/>
    <w:rsid w:val="35D97CAC"/>
    <w:rsid w:val="35E13004"/>
    <w:rsid w:val="35E912A4"/>
    <w:rsid w:val="35F069AB"/>
    <w:rsid w:val="364D069A"/>
    <w:rsid w:val="36820BD0"/>
    <w:rsid w:val="36941E25"/>
    <w:rsid w:val="369B7657"/>
    <w:rsid w:val="36A55DE0"/>
    <w:rsid w:val="36A84DB7"/>
    <w:rsid w:val="36A858D0"/>
    <w:rsid w:val="36DA6BC5"/>
    <w:rsid w:val="36DC3DE2"/>
    <w:rsid w:val="36E46CF3"/>
    <w:rsid w:val="36EF52AD"/>
    <w:rsid w:val="37067D96"/>
    <w:rsid w:val="371D006C"/>
    <w:rsid w:val="371E4DE7"/>
    <w:rsid w:val="373553B6"/>
    <w:rsid w:val="373651FB"/>
    <w:rsid w:val="374F0388"/>
    <w:rsid w:val="37507700"/>
    <w:rsid w:val="37533A8E"/>
    <w:rsid w:val="37802A4C"/>
    <w:rsid w:val="378249A6"/>
    <w:rsid w:val="37936580"/>
    <w:rsid w:val="37A147F9"/>
    <w:rsid w:val="37A45EE1"/>
    <w:rsid w:val="37A759E5"/>
    <w:rsid w:val="37BC1ED2"/>
    <w:rsid w:val="37E33064"/>
    <w:rsid w:val="37EA43F2"/>
    <w:rsid w:val="37EB2F17"/>
    <w:rsid w:val="37EE33E0"/>
    <w:rsid w:val="37F065A7"/>
    <w:rsid w:val="37F76B0F"/>
    <w:rsid w:val="37F963E3"/>
    <w:rsid w:val="37FE2480"/>
    <w:rsid w:val="38025C7A"/>
    <w:rsid w:val="38084423"/>
    <w:rsid w:val="38267A98"/>
    <w:rsid w:val="382F62A9"/>
    <w:rsid w:val="38431D54"/>
    <w:rsid w:val="38591578"/>
    <w:rsid w:val="386530ED"/>
    <w:rsid w:val="38683569"/>
    <w:rsid w:val="387758ED"/>
    <w:rsid w:val="38B60778"/>
    <w:rsid w:val="38B60DFD"/>
    <w:rsid w:val="38BF6852"/>
    <w:rsid w:val="38CA5637"/>
    <w:rsid w:val="38D96215"/>
    <w:rsid w:val="38DB3D3B"/>
    <w:rsid w:val="38EB045F"/>
    <w:rsid w:val="38FA247D"/>
    <w:rsid w:val="38FD0699"/>
    <w:rsid w:val="3908412D"/>
    <w:rsid w:val="39096394"/>
    <w:rsid w:val="392576AC"/>
    <w:rsid w:val="394418E0"/>
    <w:rsid w:val="394C4C39"/>
    <w:rsid w:val="394C69E7"/>
    <w:rsid w:val="39523D86"/>
    <w:rsid w:val="395A20EA"/>
    <w:rsid w:val="396C0E37"/>
    <w:rsid w:val="396E2E01"/>
    <w:rsid w:val="39803939"/>
    <w:rsid w:val="398B750F"/>
    <w:rsid w:val="398D4C8F"/>
    <w:rsid w:val="39AE03E5"/>
    <w:rsid w:val="39B822CE"/>
    <w:rsid w:val="39C7020B"/>
    <w:rsid w:val="39CE564E"/>
    <w:rsid w:val="39D611C5"/>
    <w:rsid w:val="39DE1F09"/>
    <w:rsid w:val="39F03816"/>
    <w:rsid w:val="39F06DAC"/>
    <w:rsid w:val="3A0E4E10"/>
    <w:rsid w:val="3A157721"/>
    <w:rsid w:val="3A3A2CE3"/>
    <w:rsid w:val="3A516958"/>
    <w:rsid w:val="3A533D75"/>
    <w:rsid w:val="3A585076"/>
    <w:rsid w:val="3A6D708D"/>
    <w:rsid w:val="3A7461F5"/>
    <w:rsid w:val="3A824DB6"/>
    <w:rsid w:val="3AAC17D9"/>
    <w:rsid w:val="3AAC7B84"/>
    <w:rsid w:val="3AB55BAA"/>
    <w:rsid w:val="3ABD7746"/>
    <w:rsid w:val="3ABF5898"/>
    <w:rsid w:val="3ACC4283"/>
    <w:rsid w:val="3AD1189A"/>
    <w:rsid w:val="3AE07F36"/>
    <w:rsid w:val="3AF86E26"/>
    <w:rsid w:val="3B1A3241"/>
    <w:rsid w:val="3B281B20"/>
    <w:rsid w:val="3B3F2CA7"/>
    <w:rsid w:val="3B6A460E"/>
    <w:rsid w:val="3B70502D"/>
    <w:rsid w:val="3B796B32"/>
    <w:rsid w:val="3B871F3E"/>
    <w:rsid w:val="3BAA0BFA"/>
    <w:rsid w:val="3BBB3E6C"/>
    <w:rsid w:val="3BC46D08"/>
    <w:rsid w:val="3BD9557A"/>
    <w:rsid w:val="3BE617FF"/>
    <w:rsid w:val="3BEF7222"/>
    <w:rsid w:val="3C027831"/>
    <w:rsid w:val="3C047A4D"/>
    <w:rsid w:val="3C20379E"/>
    <w:rsid w:val="3C357FBB"/>
    <w:rsid w:val="3C48192B"/>
    <w:rsid w:val="3C4A1903"/>
    <w:rsid w:val="3C5F1DD5"/>
    <w:rsid w:val="3C7312EB"/>
    <w:rsid w:val="3C7626F9"/>
    <w:rsid w:val="3C776471"/>
    <w:rsid w:val="3C9115B1"/>
    <w:rsid w:val="3C9D51F8"/>
    <w:rsid w:val="3CAD1E92"/>
    <w:rsid w:val="3CB74ABF"/>
    <w:rsid w:val="3CC33464"/>
    <w:rsid w:val="3CC72F54"/>
    <w:rsid w:val="3CD4773D"/>
    <w:rsid w:val="3CDA0065"/>
    <w:rsid w:val="3CE533DA"/>
    <w:rsid w:val="3CF9407C"/>
    <w:rsid w:val="3D0A2744"/>
    <w:rsid w:val="3D125759"/>
    <w:rsid w:val="3D2C2291"/>
    <w:rsid w:val="3D2E2FD3"/>
    <w:rsid w:val="3D3A1978"/>
    <w:rsid w:val="3D485717"/>
    <w:rsid w:val="3D4A76E1"/>
    <w:rsid w:val="3D4F21FC"/>
    <w:rsid w:val="3D502BD6"/>
    <w:rsid w:val="3D5F396D"/>
    <w:rsid w:val="3D6C5062"/>
    <w:rsid w:val="3D7604D6"/>
    <w:rsid w:val="3D99065E"/>
    <w:rsid w:val="3DA569A2"/>
    <w:rsid w:val="3DAC3EF8"/>
    <w:rsid w:val="3DBD4357"/>
    <w:rsid w:val="3DC72AE0"/>
    <w:rsid w:val="3DD25DAD"/>
    <w:rsid w:val="3DD27436"/>
    <w:rsid w:val="3DD765D1"/>
    <w:rsid w:val="3DDA38B1"/>
    <w:rsid w:val="3DE61259"/>
    <w:rsid w:val="3DED69EA"/>
    <w:rsid w:val="3E063608"/>
    <w:rsid w:val="3E1F0B6E"/>
    <w:rsid w:val="3E2B2052"/>
    <w:rsid w:val="3E481E73"/>
    <w:rsid w:val="3E5000D2"/>
    <w:rsid w:val="3E850AB1"/>
    <w:rsid w:val="3E914A38"/>
    <w:rsid w:val="3EA51073"/>
    <w:rsid w:val="3EDC644D"/>
    <w:rsid w:val="3EE002FD"/>
    <w:rsid w:val="3EE85370"/>
    <w:rsid w:val="3EF617FB"/>
    <w:rsid w:val="3EF618CF"/>
    <w:rsid w:val="3F125FDD"/>
    <w:rsid w:val="3F136AFC"/>
    <w:rsid w:val="3F3423F7"/>
    <w:rsid w:val="3F3602EB"/>
    <w:rsid w:val="3F397A0D"/>
    <w:rsid w:val="3F3A7892"/>
    <w:rsid w:val="3F400D9C"/>
    <w:rsid w:val="3F543FDE"/>
    <w:rsid w:val="3F5908A1"/>
    <w:rsid w:val="3F59273C"/>
    <w:rsid w:val="3F6251B6"/>
    <w:rsid w:val="3F702A1E"/>
    <w:rsid w:val="3F786788"/>
    <w:rsid w:val="3F886B2B"/>
    <w:rsid w:val="3F8A6AB4"/>
    <w:rsid w:val="3F8E1B07"/>
    <w:rsid w:val="3F8E5FAB"/>
    <w:rsid w:val="3FA05CDE"/>
    <w:rsid w:val="3FA07A8C"/>
    <w:rsid w:val="3FAF1A7E"/>
    <w:rsid w:val="3FC306F2"/>
    <w:rsid w:val="3FC7326B"/>
    <w:rsid w:val="3FD67A28"/>
    <w:rsid w:val="3FDD2A8F"/>
    <w:rsid w:val="3FEE25A6"/>
    <w:rsid w:val="3FF9504A"/>
    <w:rsid w:val="403703F1"/>
    <w:rsid w:val="40460794"/>
    <w:rsid w:val="40563D61"/>
    <w:rsid w:val="406F68CD"/>
    <w:rsid w:val="407451A1"/>
    <w:rsid w:val="40860A30"/>
    <w:rsid w:val="40B27A77"/>
    <w:rsid w:val="40C06C58"/>
    <w:rsid w:val="40D20119"/>
    <w:rsid w:val="40DA6FCE"/>
    <w:rsid w:val="40E554D5"/>
    <w:rsid w:val="40E84AA0"/>
    <w:rsid w:val="41053730"/>
    <w:rsid w:val="410B2AA5"/>
    <w:rsid w:val="410D73A4"/>
    <w:rsid w:val="41261DCB"/>
    <w:rsid w:val="412F3DED"/>
    <w:rsid w:val="41595546"/>
    <w:rsid w:val="415D577B"/>
    <w:rsid w:val="418C2076"/>
    <w:rsid w:val="41AB79BE"/>
    <w:rsid w:val="41B16896"/>
    <w:rsid w:val="41B4781F"/>
    <w:rsid w:val="41B97751"/>
    <w:rsid w:val="41BB295C"/>
    <w:rsid w:val="41CC4968"/>
    <w:rsid w:val="41D2400B"/>
    <w:rsid w:val="41D67795"/>
    <w:rsid w:val="41E40104"/>
    <w:rsid w:val="42095809"/>
    <w:rsid w:val="42186000"/>
    <w:rsid w:val="422B40FE"/>
    <w:rsid w:val="42380450"/>
    <w:rsid w:val="42394DF7"/>
    <w:rsid w:val="423E2FB8"/>
    <w:rsid w:val="424C4D8F"/>
    <w:rsid w:val="424C5417"/>
    <w:rsid w:val="42521276"/>
    <w:rsid w:val="42576000"/>
    <w:rsid w:val="427C033D"/>
    <w:rsid w:val="428B0F11"/>
    <w:rsid w:val="42953641"/>
    <w:rsid w:val="42996133"/>
    <w:rsid w:val="429A4C67"/>
    <w:rsid w:val="42A83CF2"/>
    <w:rsid w:val="42AD6748"/>
    <w:rsid w:val="42AF5DF5"/>
    <w:rsid w:val="42BA70B7"/>
    <w:rsid w:val="42CA40AF"/>
    <w:rsid w:val="42D357B4"/>
    <w:rsid w:val="42D633EC"/>
    <w:rsid w:val="42D64FF5"/>
    <w:rsid w:val="42E6139D"/>
    <w:rsid w:val="42FA74B4"/>
    <w:rsid w:val="430664B8"/>
    <w:rsid w:val="43122A4F"/>
    <w:rsid w:val="431A1904"/>
    <w:rsid w:val="431E13F4"/>
    <w:rsid w:val="432C5DEE"/>
    <w:rsid w:val="432E3C17"/>
    <w:rsid w:val="432F1853"/>
    <w:rsid w:val="433D2677"/>
    <w:rsid w:val="4340580E"/>
    <w:rsid w:val="434D3A87"/>
    <w:rsid w:val="435B2648"/>
    <w:rsid w:val="436024E0"/>
    <w:rsid w:val="43652B30"/>
    <w:rsid w:val="43655193"/>
    <w:rsid w:val="43737490"/>
    <w:rsid w:val="43911BC6"/>
    <w:rsid w:val="43AC13D6"/>
    <w:rsid w:val="43D1290A"/>
    <w:rsid w:val="43D60064"/>
    <w:rsid w:val="43EE12FB"/>
    <w:rsid w:val="43F247C7"/>
    <w:rsid w:val="43FD06FC"/>
    <w:rsid w:val="43FD54AD"/>
    <w:rsid w:val="440D4EE0"/>
    <w:rsid w:val="44134CD1"/>
    <w:rsid w:val="441462C7"/>
    <w:rsid w:val="442104D5"/>
    <w:rsid w:val="442C5D93"/>
    <w:rsid w:val="445B14BB"/>
    <w:rsid w:val="449C6A74"/>
    <w:rsid w:val="44B87626"/>
    <w:rsid w:val="44BD69EB"/>
    <w:rsid w:val="44C1472D"/>
    <w:rsid w:val="44DD0E3B"/>
    <w:rsid w:val="44E1092B"/>
    <w:rsid w:val="44F71EFD"/>
    <w:rsid w:val="44FC78C3"/>
    <w:rsid w:val="450B0993"/>
    <w:rsid w:val="45216E60"/>
    <w:rsid w:val="45392687"/>
    <w:rsid w:val="453C5E40"/>
    <w:rsid w:val="453E0C6D"/>
    <w:rsid w:val="456F1252"/>
    <w:rsid w:val="456F4189"/>
    <w:rsid w:val="456F6138"/>
    <w:rsid w:val="45793FD3"/>
    <w:rsid w:val="45A007E6"/>
    <w:rsid w:val="45AB2CE7"/>
    <w:rsid w:val="45AD4CB1"/>
    <w:rsid w:val="45AE3109"/>
    <w:rsid w:val="45BE4CCD"/>
    <w:rsid w:val="45C42C62"/>
    <w:rsid w:val="45CE74E8"/>
    <w:rsid w:val="45DA351F"/>
    <w:rsid w:val="45DB35CC"/>
    <w:rsid w:val="45E05087"/>
    <w:rsid w:val="45E613B2"/>
    <w:rsid w:val="45F12DF0"/>
    <w:rsid w:val="45FC4C14"/>
    <w:rsid w:val="460C4422"/>
    <w:rsid w:val="4618153B"/>
    <w:rsid w:val="461F6A6F"/>
    <w:rsid w:val="462211FB"/>
    <w:rsid w:val="463C069A"/>
    <w:rsid w:val="463F7FFF"/>
    <w:rsid w:val="464508D5"/>
    <w:rsid w:val="464B2C73"/>
    <w:rsid w:val="464D2552"/>
    <w:rsid w:val="465C1824"/>
    <w:rsid w:val="46623CEE"/>
    <w:rsid w:val="46873754"/>
    <w:rsid w:val="46A14816"/>
    <w:rsid w:val="46D06EA9"/>
    <w:rsid w:val="46D21443"/>
    <w:rsid w:val="46DC29FE"/>
    <w:rsid w:val="46EF0568"/>
    <w:rsid w:val="46F81F5C"/>
    <w:rsid w:val="470E02B0"/>
    <w:rsid w:val="471A0124"/>
    <w:rsid w:val="471C7F42"/>
    <w:rsid w:val="4723348F"/>
    <w:rsid w:val="47264A12"/>
    <w:rsid w:val="472D4FA9"/>
    <w:rsid w:val="473D549D"/>
    <w:rsid w:val="474358CD"/>
    <w:rsid w:val="474653BD"/>
    <w:rsid w:val="477D7E06"/>
    <w:rsid w:val="477E06B3"/>
    <w:rsid w:val="478C05F3"/>
    <w:rsid w:val="47947ED7"/>
    <w:rsid w:val="47BE73FC"/>
    <w:rsid w:val="47D54F35"/>
    <w:rsid w:val="47EF2273"/>
    <w:rsid w:val="47F46BC7"/>
    <w:rsid w:val="480722F1"/>
    <w:rsid w:val="481C1C7A"/>
    <w:rsid w:val="481D5806"/>
    <w:rsid w:val="48256D81"/>
    <w:rsid w:val="48382F58"/>
    <w:rsid w:val="484511D1"/>
    <w:rsid w:val="48482A6F"/>
    <w:rsid w:val="484F25B3"/>
    <w:rsid w:val="485633DE"/>
    <w:rsid w:val="48592ECE"/>
    <w:rsid w:val="485D476D"/>
    <w:rsid w:val="48677399"/>
    <w:rsid w:val="486D028E"/>
    <w:rsid w:val="487C42CB"/>
    <w:rsid w:val="48894BB5"/>
    <w:rsid w:val="488F069E"/>
    <w:rsid w:val="489C64D5"/>
    <w:rsid w:val="48A04659"/>
    <w:rsid w:val="48A5077D"/>
    <w:rsid w:val="48BA1BBF"/>
    <w:rsid w:val="48BE5876"/>
    <w:rsid w:val="48C72BD1"/>
    <w:rsid w:val="48C76ACC"/>
    <w:rsid w:val="48D34A2F"/>
    <w:rsid w:val="48F53030"/>
    <w:rsid w:val="48FB5D34"/>
    <w:rsid w:val="491465B8"/>
    <w:rsid w:val="491F5EC6"/>
    <w:rsid w:val="49246A8D"/>
    <w:rsid w:val="4928607A"/>
    <w:rsid w:val="49341C23"/>
    <w:rsid w:val="49396F88"/>
    <w:rsid w:val="493A685C"/>
    <w:rsid w:val="493E459E"/>
    <w:rsid w:val="493F29DA"/>
    <w:rsid w:val="495D254A"/>
    <w:rsid w:val="49636EBF"/>
    <w:rsid w:val="49706721"/>
    <w:rsid w:val="49865F45"/>
    <w:rsid w:val="498D1081"/>
    <w:rsid w:val="499C3073"/>
    <w:rsid w:val="49AE2DA6"/>
    <w:rsid w:val="49B40EE0"/>
    <w:rsid w:val="49B66016"/>
    <w:rsid w:val="49BE748D"/>
    <w:rsid w:val="49C26C92"/>
    <w:rsid w:val="49E90363"/>
    <w:rsid w:val="49EA0D7A"/>
    <w:rsid w:val="4A252B69"/>
    <w:rsid w:val="4A370FED"/>
    <w:rsid w:val="4A4200BE"/>
    <w:rsid w:val="4A507745"/>
    <w:rsid w:val="4A5E7C61"/>
    <w:rsid w:val="4A605AF9"/>
    <w:rsid w:val="4A6D4A0F"/>
    <w:rsid w:val="4A6E2166"/>
    <w:rsid w:val="4A79306F"/>
    <w:rsid w:val="4A857AC4"/>
    <w:rsid w:val="4AA2290B"/>
    <w:rsid w:val="4AA96C35"/>
    <w:rsid w:val="4AC158E1"/>
    <w:rsid w:val="4AC51712"/>
    <w:rsid w:val="4AD52A0E"/>
    <w:rsid w:val="4AD52CE0"/>
    <w:rsid w:val="4AD8323A"/>
    <w:rsid w:val="4ADA6548"/>
    <w:rsid w:val="4AE178D7"/>
    <w:rsid w:val="4AE47571"/>
    <w:rsid w:val="4AFF6578"/>
    <w:rsid w:val="4B064F24"/>
    <w:rsid w:val="4B096607"/>
    <w:rsid w:val="4B163B35"/>
    <w:rsid w:val="4B217F17"/>
    <w:rsid w:val="4B3B68BB"/>
    <w:rsid w:val="4B3C501C"/>
    <w:rsid w:val="4B490FD8"/>
    <w:rsid w:val="4B7110F8"/>
    <w:rsid w:val="4B75001F"/>
    <w:rsid w:val="4B7A5635"/>
    <w:rsid w:val="4B814C16"/>
    <w:rsid w:val="4BB93FEB"/>
    <w:rsid w:val="4BDD7181"/>
    <w:rsid w:val="4BE959FA"/>
    <w:rsid w:val="4BF2341E"/>
    <w:rsid w:val="4C0D64AA"/>
    <w:rsid w:val="4C120BAA"/>
    <w:rsid w:val="4C2D252F"/>
    <w:rsid w:val="4C2D26A8"/>
    <w:rsid w:val="4C2D3C70"/>
    <w:rsid w:val="4C361B10"/>
    <w:rsid w:val="4C4113CF"/>
    <w:rsid w:val="4C481290"/>
    <w:rsid w:val="4C4D68A6"/>
    <w:rsid w:val="4C5852F4"/>
    <w:rsid w:val="4C797628"/>
    <w:rsid w:val="4CB30DFF"/>
    <w:rsid w:val="4CC0351C"/>
    <w:rsid w:val="4CC11B8A"/>
    <w:rsid w:val="4CDF01EB"/>
    <w:rsid w:val="4CE27B44"/>
    <w:rsid w:val="4CEA67EB"/>
    <w:rsid w:val="4CEE62DB"/>
    <w:rsid w:val="4D0B3B4B"/>
    <w:rsid w:val="4D111FCA"/>
    <w:rsid w:val="4D3121D0"/>
    <w:rsid w:val="4D433ECD"/>
    <w:rsid w:val="4D4759EB"/>
    <w:rsid w:val="4D6E2F78"/>
    <w:rsid w:val="4D8206C7"/>
    <w:rsid w:val="4D8602C2"/>
    <w:rsid w:val="4D8A33D6"/>
    <w:rsid w:val="4D96420E"/>
    <w:rsid w:val="4D970721"/>
    <w:rsid w:val="4D98130A"/>
    <w:rsid w:val="4D99143F"/>
    <w:rsid w:val="4DA77FB2"/>
    <w:rsid w:val="4DBA61BD"/>
    <w:rsid w:val="4DC351C2"/>
    <w:rsid w:val="4DC46BDE"/>
    <w:rsid w:val="4DD23507"/>
    <w:rsid w:val="4DDD3C5A"/>
    <w:rsid w:val="4DF53699"/>
    <w:rsid w:val="4DF7375A"/>
    <w:rsid w:val="4E127DA7"/>
    <w:rsid w:val="4E233B70"/>
    <w:rsid w:val="4E2F2707"/>
    <w:rsid w:val="4E3B72FE"/>
    <w:rsid w:val="4E3D18EA"/>
    <w:rsid w:val="4E4C0C43"/>
    <w:rsid w:val="4E5E123E"/>
    <w:rsid w:val="4E6A1991"/>
    <w:rsid w:val="4E705148"/>
    <w:rsid w:val="4E772300"/>
    <w:rsid w:val="4E7C16C5"/>
    <w:rsid w:val="4E7C7752"/>
    <w:rsid w:val="4E8567CB"/>
    <w:rsid w:val="4E972115"/>
    <w:rsid w:val="4E9922EC"/>
    <w:rsid w:val="4E994E15"/>
    <w:rsid w:val="4EA02F21"/>
    <w:rsid w:val="4EA2112B"/>
    <w:rsid w:val="4EBB66C9"/>
    <w:rsid w:val="4EBF6B30"/>
    <w:rsid w:val="4EC95CE1"/>
    <w:rsid w:val="4EE33BA6"/>
    <w:rsid w:val="4EE5054B"/>
    <w:rsid w:val="4EEE25C2"/>
    <w:rsid w:val="4EEF1E97"/>
    <w:rsid w:val="4EFE032C"/>
    <w:rsid w:val="4EFE1926"/>
    <w:rsid w:val="4F0E0906"/>
    <w:rsid w:val="4F1560AE"/>
    <w:rsid w:val="4F1D4C56"/>
    <w:rsid w:val="4F1F09CE"/>
    <w:rsid w:val="4F337FD5"/>
    <w:rsid w:val="4F391364"/>
    <w:rsid w:val="4F3D14EA"/>
    <w:rsid w:val="4F416B96"/>
    <w:rsid w:val="4F4A73A2"/>
    <w:rsid w:val="4F4F6674"/>
    <w:rsid w:val="4F5A0E97"/>
    <w:rsid w:val="4F6050C6"/>
    <w:rsid w:val="4F651131"/>
    <w:rsid w:val="4F7B372A"/>
    <w:rsid w:val="4F8D0EEC"/>
    <w:rsid w:val="4FA47125"/>
    <w:rsid w:val="4FC96B8B"/>
    <w:rsid w:val="4FDF76CF"/>
    <w:rsid w:val="4FE01427"/>
    <w:rsid w:val="4FE57B5B"/>
    <w:rsid w:val="4FE94B38"/>
    <w:rsid w:val="4FEB08B0"/>
    <w:rsid w:val="4FED4628"/>
    <w:rsid w:val="4FF21BB2"/>
    <w:rsid w:val="500B77B1"/>
    <w:rsid w:val="501778F7"/>
    <w:rsid w:val="501E57DF"/>
    <w:rsid w:val="502E217A"/>
    <w:rsid w:val="50485D02"/>
    <w:rsid w:val="505A51B9"/>
    <w:rsid w:val="506D6B4D"/>
    <w:rsid w:val="50836D3A"/>
    <w:rsid w:val="50964618"/>
    <w:rsid w:val="50B11AF9"/>
    <w:rsid w:val="50BA235D"/>
    <w:rsid w:val="50BA3ECB"/>
    <w:rsid w:val="50C25AB5"/>
    <w:rsid w:val="50C80BF1"/>
    <w:rsid w:val="50CD1EFF"/>
    <w:rsid w:val="50D3030F"/>
    <w:rsid w:val="50EF2622"/>
    <w:rsid w:val="50EF617E"/>
    <w:rsid w:val="511A58F1"/>
    <w:rsid w:val="51453FF0"/>
    <w:rsid w:val="516F0B4D"/>
    <w:rsid w:val="51714DE5"/>
    <w:rsid w:val="517B58C5"/>
    <w:rsid w:val="517E5BBB"/>
    <w:rsid w:val="51984A67"/>
    <w:rsid w:val="51BA3EC6"/>
    <w:rsid w:val="51BA678C"/>
    <w:rsid w:val="51E6045F"/>
    <w:rsid w:val="51EB2DE9"/>
    <w:rsid w:val="51ED7ED5"/>
    <w:rsid w:val="51EF0175"/>
    <w:rsid w:val="51F82B23"/>
    <w:rsid w:val="51F92A22"/>
    <w:rsid w:val="5205558B"/>
    <w:rsid w:val="521D1562"/>
    <w:rsid w:val="522105B9"/>
    <w:rsid w:val="522472EB"/>
    <w:rsid w:val="52326C6A"/>
    <w:rsid w:val="523813D8"/>
    <w:rsid w:val="52552958"/>
    <w:rsid w:val="525A3ACB"/>
    <w:rsid w:val="52686602"/>
    <w:rsid w:val="528145D8"/>
    <w:rsid w:val="52887ADE"/>
    <w:rsid w:val="528C45CC"/>
    <w:rsid w:val="52952D55"/>
    <w:rsid w:val="52981FD0"/>
    <w:rsid w:val="529E42FF"/>
    <w:rsid w:val="52AB4326"/>
    <w:rsid w:val="52B93E22"/>
    <w:rsid w:val="52BB0A0D"/>
    <w:rsid w:val="52C32E44"/>
    <w:rsid w:val="52C339E3"/>
    <w:rsid w:val="52C33D66"/>
    <w:rsid w:val="52C8312A"/>
    <w:rsid w:val="52CC0713"/>
    <w:rsid w:val="52CF6267"/>
    <w:rsid w:val="52D970E6"/>
    <w:rsid w:val="52DF01A4"/>
    <w:rsid w:val="52E141EC"/>
    <w:rsid w:val="52E33AC0"/>
    <w:rsid w:val="52E434EB"/>
    <w:rsid w:val="530846AD"/>
    <w:rsid w:val="53180B34"/>
    <w:rsid w:val="53206AC2"/>
    <w:rsid w:val="532319B6"/>
    <w:rsid w:val="532E7431"/>
    <w:rsid w:val="533573F7"/>
    <w:rsid w:val="534053B7"/>
    <w:rsid w:val="53446C55"/>
    <w:rsid w:val="53513120"/>
    <w:rsid w:val="535300C1"/>
    <w:rsid w:val="53627FEB"/>
    <w:rsid w:val="53723E9A"/>
    <w:rsid w:val="538232D9"/>
    <w:rsid w:val="538501A4"/>
    <w:rsid w:val="538B349A"/>
    <w:rsid w:val="53982AFD"/>
    <w:rsid w:val="53B813F1"/>
    <w:rsid w:val="53C733E2"/>
    <w:rsid w:val="53DC50DF"/>
    <w:rsid w:val="541C1980"/>
    <w:rsid w:val="541D117B"/>
    <w:rsid w:val="542368E7"/>
    <w:rsid w:val="54372A1A"/>
    <w:rsid w:val="54436F0C"/>
    <w:rsid w:val="54457F5D"/>
    <w:rsid w:val="545F2D48"/>
    <w:rsid w:val="54604B65"/>
    <w:rsid w:val="546155E5"/>
    <w:rsid w:val="5463310B"/>
    <w:rsid w:val="547E5E36"/>
    <w:rsid w:val="548A4B3B"/>
    <w:rsid w:val="548E7BE3"/>
    <w:rsid w:val="549E05E7"/>
    <w:rsid w:val="54A66564"/>
    <w:rsid w:val="54AD4386"/>
    <w:rsid w:val="54B73573"/>
    <w:rsid w:val="54BF6A1E"/>
    <w:rsid w:val="54C811C0"/>
    <w:rsid w:val="54D31BF5"/>
    <w:rsid w:val="54E35FFA"/>
    <w:rsid w:val="54E7647B"/>
    <w:rsid w:val="54F631CD"/>
    <w:rsid w:val="55003D7E"/>
    <w:rsid w:val="550F3292"/>
    <w:rsid w:val="550F6DEF"/>
    <w:rsid w:val="552D3719"/>
    <w:rsid w:val="55314FB7"/>
    <w:rsid w:val="5537598E"/>
    <w:rsid w:val="55490923"/>
    <w:rsid w:val="554A0B9A"/>
    <w:rsid w:val="5558792A"/>
    <w:rsid w:val="55683C90"/>
    <w:rsid w:val="556A2277"/>
    <w:rsid w:val="55741347"/>
    <w:rsid w:val="55767064"/>
    <w:rsid w:val="55767D2F"/>
    <w:rsid w:val="557914C7"/>
    <w:rsid w:val="557E4224"/>
    <w:rsid w:val="559D62FE"/>
    <w:rsid w:val="55D3478A"/>
    <w:rsid w:val="55DA38A0"/>
    <w:rsid w:val="55DA73FC"/>
    <w:rsid w:val="55DB45FD"/>
    <w:rsid w:val="55DF0EB7"/>
    <w:rsid w:val="55E02539"/>
    <w:rsid w:val="55F10BEA"/>
    <w:rsid w:val="56013898"/>
    <w:rsid w:val="56026953"/>
    <w:rsid w:val="56177C28"/>
    <w:rsid w:val="561C2065"/>
    <w:rsid w:val="562B5EAA"/>
    <w:rsid w:val="56400E8D"/>
    <w:rsid w:val="564B21FC"/>
    <w:rsid w:val="564E3947"/>
    <w:rsid w:val="56625644"/>
    <w:rsid w:val="566515B5"/>
    <w:rsid w:val="56660C90"/>
    <w:rsid w:val="56665134"/>
    <w:rsid w:val="56705FB3"/>
    <w:rsid w:val="56772050"/>
    <w:rsid w:val="567C3952"/>
    <w:rsid w:val="568D0913"/>
    <w:rsid w:val="569F41A2"/>
    <w:rsid w:val="56A874FB"/>
    <w:rsid w:val="56A91CD5"/>
    <w:rsid w:val="56B23ED5"/>
    <w:rsid w:val="56B50F12"/>
    <w:rsid w:val="56E60023"/>
    <w:rsid w:val="56EA1935"/>
    <w:rsid w:val="56EC3645"/>
    <w:rsid w:val="56F11165"/>
    <w:rsid w:val="570566FB"/>
    <w:rsid w:val="57217F7A"/>
    <w:rsid w:val="57277C79"/>
    <w:rsid w:val="57437223"/>
    <w:rsid w:val="5748081E"/>
    <w:rsid w:val="57580F21"/>
    <w:rsid w:val="57593B0B"/>
    <w:rsid w:val="57664C0A"/>
    <w:rsid w:val="576F4E59"/>
    <w:rsid w:val="57750F02"/>
    <w:rsid w:val="577B3D89"/>
    <w:rsid w:val="577C54C6"/>
    <w:rsid w:val="57AA2DFF"/>
    <w:rsid w:val="57AE108B"/>
    <w:rsid w:val="57C0415F"/>
    <w:rsid w:val="57D65496"/>
    <w:rsid w:val="57DB56AE"/>
    <w:rsid w:val="580867DD"/>
    <w:rsid w:val="580A7D41"/>
    <w:rsid w:val="580C3AB9"/>
    <w:rsid w:val="582C7CB7"/>
    <w:rsid w:val="583A1FD3"/>
    <w:rsid w:val="5842572D"/>
    <w:rsid w:val="584864A0"/>
    <w:rsid w:val="58496ABB"/>
    <w:rsid w:val="58575D94"/>
    <w:rsid w:val="585F008D"/>
    <w:rsid w:val="586A6A0D"/>
    <w:rsid w:val="588A3951"/>
    <w:rsid w:val="58B06B3A"/>
    <w:rsid w:val="58BF1BF5"/>
    <w:rsid w:val="58D02F99"/>
    <w:rsid w:val="58DE0D33"/>
    <w:rsid w:val="58E92556"/>
    <w:rsid w:val="59013595"/>
    <w:rsid w:val="59030A18"/>
    <w:rsid w:val="5906675A"/>
    <w:rsid w:val="59154BEF"/>
    <w:rsid w:val="592D018B"/>
    <w:rsid w:val="59314365"/>
    <w:rsid w:val="59483BEB"/>
    <w:rsid w:val="594B0611"/>
    <w:rsid w:val="594B1686"/>
    <w:rsid w:val="59554FEC"/>
    <w:rsid w:val="595C281E"/>
    <w:rsid w:val="596D0588"/>
    <w:rsid w:val="59702A94"/>
    <w:rsid w:val="597610C2"/>
    <w:rsid w:val="597827FF"/>
    <w:rsid w:val="599035FD"/>
    <w:rsid w:val="59934492"/>
    <w:rsid w:val="59B44408"/>
    <w:rsid w:val="59B662E3"/>
    <w:rsid w:val="59C77218"/>
    <w:rsid w:val="59CC1752"/>
    <w:rsid w:val="5A185B07"/>
    <w:rsid w:val="5A235F34"/>
    <w:rsid w:val="5A2E6CD8"/>
    <w:rsid w:val="5A3115B5"/>
    <w:rsid w:val="5A327EB3"/>
    <w:rsid w:val="5A36306F"/>
    <w:rsid w:val="5A427419"/>
    <w:rsid w:val="5A4532B2"/>
    <w:rsid w:val="5A4937ED"/>
    <w:rsid w:val="5A4C7114"/>
    <w:rsid w:val="5A5A6D5E"/>
    <w:rsid w:val="5A5B2AD6"/>
    <w:rsid w:val="5A67140D"/>
    <w:rsid w:val="5A8A7431"/>
    <w:rsid w:val="5A964F8E"/>
    <w:rsid w:val="5A9D2736"/>
    <w:rsid w:val="5A9D73AB"/>
    <w:rsid w:val="5AA20705"/>
    <w:rsid w:val="5AA61FA3"/>
    <w:rsid w:val="5AB7549A"/>
    <w:rsid w:val="5ABB05D6"/>
    <w:rsid w:val="5ABD0186"/>
    <w:rsid w:val="5ACB37B8"/>
    <w:rsid w:val="5ADF26A5"/>
    <w:rsid w:val="5ADF3707"/>
    <w:rsid w:val="5AF010C6"/>
    <w:rsid w:val="5AF63B00"/>
    <w:rsid w:val="5AFE65E2"/>
    <w:rsid w:val="5B060C94"/>
    <w:rsid w:val="5B0C0CDD"/>
    <w:rsid w:val="5B0D30D4"/>
    <w:rsid w:val="5B0E40C6"/>
    <w:rsid w:val="5B143943"/>
    <w:rsid w:val="5B172EA1"/>
    <w:rsid w:val="5B1769FD"/>
    <w:rsid w:val="5B196B49"/>
    <w:rsid w:val="5B2C260E"/>
    <w:rsid w:val="5B357379"/>
    <w:rsid w:val="5B3D432F"/>
    <w:rsid w:val="5B6A1223"/>
    <w:rsid w:val="5B7274CA"/>
    <w:rsid w:val="5B7C71A8"/>
    <w:rsid w:val="5B844669"/>
    <w:rsid w:val="5B863B83"/>
    <w:rsid w:val="5B9718EC"/>
    <w:rsid w:val="5B991B08"/>
    <w:rsid w:val="5BAC3FE7"/>
    <w:rsid w:val="5BB11054"/>
    <w:rsid w:val="5BB26369"/>
    <w:rsid w:val="5BC04136"/>
    <w:rsid w:val="5BC85EC2"/>
    <w:rsid w:val="5BCF7825"/>
    <w:rsid w:val="5BD82630"/>
    <w:rsid w:val="5BE00351"/>
    <w:rsid w:val="5BE32D83"/>
    <w:rsid w:val="5BEC7E8A"/>
    <w:rsid w:val="5BF40AEC"/>
    <w:rsid w:val="5C2A13BA"/>
    <w:rsid w:val="5C2F421A"/>
    <w:rsid w:val="5C487C0E"/>
    <w:rsid w:val="5C4B52FE"/>
    <w:rsid w:val="5C6B7A35"/>
    <w:rsid w:val="5C734B12"/>
    <w:rsid w:val="5C7560D1"/>
    <w:rsid w:val="5C78679A"/>
    <w:rsid w:val="5C7F0CFE"/>
    <w:rsid w:val="5C7F684B"/>
    <w:rsid w:val="5C804A61"/>
    <w:rsid w:val="5C844566"/>
    <w:rsid w:val="5C8C51C9"/>
    <w:rsid w:val="5CA97B29"/>
    <w:rsid w:val="5CC11316"/>
    <w:rsid w:val="5CC82976"/>
    <w:rsid w:val="5CCE758F"/>
    <w:rsid w:val="5CDA23D8"/>
    <w:rsid w:val="5CDE7798"/>
    <w:rsid w:val="5CF523C8"/>
    <w:rsid w:val="5CFC3588"/>
    <w:rsid w:val="5CFF3025"/>
    <w:rsid w:val="5D034B40"/>
    <w:rsid w:val="5D135979"/>
    <w:rsid w:val="5D170190"/>
    <w:rsid w:val="5D3121C7"/>
    <w:rsid w:val="5D333896"/>
    <w:rsid w:val="5D3C274B"/>
    <w:rsid w:val="5D5340D1"/>
    <w:rsid w:val="5D5E4DB7"/>
    <w:rsid w:val="5D6323CD"/>
    <w:rsid w:val="5D720862"/>
    <w:rsid w:val="5D79399F"/>
    <w:rsid w:val="5D9A56C3"/>
    <w:rsid w:val="5DAC12EE"/>
    <w:rsid w:val="5DAD53F7"/>
    <w:rsid w:val="5DDF68CC"/>
    <w:rsid w:val="5DFE6F3B"/>
    <w:rsid w:val="5E0B55BB"/>
    <w:rsid w:val="5E111E29"/>
    <w:rsid w:val="5E113BD7"/>
    <w:rsid w:val="5E2409FF"/>
    <w:rsid w:val="5E26772E"/>
    <w:rsid w:val="5E3B2A02"/>
    <w:rsid w:val="5E446EBF"/>
    <w:rsid w:val="5E564E88"/>
    <w:rsid w:val="5E59557E"/>
    <w:rsid w:val="5E7128C8"/>
    <w:rsid w:val="5E751904"/>
    <w:rsid w:val="5E8A112C"/>
    <w:rsid w:val="5E9B5562"/>
    <w:rsid w:val="5EA17159"/>
    <w:rsid w:val="5ECC3D6F"/>
    <w:rsid w:val="5ED115B9"/>
    <w:rsid w:val="5ED62F0F"/>
    <w:rsid w:val="5EE4165A"/>
    <w:rsid w:val="5EE47C66"/>
    <w:rsid w:val="5EF552A7"/>
    <w:rsid w:val="5F024888"/>
    <w:rsid w:val="5F1B7AC9"/>
    <w:rsid w:val="5F211A7C"/>
    <w:rsid w:val="5F230066"/>
    <w:rsid w:val="5F3B75A9"/>
    <w:rsid w:val="5F3C02E0"/>
    <w:rsid w:val="5F3F4774"/>
    <w:rsid w:val="5F3F6522"/>
    <w:rsid w:val="5F5226F9"/>
    <w:rsid w:val="5F531FCE"/>
    <w:rsid w:val="5F5C5326"/>
    <w:rsid w:val="5F7770A1"/>
    <w:rsid w:val="5F91286C"/>
    <w:rsid w:val="5F9431B9"/>
    <w:rsid w:val="5F9F3B94"/>
    <w:rsid w:val="5FA34D03"/>
    <w:rsid w:val="5FA840C8"/>
    <w:rsid w:val="5FB14474"/>
    <w:rsid w:val="5FBC304B"/>
    <w:rsid w:val="5FBC4017"/>
    <w:rsid w:val="5FE22FDD"/>
    <w:rsid w:val="5FE231E0"/>
    <w:rsid w:val="5FE33352"/>
    <w:rsid w:val="5FF7726D"/>
    <w:rsid w:val="5FFC4413"/>
    <w:rsid w:val="60147621"/>
    <w:rsid w:val="60163493"/>
    <w:rsid w:val="602C2E66"/>
    <w:rsid w:val="60355659"/>
    <w:rsid w:val="60453C66"/>
    <w:rsid w:val="60486AD1"/>
    <w:rsid w:val="604C6483"/>
    <w:rsid w:val="60546BB6"/>
    <w:rsid w:val="605B02A7"/>
    <w:rsid w:val="60604DF6"/>
    <w:rsid w:val="606326E4"/>
    <w:rsid w:val="60714E01"/>
    <w:rsid w:val="60821E16"/>
    <w:rsid w:val="6085265B"/>
    <w:rsid w:val="6089214B"/>
    <w:rsid w:val="60A70823"/>
    <w:rsid w:val="60B751E8"/>
    <w:rsid w:val="60C2565D"/>
    <w:rsid w:val="60E24604"/>
    <w:rsid w:val="60E51508"/>
    <w:rsid w:val="60F13EBF"/>
    <w:rsid w:val="60F375C4"/>
    <w:rsid w:val="60F577E0"/>
    <w:rsid w:val="60FD726A"/>
    <w:rsid w:val="61005532"/>
    <w:rsid w:val="611425C4"/>
    <w:rsid w:val="61186D8B"/>
    <w:rsid w:val="61261CDB"/>
    <w:rsid w:val="612E4AA0"/>
    <w:rsid w:val="613227E3"/>
    <w:rsid w:val="615F2EAC"/>
    <w:rsid w:val="61625A1B"/>
    <w:rsid w:val="617A768C"/>
    <w:rsid w:val="618A4464"/>
    <w:rsid w:val="618C2CB3"/>
    <w:rsid w:val="618E3791"/>
    <w:rsid w:val="619012B7"/>
    <w:rsid w:val="61952A3A"/>
    <w:rsid w:val="61954B1F"/>
    <w:rsid w:val="61C40F61"/>
    <w:rsid w:val="61C56BBB"/>
    <w:rsid w:val="61CF0031"/>
    <w:rsid w:val="61D03DA9"/>
    <w:rsid w:val="61FF01EB"/>
    <w:rsid w:val="62087D51"/>
    <w:rsid w:val="620B1CA4"/>
    <w:rsid w:val="621C0D9D"/>
    <w:rsid w:val="623205C0"/>
    <w:rsid w:val="6235751B"/>
    <w:rsid w:val="62593D9F"/>
    <w:rsid w:val="625B18C5"/>
    <w:rsid w:val="625B5C9A"/>
    <w:rsid w:val="625C73EB"/>
    <w:rsid w:val="6261371D"/>
    <w:rsid w:val="628A7096"/>
    <w:rsid w:val="62922349"/>
    <w:rsid w:val="62B114E5"/>
    <w:rsid w:val="62B144D5"/>
    <w:rsid w:val="62C17277"/>
    <w:rsid w:val="62C51434"/>
    <w:rsid w:val="62FB6C04"/>
    <w:rsid w:val="62FE04A2"/>
    <w:rsid w:val="630006BE"/>
    <w:rsid w:val="63147CC6"/>
    <w:rsid w:val="631A352E"/>
    <w:rsid w:val="63253C81"/>
    <w:rsid w:val="63344891"/>
    <w:rsid w:val="63354616"/>
    <w:rsid w:val="633F5DED"/>
    <w:rsid w:val="63483036"/>
    <w:rsid w:val="635E5836"/>
    <w:rsid w:val="639C0C65"/>
    <w:rsid w:val="63A71009"/>
    <w:rsid w:val="63AD1FEB"/>
    <w:rsid w:val="63B020AD"/>
    <w:rsid w:val="63C35974"/>
    <w:rsid w:val="63D7141F"/>
    <w:rsid w:val="63DD7BB2"/>
    <w:rsid w:val="63EB3254"/>
    <w:rsid w:val="63F463A5"/>
    <w:rsid w:val="63F7408D"/>
    <w:rsid w:val="64300B2F"/>
    <w:rsid w:val="64360F4E"/>
    <w:rsid w:val="643979E4"/>
    <w:rsid w:val="643B19AE"/>
    <w:rsid w:val="64535682"/>
    <w:rsid w:val="645D6C69"/>
    <w:rsid w:val="64656A2B"/>
    <w:rsid w:val="647454AC"/>
    <w:rsid w:val="648844C8"/>
    <w:rsid w:val="648A46E4"/>
    <w:rsid w:val="64930AC3"/>
    <w:rsid w:val="64AE2BB3"/>
    <w:rsid w:val="64B92B25"/>
    <w:rsid w:val="64C12A33"/>
    <w:rsid w:val="64EA5182"/>
    <w:rsid w:val="64F90222"/>
    <w:rsid w:val="64F90675"/>
    <w:rsid w:val="650A312E"/>
    <w:rsid w:val="6511270F"/>
    <w:rsid w:val="65183A9D"/>
    <w:rsid w:val="652A1A23"/>
    <w:rsid w:val="65424019"/>
    <w:rsid w:val="654A5B17"/>
    <w:rsid w:val="654D7C2E"/>
    <w:rsid w:val="65516FAF"/>
    <w:rsid w:val="65576887"/>
    <w:rsid w:val="65644F35"/>
    <w:rsid w:val="65715970"/>
    <w:rsid w:val="657671F1"/>
    <w:rsid w:val="65830FE3"/>
    <w:rsid w:val="659C25B2"/>
    <w:rsid w:val="65A74E21"/>
    <w:rsid w:val="65B71508"/>
    <w:rsid w:val="65BA3794"/>
    <w:rsid w:val="65DF280D"/>
    <w:rsid w:val="65E47E23"/>
    <w:rsid w:val="65E503C1"/>
    <w:rsid w:val="66091638"/>
    <w:rsid w:val="66100C18"/>
    <w:rsid w:val="662D17CA"/>
    <w:rsid w:val="662F0B2E"/>
    <w:rsid w:val="662F4186"/>
    <w:rsid w:val="66304E17"/>
    <w:rsid w:val="663A2F15"/>
    <w:rsid w:val="664207F5"/>
    <w:rsid w:val="664F1741"/>
    <w:rsid w:val="665F56FC"/>
    <w:rsid w:val="666B5AE5"/>
    <w:rsid w:val="666B7483"/>
    <w:rsid w:val="668313EA"/>
    <w:rsid w:val="66862C89"/>
    <w:rsid w:val="66967370"/>
    <w:rsid w:val="66995EDE"/>
    <w:rsid w:val="66A3383B"/>
    <w:rsid w:val="66A441AA"/>
    <w:rsid w:val="66C04577"/>
    <w:rsid w:val="66CD0B78"/>
    <w:rsid w:val="66D77A70"/>
    <w:rsid w:val="66D954AE"/>
    <w:rsid w:val="66E3632D"/>
    <w:rsid w:val="66E64CB8"/>
    <w:rsid w:val="66ED2D08"/>
    <w:rsid w:val="66F26570"/>
    <w:rsid w:val="66FA345D"/>
    <w:rsid w:val="66FE7028"/>
    <w:rsid w:val="67204E8B"/>
    <w:rsid w:val="67380715"/>
    <w:rsid w:val="6738613A"/>
    <w:rsid w:val="674072DB"/>
    <w:rsid w:val="67492634"/>
    <w:rsid w:val="675114E9"/>
    <w:rsid w:val="67542D87"/>
    <w:rsid w:val="675445CD"/>
    <w:rsid w:val="676B36AE"/>
    <w:rsid w:val="67736500"/>
    <w:rsid w:val="677B1F86"/>
    <w:rsid w:val="6784498F"/>
    <w:rsid w:val="67857251"/>
    <w:rsid w:val="67871780"/>
    <w:rsid w:val="67A23AF2"/>
    <w:rsid w:val="67BA07B7"/>
    <w:rsid w:val="67CC6C66"/>
    <w:rsid w:val="67D04F6F"/>
    <w:rsid w:val="67DA328C"/>
    <w:rsid w:val="67E1286C"/>
    <w:rsid w:val="67F85E08"/>
    <w:rsid w:val="680C4F78"/>
    <w:rsid w:val="68170135"/>
    <w:rsid w:val="681A5D7E"/>
    <w:rsid w:val="681B6F2C"/>
    <w:rsid w:val="681D761D"/>
    <w:rsid w:val="68210EBB"/>
    <w:rsid w:val="682E5386"/>
    <w:rsid w:val="685272C6"/>
    <w:rsid w:val="68541290"/>
    <w:rsid w:val="685E3D5A"/>
    <w:rsid w:val="686F5878"/>
    <w:rsid w:val="68A07E2E"/>
    <w:rsid w:val="68A954DA"/>
    <w:rsid w:val="68B13EE2"/>
    <w:rsid w:val="68B27663"/>
    <w:rsid w:val="68B91800"/>
    <w:rsid w:val="68C656C9"/>
    <w:rsid w:val="6905258B"/>
    <w:rsid w:val="69132616"/>
    <w:rsid w:val="691D55AF"/>
    <w:rsid w:val="69252AE2"/>
    <w:rsid w:val="692C5D69"/>
    <w:rsid w:val="693F6886"/>
    <w:rsid w:val="6940715E"/>
    <w:rsid w:val="69923A21"/>
    <w:rsid w:val="699252DE"/>
    <w:rsid w:val="69945565"/>
    <w:rsid w:val="69AE677E"/>
    <w:rsid w:val="69BF098B"/>
    <w:rsid w:val="69C145DB"/>
    <w:rsid w:val="69C6217D"/>
    <w:rsid w:val="69D636A9"/>
    <w:rsid w:val="69D63F27"/>
    <w:rsid w:val="69D72A5C"/>
    <w:rsid w:val="69EC54F9"/>
    <w:rsid w:val="69EF1C7F"/>
    <w:rsid w:val="69F50021"/>
    <w:rsid w:val="69FC1C8E"/>
    <w:rsid w:val="6A294057"/>
    <w:rsid w:val="6A470981"/>
    <w:rsid w:val="6A480C22"/>
    <w:rsid w:val="6A527A52"/>
    <w:rsid w:val="6A5660AB"/>
    <w:rsid w:val="6A652063"/>
    <w:rsid w:val="6A7177BA"/>
    <w:rsid w:val="6A77419C"/>
    <w:rsid w:val="6A793230"/>
    <w:rsid w:val="6A7C1846"/>
    <w:rsid w:val="6A7F636D"/>
    <w:rsid w:val="6A8B6C11"/>
    <w:rsid w:val="6AA21139"/>
    <w:rsid w:val="6AA858C3"/>
    <w:rsid w:val="6AAE190A"/>
    <w:rsid w:val="6AB51D8E"/>
    <w:rsid w:val="6ABE0C43"/>
    <w:rsid w:val="6AD40BB5"/>
    <w:rsid w:val="6B03516D"/>
    <w:rsid w:val="6B0B04E3"/>
    <w:rsid w:val="6B13771A"/>
    <w:rsid w:val="6B161F57"/>
    <w:rsid w:val="6B165AFF"/>
    <w:rsid w:val="6B2A62D8"/>
    <w:rsid w:val="6B2F6473"/>
    <w:rsid w:val="6B316C7D"/>
    <w:rsid w:val="6B6F018F"/>
    <w:rsid w:val="6B7A3F90"/>
    <w:rsid w:val="6B855C05"/>
    <w:rsid w:val="6BA53BB1"/>
    <w:rsid w:val="6BBA0EFF"/>
    <w:rsid w:val="6BEE37AA"/>
    <w:rsid w:val="6BF32B6E"/>
    <w:rsid w:val="6BFC4226"/>
    <w:rsid w:val="6BFF530D"/>
    <w:rsid w:val="6C07661A"/>
    <w:rsid w:val="6C164AAF"/>
    <w:rsid w:val="6C192A4F"/>
    <w:rsid w:val="6C2410E0"/>
    <w:rsid w:val="6C262F44"/>
    <w:rsid w:val="6C327B3B"/>
    <w:rsid w:val="6C423AF6"/>
    <w:rsid w:val="6C44161C"/>
    <w:rsid w:val="6C494E84"/>
    <w:rsid w:val="6C564DD5"/>
    <w:rsid w:val="6C593408"/>
    <w:rsid w:val="6C6B56BA"/>
    <w:rsid w:val="6C733F97"/>
    <w:rsid w:val="6C9B41F2"/>
    <w:rsid w:val="6C9F6852"/>
    <w:rsid w:val="6CB00A5F"/>
    <w:rsid w:val="6CBD4F2A"/>
    <w:rsid w:val="6CD852F0"/>
    <w:rsid w:val="6CDA59FA"/>
    <w:rsid w:val="6CDB1F80"/>
    <w:rsid w:val="6CE40709"/>
    <w:rsid w:val="6CE84511"/>
    <w:rsid w:val="6CF62F88"/>
    <w:rsid w:val="6CF941B4"/>
    <w:rsid w:val="6CFA17AD"/>
    <w:rsid w:val="6D0B205B"/>
    <w:rsid w:val="6D1C4347"/>
    <w:rsid w:val="6D293E78"/>
    <w:rsid w:val="6D413DAD"/>
    <w:rsid w:val="6D505D9E"/>
    <w:rsid w:val="6D736D4F"/>
    <w:rsid w:val="6D7C6B93"/>
    <w:rsid w:val="6D7D4DE5"/>
    <w:rsid w:val="6D806684"/>
    <w:rsid w:val="6D921B35"/>
    <w:rsid w:val="6D9D5488"/>
    <w:rsid w:val="6DA93E2C"/>
    <w:rsid w:val="6DAA3B67"/>
    <w:rsid w:val="6DB102DA"/>
    <w:rsid w:val="6DB427D1"/>
    <w:rsid w:val="6DB4611F"/>
    <w:rsid w:val="6DC36570"/>
    <w:rsid w:val="6DCF3167"/>
    <w:rsid w:val="6DD5429A"/>
    <w:rsid w:val="6DD817C7"/>
    <w:rsid w:val="6DDB7D5E"/>
    <w:rsid w:val="6DDC5DF0"/>
    <w:rsid w:val="6DF66946"/>
    <w:rsid w:val="6E02184D"/>
    <w:rsid w:val="6E0A23F1"/>
    <w:rsid w:val="6E132084"/>
    <w:rsid w:val="6E21221F"/>
    <w:rsid w:val="6E25115A"/>
    <w:rsid w:val="6E290AC9"/>
    <w:rsid w:val="6E34753E"/>
    <w:rsid w:val="6E3F4CF9"/>
    <w:rsid w:val="6E425CE4"/>
    <w:rsid w:val="6E494CC8"/>
    <w:rsid w:val="6E4C2A0A"/>
    <w:rsid w:val="6E5F44EB"/>
    <w:rsid w:val="6E63608A"/>
    <w:rsid w:val="6E810905"/>
    <w:rsid w:val="6E957F0D"/>
    <w:rsid w:val="6E9D5013"/>
    <w:rsid w:val="6EBE3AB9"/>
    <w:rsid w:val="6EC922AC"/>
    <w:rsid w:val="6ECA1BEA"/>
    <w:rsid w:val="6ED8604B"/>
    <w:rsid w:val="6EDB739F"/>
    <w:rsid w:val="6EF15C07"/>
    <w:rsid w:val="6EF20265"/>
    <w:rsid w:val="6EF235B1"/>
    <w:rsid w:val="6EF32E85"/>
    <w:rsid w:val="6F005775"/>
    <w:rsid w:val="6F0532E4"/>
    <w:rsid w:val="6F0F3EFF"/>
    <w:rsid w:val="6F0F7105"/>
    <w:rsid w:val="6F105EF0"/>
    <w:rsid w:val="6F1A36BA"/>
    <w:rsid w:val="6F1E43A6"/>
    <w:rsid w:val="6F2C7418"/>
    <w:rsid w:val="6F34317B"/>
    <w:rsid w:val="6F660530"/>
    <w:rsid w:val="6F7945FE"/>
    <w:rsid w:val="6F867384"/>
    <w:rsid w:val="6F914B78"/>
    <w:rsid w:val="6F977CB5"/>
    <w:rsid w:val="6F985F9A"/>
    <w:rsid w:val="6F9D04EB"/>
    <w:rsid w:val="6FA523D2"/>
    <w:rsid w:val="6FCD39B5"/>
    <w:rsid w:val="6FDC4C41"/>
    <w:rsid w:val="6FEC1380"/>
    <w:rsid w:val="6FF3178E"/>
    <w:rsid w:val="6FFD4F62"/>
    <w:rsid w:val="702F6C2B"/>
    <w:rsid w:val="70333E81"/>
    <w:rsid w:val="70567144"/>
    <w:rsid w:val="70640519"/>
    <w:rsid w:val="70645DE9"/>
    <w:rsid w:val="70710506"/>
    <w:rsid w:val="707A560C"/>
    <w:rsid w:val="707F4466"/>
    <w:rsid w:val="70840B4F"/>
    <w:rsid w:val="70877DE6"/>
    <w:rsid w:val="709D754D"/>
    <w:rsid w:val="70AA0ED0"/>
    <w:rsid w:val="70C33D2C"/>
    <w:rsid w:val="70C74796"/>
    <w:rsid w:val="70C8281B"/>
    <w:rsid w:val="70D56691"/>
    <w:rsid w:val="70DC62C7"/>
    <w:rsid w:val="70DE203F"/>
    <w:rsid w:val="70E77EE3"/>
    <w:rsid w:val="70F84783"/>
    <w:rsid w:val="70FE448F"/>
    <w:rsid w:val="71080E6A"/>
    <w:rsid w:val="710B4E43"/>
    <w:rsid w:val="711C2B67"/>
    <w:rsid w:val="712318D8"/>
    <w:rsid w:val="712A5F39"/>
    <w:rsid w:val="713C6D66"/>
    <w:rsid w:val="713E3240"/>
    <w:rsid w:val="71541E6D"/>
    <w:rsid w:val="71663DE2"/>
    <w:rsid w:val="716C4C74"/>
    <w:rsid w:val="717A69A0"/>
    <w:rsid w:val="717B639A"/>
    <w:rsid w:val="718764FD"/>
    <w:rsid w:val="719C7804"/>
    <w:rsid w:val="71B4396F"/>
    <w:rsid w:val="71B927E7"/>
    <w:rsid w:val="71CD20B4"/>
    <w:rsid w:val="71DB20DB"/>
    <w:rsid w:val="71E60A7F"/>
    <w:rsid w:val="71FE38A9"/>
    <w:rsid w:val="72037883"/>
    <w:rsid w:val="720B7CDC"/>
    <w:rsid w:val="7231619E"/>
    <w:rsid w:val="724539F8"/>
    <w:rsid w:val="72542FC5"/>
    <w:rsid w:val="72555F92"/>
    <w:rsid w:val="7267505A"/>
    <w:rsid w:val="72750781"/>
    <w:rsid w:val="727B1B10"/>
    <w:rsid w:val="727F5809"/>
    <w:rsid w:val="72822E9E"/>
    <w:rsid w:val="728D7E28"/>
    <w:rsid w:val="7297351A"/>
    <w:rsid w:val="729C1592"/>
    <w:rsid w:val="729C3F60"/>
    <w:rsid w:val="72A2709C"/>
    <w:rsid w:val="72AE77EF"/>
    <w:rsid w:val="72B3358B"/>
    <w:rsid w:val="72B709F0"/>
    <w:rsid w:val="72C45265"/>
    <w:rsid w:val="72D272FF"/>
    <w:rsid w:val="72DA4A88"/>
    <w:rsid w:val="72DC25AE"/>
    <w:rsid w:val="73085FDF"/>
    <w:rsid w:val="730B69EF"/>
    <w:rsid w:val="73236401"/>
    <w:rsid w:val="732B6917"/>
    <w:rsid w:val="733A10F5"/>
    <w:rsid w:val="73440153"/>
    <w:rsid w:val="734463A5"/>
    <w:rsid w:val="734F0FD2"/>
    <w:rsid w:val="7362570A"/>
    <w:rsid w:val="7370719A"/>
    <w:rsid w:val="73833CEC"/>
    <w:rsid w:val="738E59B0"/>
    <w:rsid w:val="73A02274"/>
    <w:rsid w:val="73AA6208"/>
    <w:rsid w:val="73BB0416"/>
    <w:rsid w:val="73BC6D60"/>
    <w:rsid w:val="73BD53D5"/>
    <w:rsid w:val="73C05A2C"/>
    <w:rsid w:val="73DB2866"/>
    <w:rsid w:val="73E949B6"/>
    <w:rsid w:val="73F76F74"/>
    <w:rsid w:val="740578E3"/>
    <w:rsid w:val="740B06B0"/>
    <w:rsid w:val="740C1244"/>
    <w:rsid w:val="740C6EC3"/>
    <w:rsid w:val="74177616"/>
    <w:rsid w:val="7421047D"/>
    <w:rsid w:val="74244DD1"/>
    <w:rsid w:val="743D52CE"/>
    <w:rsid w:val="74401DA5"/>
    <w:rsid w:val="74485A21"/>
    <w:rsid w:val="745E0F4B"/>
    <w:rsid w:val="745E7A44"/>
    <w:rsid w:val="747F4D47"/>
    <w:rsid w:val="74992B3E"/>
    <w:rsid w:val="74B11819"/>
    <w:rsid w:val="74C62534"/>
    <w:rsid w:val="74CA4688"/>
    <w:rsid w:val="74D750DF"/>
    <w:rsid w:val="74E16458"/>
    <w:rsid w:val="74F10088"/>
    <w:rsid w:val="75026176"/>
    <w:rsid w:val="75105270"/>
    <w:rsid w:val="751C3136"/>
    <w:rsid w:val="751D6EAE"/>
    <w:rsid w:val="75220020"/>
    <w:rsid w:val="752B3379"/>
    <w:rsid w:val="75355ADD"/>
    <w:rsid w:val="75371D1E"/>
    <w:rsid w:val="75500C74"/>
    <w:rsid w:val="75503FE8"/>
    <w:rsid w:val="75824D9D"/>
    <w:rsid w:val="75826B71"/>
    <w:rsid w:val="758F1B5A"/>
    <w:rsid w:val="75941448"/>
    <w:rsid w:val="759527DF"/>
    <w:rsid w:val="759E040B"/>
    <w:rsid w:val="75A45A6F"/>
    <w:rsid w:val="75C80BC8"/>
    <w:rsid w:val="75D27C98"/>
    <w:rsid w:val="75D57DFA"/>
    <w:rsid w:val="75EF084A"/>
    <w:rsid w:val="75F234BE"/>
    <w:rsid w:val="760338C7"/>
    <w:rsid w:val="76053BCA"/>
    <w:rsid w:val="760A7432"/>
    <w:rsid w:val="7610431D"/>
    <w:rsid w:val="761E4C8C"/>
    <w:rsid w:val="76222141"/>
    <w:rsid w:val="76277FE4"/>
    <w:rsid w:val="762F50EB"/>
    <w:rsid w:val="763073B9"/>
    <w:rsid w:val="76391AC6"/>
    <w:rsid w:val="76404931"/>
    <w:rsid w:val="76415520"/>
    <w:rsid w:val="764458A9"/>
    <w:rsid w:val="76592168"/>
    <w:rsid w:val="76593F16"/>
    <w:rsid w:val="765D1A0E"/>
    <w:rsid w:val="76676633"/>
    <w:rsid w:val="76816FC9"/>
    <w:rsid w:val="768865A9"/>
    <w:rsid w:val="76952B0B"/>
    <w:rsid w:val="769B62DC"/>
    <w:rsid w:val="76AC25EB"/>
    <w:rsid w:val="76CA0970"/>
    <w:rsid w:val="76D65566"/>
    <w:rsid w:val="77133AE0"/>
    <w:rsid w:val="77185B7F"/>
    <w:rsid w:val="7719438D"/>
    <w:rsid w:val="771A08AE"/>
    <w:rsid w:val="772054B7"/>
    <w:rsid w:val="773A3D47"/>
    <w:rsid w:val="77585F7B"/>
    <w:rsid w:val="77604072"/>
    <w:rsid w:val="776E579F"/>
    <w:rsid w:val="77787DD9"/>
    <w:rsid w:val="77847777"/>
    <w:rsid w:val="778D5A00"/>
    <w:rsid w:val="779308EA"/>
    <w:rsid w:val="779739CE"/>
    <w:rsid w:val="77BC475C"/>
    <w:rsid w:val="77C67389"/>
    <w:rsid w:val="77CE4490"/>
    <w:rsid w:val="77D01FB6"/>
    <w:rsid w:val="77F263D0"/>
    <w:rsid w:val="780A4BEB"/>
    <w:rsid w:val="78105353"/>
    <w:rsid w:val="78252B16"/>
    <w:rsid w:val="78320EC2"/>
    <w:rsid w:val="78355C66"/>
    <w:rsid w:val="784A1D68"/>
    <w:rsid w:val="78632E2A"/>
    <w:rsid w:val="787416F0"/>
    <w:rsid w:val="78764F7E"/>
    <w:rsid w:val="7880578A"/>
    <w:rsid w:val="78A07E89"/>
    <w:rsid w:val="78A151BB"/>
    <w:rsid w:val="78B97A17"/>
    <w:rsid w:val="78CF226D"/>
    <w:rsid w:val="78D91CE2"/>
    <w:rsid w:val="78DA7590"/>
    <w:rsid w:val="78EF7D4D"/>
    <w:rsid w:val="78F91E55"/>
    <w:rsid w:val="790F4D60"/>
    <w:rsid w:val="79101597"/>
    <w:rsid w:val="7913466E"/>
    <w:rsid w:val="792627D5"/>
    <w:rsid w:val="792A1B99"/>
    <w:rsid w:val="794B1BA1"/>
    <w:rsid w:val="7956225B"/>
    <w:rsid w:val="7973709D"/>
    <w:rsid w:val="797720C1"/>
    <w:rsid w:val="799A7BDC"/>
    <w:rsid w:val="799C695E"/>
    <w:rsid w:val="79A21A09"/>
    <w:rsid w:val="79A95CB0"/>
    <w:rsid w:val="79AD3AA3"/>
    <w:rsid w:val="79C33CF6"/>
    <w:rsid w:val="79F62775"/>
    <w:rsid w:val="79FC79B2"/>
    <w:rsid w:val="7A036672"/>
    <w:rsid w:val="7A0A5C53"/>
    <w:rsid w:val="7A13262E"/>
    <w:rsid w:val="7A1940E8"/>
    <w:rsid w:val="7A290C7B"/>
    <w:rsid w:val="7A392094"/>
    <w:rsid w:val="7A3D2CE0"/>
    <w:rsid w:val="7A43386D"/>
    <w:rsid w:val="7A4B1DC7"/>
    <w:rsid w:val="7A5D60E1"/>
    <w:rsid w:val="7A664E28"/>
    <w:rsid w:val="7A6F5AB6"/>
    <w:rsid w:val="7A8D2D2D"/>
    <w:rsid w:val="7A946FE6"/>
    <w:rsid w:val="7AA36160"/>
    <w:rsid w:val="7AB43E11"/>
    <w:rsid w:val="7ABC3569"/>
    <w:rsid w:val="7AC2106A"/>
    <w:rsid w:val="7ACB4CB6"/>
    <w:rsid w:val="7ACC0CD4"/>
    <w:rsid w:val="7AD95625"/>
    <w:rsid w:val="7B07552E"/>
    <w:rsid w:val="7B13622C"/>
    <w:rsid w:val="7B136D89"/>
    <w:rsid w:val="7B166879"/>
    <w:rsid w:val="7B18439F"/>
    <w:rsid w:val="7B1E6E81"/>
    <w:rsid w:val="7B25086A"/>
    <w:rsid w:val="7B392C1B"/>
    <w:rsid w:val="7B557D9F"/>
    <w:rsid w:val="7B700883"/>
    <w:rsid w:val="7B7604AC"/>
    <w:rsid w:val="7B9F6A50"/>
    <w:rsid w:val="7BAD6D4A"/>
    <w:rsid w:val="7BD9715F"/>
    <w:rsid w:val="7BEC3136"/>
    <w:rsid w:val="7C266648"/>
    <w:rsid w:val="7C2C6CF3"/>
    <w:rsid w:val="7C556E26"/>
    <w:rsid w:val="7C5F7DAC"/>
    <w:rsid w:val="7C653096"/>
    <w:rsid w:val="7C6A0C2B"/>
    <w:rsid w:val="7C7750F6"/>
    <w:rsid w:val="7C7C76D0"/>
    <w:rsid w:val="7C827AEC"/>
    <w:rsid w:val="7C883447"/>
    <w:rsid w:val="7C8C559B"/>
    <w:rsid w:val="7C8D2B6B"/>
    <w:rsid w:val="7C9948E3"/>
    <w:rsid w:val="7C9B7036"/>
    <w:rsid w:val="7CBD693B"/>
    <w:rsid w:val="7CC5413D"/>
    <w:rsid w:val="7CCD2C16"/>
    <w:rsid w:val="7CD9190C"/>
    <w:rsid w:val="7CF06F83"/>
    <w:rsid w:val="7CFB5D27"/>
    <w:rsid w:val="7D052701"/>
    <w:rsid w:val="7D0B68E9"/>
    <w:rsid w:val="7D1A575E"/>
    <w:rsid w:val="7D38495C"/>
    <w:rsid w:val="7D5906D8"/>
    <w:rsid w:val="7D641B1E"/>
    <w:rsid w:val="7D6D538B"/>
    <w:rsid w:val="7D7426FB"/>
    <w:rsid w:val="7DA71A0B"/>
    <w:rsid w:val="7DC31667"/>
    <w:rsid w:val="7DC6043C"/>
    <w:rsid w:val="7DF06F0E"/>
    <w:rsid w:val="7DF52776"/>
    <w:rsid w:val="7DFD5ED3"/>
    <w:rsid w:val="7E0155BF"/>
    <w:rsid w:val="7E024E93"/>
    <w:rsid w:val="7E2C6E0C"/>
    <w:rsid w:val="7E395C03"/>
    <w:rsid w:val="7E3A0BBC"/>
    <w:rsid w:val="7E6F077A"/>
    <w:rsid w:val="7E7B2ED4"/>
    <w:rsid w:val="7E7D318F"/>
    <w:rsid w:val="7E837D82"/>
    <w:rsid w:val="7EA63A70"/>
    <w:rsid w:val="7EC3036F"/>
    <w:rsid w:val="7EC5039A"/>
    <w:rsid w:val="7EC51355"/>
    <w:rsid w:val="7ECD724F"/>
    <w:rsid w:val="7EFE1AFE"/>
    <w:rsid w:val="7EFE38AC"/>
    <w:rsid w:val="7F01339C"/>
    <w:rsid w:val="7F0C5950"/>
    <w:rsid w:val="7F0E2B74"/>
    <w:rsid w:val="7F353426"/>
    <w:rsid w:val="7F3B065C"/>
    <w:rsid w:val="7F4F20B8"/>
    <w:rsid w:val="7F587460"/>
    <w:rsid w:val="7F5B485B"/>
    <w:rsid w:val="7F5D018C"/>
    <w:rsid w:val="7F8247DF"/>
    <w:rsid w:val="7F846D70"/>
    <w:rsid w:val="7F8C710A"/>
    <w:rsid w:val="7F932247"/>
    <w:rsid w:val="7F970C6B"/>
    <w:rsid w:val="7F9F508F"/>
    <w:rsid w:val="7FC626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520" w:lineRule="exact"/>
      <w:ind w:firstLine="640" w:firstLineChars="200"/>
      <w:jc w:val="both"/>
    </w:pPr>
    <w:rPr>
      <w:rFonts w:ascii="宋体" w:hAnsi="宋体" w:eastAsia="宋体" w:cstheme="minorBidi"/>
      <w:kern w:val="2"/>
      <w:sz w:val="28"/>
      <w:szCs w:val="22"/>
      <w:lang w:val="en-US" w:eastAsia="zh-CN" w:bidi="ar-SA"/>
    </w:rPr>
  </w:style>
  <w:style w:type="paragraph" w:styleId="2">
    <w:name w:val="heading 1"/>
    <w:basedOn w:val="1"/>
    <w:next w:val="1"/>
    <w:autoRedefine/>
    <w:qFormat/>
    <w:uiPriority w:val="0"/>
    <w:pPr>
      <w:keepNext/>
      <w:keepLines/>
      <w:spacing w:before="120" w:after="120"/>
      <w:ind w:firstLine="0" w:firstLineChars="0"/>
      <w:jc w:val="center"/>
      <w:outlineLvl w:val="0"/>
    </w:pPr>
    <w:rPr>
      <w:rFonts w:ascii="黑体" w:hAnsi="黑体" w:eastAsia="黑体"/>
      <w:bCs/>
      <w:kern w:val="44"/>
      <w:sz w:val="32"/>
      <w:szCs w:val="44"/>
    </w:rPr>
  </w:style>
  <w:style w:type="paragraph" w:styleId="3">
    <w:name w:val="heading 2"/>
    <w:basedOn w:val="1"/>
    <w:next w:val="1"/>
    <w:autoRedefine/>
    <w:unhideWhenUsed/>
    <w:qFormat/>
    <w:uiPriority w:val="0"/>
    <w:pPr>
      <w:keepNext/>
      <w:keepLines/>
      <w:spacing w:before="120" w:after="120"/>
      <w:ind w:firstLine="0" w:firstLineChars="0"/>
      <w:jc w:val="center"/>
      <w:outlineLvl w:val="1"/>
    </w:pPr>
    <w:rPr>
      <w:rFonts w:ascii="楷体" w:hAnsi="楷体" w:eastAsia="楷体"/>
      <w:sz w:val="32"/>
    </w:rPr>
  </w:style>
  <w:style w:type="paragraph" w:styleId="4">
    <w:name w:val="heading 3"/>
    <w:basedOn w:val="1"/>
    <w:next w:val="1"/>
    <w:link w:val="35"/>
    <w:unhideWhenUsed/>
    <w:qFormat/>
    <w:uiPriority w:val="0"/>
    <w:pPr>
      <w:keepNext/>
      <w:keepLines/>
      <w:spacing w:before="120" w:after="120"/>
      <w:ind w:firstLine="0" w:firstLineChars="0"/>
      <w:outlineLvl w:val="2"/>
    </w:pPr>
    <w:rPr>
      <w:rFonts w:ascii="黑体" w:hAnsi="黑体" w:eastAsia="黑体"/>
    </w:rPr>
  </w:style>
  <w:style w:type="paragraph" w:styleId="5">
    <w:name w:val="heading 4"/>
    <w:basedOn w:val="1"/>
    <w:next w:val="1"/>
    <w:autoRedefine/>
    <w:unhideWhenUsed/>
    <w:qFormat/>
    <w:uiPriority w:val="0"/>
    <w:pPr>
      <w:keepNext/>
      <w:keepLines/>
      <w:spacing w:before="120" w:after="120"/>
      <w:ind w:firstLine="480" w:firstLineChars="200"/>
      <w:outlineLvl w:val="3"/>
    </w:pPr>
    <w:rPr>
      <w:rFonts w:ascii="宋体" w:hAnsi="宋体" w:eastAsia="宋体"/>
      <w:b/>
      <w:bCs/>
      <w:kern w:val="0"/>
      <w:szCs w:val="28"/>
    </w:rPr>
  </w:style>
  <w:style w:type="character" w:default="1" w:styleId="26">
    <w:name w:val="Default Paragraph Font"/>
    <w:semiHidden/>
    <w:unhideWhenUsed/>
    <w:qFormat/>
    <w:uiPriority w:val="1"/>
  </w:style>
  <w:style w:type="table" w:default="1" w:styleId="2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6">
    <w:name w:val="Normal Indent"/>
    <w:basedOn w:val="1"/>
    <w:next w:val="1"/>
    <w:qFormat/>
    <w:uiPriority w:val="0"/>
    <w:pPr>
      <w:adjustRightInd w:val="0"/>
      <w:spacing w:line="360" w:lineRule="auto"/>
      <w:ind w:firstLine="560"/>
      <w:jc w:val="left"/>
    </w:pPr>
  </w:style>
  <w:style w:type="paragraph" w:styleId="7">
    <w:name w:val="caption"/>
    <w:next w:val="1"/>
    <w:qFormat/>
    <w:uiPriority w:val="0"/>
    <w:pPr>
      <w:widowControl w:val="0"/>
      <w:adjustRightInd/>
      <w:snapToGrid/>
      <w:spacing w:before="152" w:after="160" w:line="440" w:lineRule="exact"/>
      <w:ind w:firstLine="200" w:firstLineChars="200"/>
      <w:jc w:val="both"/>
    </w:pPr>
    <w:rPr>
      <w:rFonts w:ascii="Arial" w:hAnsi="Arial" w:eastAsia="黑体" w:cs="Arial"/>
      <w:kern w:val="2"/>
      <w:sz w:val="20"/>
      <w:lang w:val="en-US" w:eastAsia="zh-CN" w:bidi="ar-SA"/>
    </w:rPr>
  </w:style>
  <w:style w:type="paragraph" w:styleId="8">
    <w:name w:val="annotation text"/>
    <w:basedOn w:val="1"/>
    <w:link w:val="47"/>
    <w:qFormat/>
    <w:uiPriority w:val="0"/>
    <w:pPr>
      <w:jc w:val="left"/>
    </w:pPr>
    <w:rPr>
      <w:rFonts w:hint="eastAsia"/>
    </w:rPr>
  </w:style>
  <w:style w:type="paragraph" w:styleId="9">
    <w:name w:val="Body Text"/>
    <w:basedOn w:val="1"/>
    <w:qFormat/>
    <w:uiPriority w:val="0"/>
    <w:pPr>
      <w:ind w:firstLine="0" w:firstLineChars="0"/>
      <w:jc w:val="center"/>
    </w:pPr>
    <w:rPr>
      <w:spacing w:val="-14"/>
      <w:sz w:val="48"/>
      <w:szCs w:val="52"/>
    </w:rPr>
  </w:style>
  <w:style w:type="paragraph" w:styleId="10">
    <w:name w:val="Body Text Indent"/>
    <w:basedOn w:val="1"/>
    <w:next w:val="11"/>
    <w:qFormat/>
    <w:uiPriority w:val="0"/>
    <w:pPr>
      <w:spacing w:after="120"/>
      <w:ind w:left="420"/>
    </w:pPr>
  </w:style>
  <w:style w:type="paragraph" w:styleId="11">
    <w:name w:val="Body Text First Indent 2"/>
    <w:basedOn w:val="10"/>
    <w:next w:val="9"/>
    <w:unhideWhenUsed/>
    <w:qFormat/>
    <w:uiPriority w:val="99"/>
    <w:pPr>
      <w:ind w:firstLine="420"/>
    </w:pPr>
  </w:style>
  <w:style w:type="paragraph" w:styleId="12">
    <w:name w:val="List 2"/>
    <w:basedOn w:val="1"/>
    <w:qFormat/>
    <w:uiPriority w:val="0"/>
    <w:pPr>
      <w:ind w:left="100" w:leftChars="200" w:hanging="200" w:hangingChars="200"/>
    </w:pPr>
  </w:style>
  <w:style w:type="paragraph" w:styleId="13">
    <w:name w:val="Plain Text"/>
    <w:basedOn w:val="1"/>
    <w:qFormat/>
    <w:uiPriority w:val="0"/>
    <w:rPr>
      <w:rFonts w:hAnsi="Courier New"/>
      <w:sz w:val="21"/>
    </w:rPr>
  </w:style>
  <w:style w:type="paragraph" w:styleId="14">
    <w:name w:val="Body Text Indent 2"/>
    <w:basedOn w:val="1"/>
    <w:qFormat/>
    <w:uiPriority w:val="0"/>
    <w:pPr>
      <w:spacing w:line="420" w:lineRule="exact"/>
      <w:ind w:firstLine="480"/>
    </w:pPr>
    <w:rPr>
      <w:sz w:val="24"/>
    </w:rPr>
  </w:style>
  <w:style w:type="paragraph" w:styleId="15">
    <w:name w:val="Balloon Text"/>
    <w:basedOn w:val="1"/>
    <w:link w:val="49"/>
    <w:qFormat/>
    <w:uiPriority w:val="0"/>
    <w:pPr>
      <w:spacing w:line="240" w:lineRule="auto"/>
    </w:pPr>
    <w:rPr>
      <w:sz w:val="18"/>
      <w:szCs w:val="18"/>
    </w:rPr>
  </w:style>
  <w:style w:type="paragraph" w:styleId="16">
    <w:name w:val="footer"/>
    <w:basedOn w:val="1"/>
    <w:qFormat/>
    <w:uiPriority w:val="0"/>
    <w:pPr>
      <w:tabs>
        <w:tab w:val="center" w:pos="4153"/>
        <w:tab w:val="right" w:pos="8306"/>
      </w:tabs>
      <w:snapToGrid w:val="0"/>
      <w:spacing w:line="240" w:lineRule="auto"/>
      <w:ind w:firstLine="0" w:firstLineChars="0"/>
      <w:jc w:val="left"/>
    </w:pPr>
    <w:rPr>
      <w:rFonts w:ascii="楷体" w:hAnsi="楷体" w:eastAsia="楷体"/>
      <w:sz w:val="23"/>
      <w:szCs w:val="18"/>
    </w:rPr>
  </w:style>
  <w:style w:type="paragraph" w:styleId="17">
    <w:name w:val="header"/>
    <w:basedOn w:val="1"/>
    <w:qFormat/>
    <w:uiPriority w:val="0"/>
    <w:pPr>
      <w:pBdr>
        <w:bottom w:val="single" w:color="auto" w:sz="6" w:space="1"/>
      </w:pBdr>
      <w:tabs>
        <w:tab w:val="center" w:pos="4153"/>
        <w:tab w:val="right" w:pos="8306"/>
      </w:tabs>
      <w:snapToGrid w:val="0"/>
      <w:ind w:firstLine="0" w:firstLineChars="0"/>
      <w:jc w:val="center"/>
    </w:pPr>
    <w:rPr>
      <w:rFonts w:ascii="楷体" w:hAnsi="楷体" w:eastAsia="楷体"/>
      <w:sz w:val="23"/>
    </w:rPr>
  </w:style>
  <w:style w:type="paragraph" w:styleId="18">
    <w:name w:val="toc 1"/>
    <w:basedOn w:val="1"/>
    <w:next w:val="1"/>
    <w:qFormat/>
    <w:uiPriority w:val="0"/>
    <w:pPr>
      <w:spacing w:before="120" w:after="120"/>
      <w:jc w:val="left"/>
    </w:pPr>
    <w:rPr>
      <w:b/>
      <w:bCs/>
      <w:caps/>
      <w:sz w:val="20"/>
    </w:rPr>
  </w:style>
  <w:style w:type="paragraph" w:styleId="19">
    <w:name w:val="toc 2"/>
    <w:basedOn w:val="1"/>
    <w:next w:val="1"/>
    <w:link w:val="42"/>
    <w:qFormat/>
    <w:uiPriority w:val="0"/>
    <w:pPr>
      <w:ind w:left="210"/>
      <w:jc w:val="left"/>
    </w:pPr>
    <w:rPr>
      <w:smallCaps/>
      <w:sz w:val="20"/>
    </w:rPr>
  </w:style>
  <w:style w:type="paragraph" w:styleId="20">
    <w:name w:val="Normal (Web)"/>
    <w:basedOn w:val="1"/>
    <w:qFormat/>
    <w:uiPriority w:val="0"/>
    <w:pPr>
      <w:widowControl/>
      <w:spacing w:before="100" w:beforeAutospacing="1" w:after="100" w:afterAutospacing="1" w:line="240" w:lineRule="auto"/>
      <w:ind w:firstLine="0" w:firstLineChars="0"/>
      <w:jc w:val="left"/>
    </w:pPr>
    <w:rPr>
      <w:rFonts w:cs="宋体"/>
      <w:kern w:val="0"/>
      <w:sz w:val="24"/>
    </w:rPr>
  </w:style>
  <w:style w:type="paragraph" w:styleId="21">
    <w:name w:val="Title"/>
    <w:basedOn w:val="1"/>
    <w:next w:val="1"/>
    <w:qFormat/>
    <w:uiPriority w:val="0"/>
    <w:pPr>
      <w:spacing w:line="320" w:lineRule="exact"/>
      <w:ind w:firstLine="0" w:firstLineChars="0"/>
      <w:jc w:val="center"/>
    </w:pPr>
    <w:rPr>
      <w:rFonts w:cs="黑体"/>
      <w:bCs/>
      <w:sz w:val="21"/>
      <w:szCs w:val="32"/>
    </w:rPr>
  </w:style>
  <w:style w:type="paragraph" w:styleId="22">
    <w:name w:val="annotation subject"/>
    <w:basedOn w:val="8"/>
    <w:next w:val="8"/>
    <w:link w:val="48"/>
    <w:qFormat/>
    <w:uiPriority w:val="0"/>
    <w:rPr>
      <w:rFonts w:hint="default"/>
      <w:b/>
      <w:bCs/>
    </w:rPr>
  </w:style>
  <w:style w:type="paragraph" w:styleId="23">
    <w:name w:val="Body Text First Indent"/>
    <w:basedOn w:val="9"/>
    <w:unhideWhenUsed/>
    <w:qFormat/>
    <w:uiPriority w:val="99"/>
    <w:pPr>
      <w:ind w:firstLine="420" w:firstLineChars="100"/>
    </w:pPr>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basedOn w:val="26"/>
    <w:qFormat/>
    <w:uiPriority w:val="0"/>
    <w:rPr>
      <w:b/>
    </w:rPr>
  </w:style>
  <w:style w:type="character" w:styleId="28">
    <w:name w:val="page number"/>
    <w:basedOn w:val="26"/>
    <w:qFormat/>
    <w:uiPriority w:val="0"/>
    <w:rPr>
      <w:rFonts w:ascii="Times New Roman" w:hAnsi="Times New Roman" w:eastAsia="宋体"/>
      <w:sz w:val="18"/>
    </w:rPr>
  </w:style>
  <w:style w:type="character" w:styleId="29">
    <w:name w:val="Hyperlink"/>
    <w:basedOn w:val="26"/>
    <w:qFormat/>
    <w:uiPriority w:val="0"/>
    <w:rPr>
      <w:color w:val="0000FF"/>
      <w:u w:val="single"/>
    </w:rPr>
  </w:style>
  <w:style w:type="character" w:styleId="30">
    <w:name w:val="annotation reference"/>
    <w:basedOn w:val="26"/>
    <w:qFormat/>
    <w:uiPriority w:val="0"/>
    <w:rPr>
      <w:sz w:val="21"/>
      <w:szCs w:val="21"/>
    </w:rPr>
  </w:style>
  <w:style w:type="paragraph" w:customStyle="1" w:styleId="31">
    <w:name w:val="表格"/>
    <w:autoRedefine/>
    <w:qFormat/>
    <w:uiPriority w:val="0"/>
    <w:pPr>
      <w:widowControl w:val="0"/>
      <w:suppressAutoHyphens/>
      <w:autoSpaceDE w:val="0"/>
      <w:jc w:val="center"/>
    </w:pPr>
    <w:rPr>
      <w:rFonts w:ascii="宋体" w:hAnsi="宋体" w:eastAsia="宋体" w:cs="Times New Roman"/>
      <w:color w:val="000000"/>
      <w:kern w:val="2"/>
      <w:sz w:val="21"/>
      <w:szCs w:val="18"/>
      <w:lang w:val="en-US" w:eastAsia="zh-CN" w:bidi="ar-SA"/>
    </w:rPr>
  </w:style>
  <w:style w:type="paragraph" w:customStyle="1" w:styleId="32">
    <w:name w:val="正文 宋体4号"/>
    <w:basedOn w:val="1"/>
    <w:qFormat/>
    <w:uiPriority w:val="0"/>
    <w:pPr>
      <w:adjustRightInd w:val="0"/>
      <w:snapToGrid w:val="0"/>
      <w:spacing w:before="156" w:beforeLines="50" w:line="360" w:lineRule="auto"/>
      <w:ind w:firstLine="538" w:firstLineChars="192"/>
    </w:pPr>
    <w:rPr>
      <w:rFonts w:ascii="Times New Roman" w:hAnsi="Times New Roman"/>
      <w:snapToGrid w:val="0"/>
      <w:color w:val="000000"/>
      <w:kern w:val="0"/>
    </w:rPr>
  </w:style>
  <w:style w:type="paragraph" w:customStyle="1" w:styleId="33">
    <w:name w:val="表格内文字"/>
    <w:basedOn w:val="1"/>
    <w:qFormat/>
    <w:uiPriority w:val="0"/>
    <w:pPr>
      <w:adjustRightInd w:val="0"/>
      <w:snapToGrid w:val="0"/>
      <w:spacing w:line="320" w:lineRule="exact"/>
      <w:ind w:firstLine="0" w:firstLineChars="0"/>
    </w:pPr>
    <w:rPr>
      <w:rFonts w:hAnsi="宋体"/>
      <w:sz w:val="21"/>
      <w:szCs w:val="21"/>
    </w:rPr>
  </w:style>
  <w:style w:type="paragraph" w:customStyle="1" w:styleId="34">
    <w:name w:val="表格文字"/>
    <w:basedOn w:val="1"/>
    <w:qFormat/>
    <w:uiPriority w:val="0"/>
    <w:pPr>
      <w:spacing w:line="300" w:lineRule="exact"/>
      <w:ind w:firstLine="0" w:firstLineChars="0"/>
      <w:jc w:val="left"/>
    </w:pPr>
    <w:rPr>
      <w:sz w:val="21"/>
    </w:rPr>
  </w:style>
  <w:style w:type="character" w:customStyle="1" w:styleId="35">
    <w:name w:val="标题 3 Char"/>
    <w:link w:val="4"/>
    <w:qFormat/>
    <w:uiPriority w:val="0"/>
    <w:rPr>
      <w:rFonts w:ascii="黑体" w:hAnsi="黑体" w:eastAsia="黑体" w:cstheme="minorBidi"/>
      <w:kern w:val="2"/>
      <w:sz w:val="28"/>
      <w:szCs w:val="22"/>
    </w:rPr>
  </w:style>
  <w:style w:type="paragraph" w:customStyle="1" w:styleId="36">
    <w:name w:val="表格名称 4号"/>
    <w:basedOn w:val="1"/>
    <w:next w:val="1"/>
    <w:link w:val="37"/>
    <w:qFormat/>
    <w:uiPriority w:val="0"/>
    <w:pPr>
      <w:keepNext/>
      <w:adjustRightInd w:val="0"/>
      <w:snapToGrid w:val="0"/>
      <w:spacing w:before="120" w:after="120"/>
      <w:ind w:firstLine="0" w:firstLineChars="0"/>
      <w:jc w:val="center"/>
    </w:pPr>
    <w:rPr>
      <w:b/>
      <w:kern w:val="0"/>
    </w:rPr>
  </w:style>
  <w:style w:type="character" w:customStyle="1" w:styleId="37">
    <w:name w:val="表格名称 4号 Char"/>
    <w:link w:val="36"/>
    <w:qFormat/>
    <w:uiPriority w:val="0"/>
    <w:rPr>
      <w:rFonts w:ascii="宋体" w:hAnsi="宋体" w:eastAsia="宋体"/>
      <w:b/>
      <w:kern w:val="0"/>
      <w:sz w:val="28"/>
    </w:rPr>
  </w:style>
  <w:style w:type="paragraph" w:customStyle="1" w:styleId="38">
    <w:name w:val="Char Char Char1 Char"/>
    <w:basedOn w:val="1"/>
    <w:next w:val="1"/>
    <w:qFormat/>
    <w:uiPriority w:val="0"/>
    <w:pPr>
      <w:snapToGrid w:val="0"/>
      <w:spacing w:line="360" w:lineRule="auto"/>
      <w:ind w:firstLine="200"/>
      <w:jc w:val="left"/>
    </w:pPr>
    <w:rPr>
      <w:rFonts w:cs="宋体"/>
      <w:sz w:val="24"/>
    </w:rPr>
  </w:style>
  <w:style w:type="paragraph" w:customStyle="1" w:styleId="39">
    <w:name w:val="Char Char Char Char Char Char Char Char Char Char Char Char"/>
    <w:basedOn w:val="1"/>
    <w:qFormat/>
    <w:uiPriority w:val="0"/>
  </w:style>
  <w:style w:type="paragraph" w:customStyle="1" w:styleId="40">
    <w:name w:val="制表"/>
    <w:basedOn w:val="1"/>
    <w:link w:val="41"/>
    <w:qFormat/>
    <w:uiPriority w:val="0"/>
    <w:pPr>
      <w:spacing w:line="240" w:lineRule="auto"/>
      <w:ind w:firstLine="0" w:firstLineChars="0"/>
      <w:jc w:val="center"/>
    </w:pPr>
    <w:rPr>
      <w:rFonts w:ascii="Times New Roman" w:eastAsia="Times New Roman"/>
      <w:kern w:val="44"/>
      <w:sz w:val="21"/>
    </w:rPr>
  </w:style>
  <w:style w:type="character" w:customStyle="1" w:styleId="41">
    <w:name w:val="制表 Char"/>
    <w:link w:val="40"/>
    <w:qFormat/>
    <w:uiPriority w:val="0"/>
    <w:rPr>
      <w:rFonts w:ascii="Times New Roman" w:eastAsia="Times New Roman"/>
      <w:kern w:val="44"/>
      <w:sz w:val="21"/>
    </w:rPr>
  </w:style>
  <w:style w:type="character" w:customStyle="1" w:styleId="42">
    <w:name w:val="目录 2 Char"/>
    <w:link w:val="19"/>
    <w:qFormat/>
    <w:uiPriority w:val="0"/>
    <w:rPr>
      <w:smallCaps/>
      <w:sz w:val="20"/>
    </w:rPr>
  </w:style>
  <w:style w:type="character" w:customStyle="1" w:styleId="43">
    <w:name w:val="样式 行距: 固定值 26 磅 Char"/>
    <w:basedOn w:val="26"/>
    <w:link w:val="44"/>
    <w:qFormat/>
    <w:uiPriority w:val="0"/>
    <w:rPr>
      <w:rFonts w:ascii="宋体" w:hAnsi="宋体" w:eastAsia="宋体" w:cs="宋体"/>
      <w:kern w:val="2"/>
    </w:rPr>
  </w:style>
  <w:style w:type="paragraph" w:customStyle="1" w:styleId="44">
    <w:name w:val="样式 行距: 固定值 26 磅"/>
    <w:basedOn w:val="1"/>
    <w:link w:val="43"/>
    <w:qFormat/>
    <w:uiPriority w:val="0"/>
    <w:pPr>
      <w:ind w:right="561" w:firstLine="546" w:firstLineChars="195"/>
    </w:pPr>
    <w:rPr>
      <w:rFonts w:cs="宋体"/>
    </w:rPr>
  </w:style>
  <w:style w:type="paragraph" w:styleId="45">
    <w:name w:val="List Paragraph"/>
    <w:basedOn w:val="1"/>
    <w:qFormat/>
    <w:uiPriority w:val="34"/>
    <w:pPr>
      <w:ind w:firstLine="420"/>
    </w:pPr>
  </w:style>
  <w:style w:type="paragraph" w:customStyle="1" w:styleId="46">
    <w:name w:val="Char Char1 Char Char Char Char Char Char Char Char Char Char Char Char Char Char Char Char"/>
    <w:basedOn w:val="1"/>
    <w:autoRedefine/>
    <w:qFormat/>
    <w:uiPriority w:val="0"/>
    <w:pPr>
      <w:ind w:firstLine="200"/>
    </w:pPr>
    <w:rPr>
      <w:rFonts w:ascii="仿宋_GB2312" w:hAnsi="Times New Roman" w:eastAsia="仿宋_GB2312" w:cs="Times New Roman"/>
      <w:b/>
      <w:sz w:val="32"/>
      <w:szCs w:val="32"/>
    </w:rPr>
  </w:style>
  <w:style w:type="character" w:customStyle="1" w:styleId="47">
    <w:name w:val="批注文字 Char"/>
    <w:basedOn w:val="26"/>
    <w:link w:val="8"/>
    <w:qFormat/>
    <w:uiPriority w:val="0"/>
    <w:rPr>
      <w:rFonts w:ascii="宋体" w:hAnsi="宋体" w:cstheme="minorBidi"/>
      <w:kern w:val="2"/>
      <w:sz w:val="28"/>
      <w:szCs w:val="22"/>
    </w:rPr>
  </w:style>
  <w:style w:type="character" w:customStyle="1" w:styleId="48">
    <w:name w:val="批注主题 Char"/>
    <w:basedOn w:val="47"/>
    <w:link w:val="22"/>
    <w:qFormat/>
    <w:uiPriority w:val="0"/>
    <w:rPr>
      <w:rFonts w:ascii="宋体" w:hAnsi="宋体" w:cstheme="minorBidi"/>
      <w:b/>
      <w:bCs/>
      <w:kern w:val="2"/>
      <w:sz w:val="28"/>
      <w:szCs w:val="22"/>
    </w:rPr>
  </w:style>
  <w:style w:type="character" w:customStyle="1" w:styleId="49">
    <w:name w:val="批注框文本 Char"/>
    <w:basedOn w:val="26"/>
    <w:link w:val="15"/>
    <w:qFormat/>
    <w:uiPriority w:val="0"/>
    <w:rPr>
      <w:rFonts w:ascii="宋体" w:hAnsi="宋体" w:cstheme="minorBidi"/>
      <w:kern w:val="2"/>
      <w:sz w:val="18"/>
      <w:szCs w:val="18"/>
    </w:rPr>
  </w:style>
  <w:style w:type="paragraph" w:styleId="50">
    <w:name w:val="No Spacing"/>
    <w:qFormat/>
    <w:uiPriority w:val="0"/>
    <w:pPr>
      <w:widowControl w:val="0"/>
      <w:spacing w:line="440" w:lineRule="exact"/>
      <w:jc w:val="both"/>
    </w:pPr>
    <w:rPr>
      <w:rFonts w:ascii="楷体_GB2312" w:hAnsi="Times New Roman" w:eastAsia="楷体_GB2312" w:cs="楷体_GB2312"/>
      <w:kern w:val="2"/>
      <w:sz w:val="24"/>
      <w:szCs w:val="24"/>
      <w:lang w:val="en-US" w:eastAsia="zh-CN" w:bidi="ar-SA"/>
    </w:rPr>
  </w:style>
  <w:style w:type="paragraph" w:customStyle="1" w:styleId="51">
    <w:name w:val="正文1"/>
    <w:basedOn w:val="1"/>
    <w:qFormat/>
    <w:uiPriority w:val="0"/>
    <w:pPr>
      <w:spacing w:line="360" w:lineRule="auto"/>
      <w:ind w:firstLine="200" w:firstLineChars="200"/>
    </w:pPr>
    <w:rPr>
      <w:rFonts w:ascii="Times New Roman" w:hAnsi="Times New Roman" w:eastAsia="宋体"/>
      <w:sz w:val="24"/>
    </w:rPr>
  </w:style>
  <w:style w:type="paragraph" w:customStyle="1" w:styleId="52">
    <w:name w:val="表内"/>
    <w:basedOn w:val="1"/>
    <w:next w:val="12"/>
    <w:qFormat/>
    <w:uiPriority w:val="0"/>
    <w:pPr>
      <w:spacing w:line="0" w:lineRule="atLeast"/>
      <w:jc w:val="center"/>
      <w:textAlignment w:val="center"/>
    </w:pPr>
    <w:rPr>
      <w:sz w:val="18"/>
      <w:szCs w:val="21"/>
    </w:rPr>
  </w:style>
  <w:style w:type="paragraph" w:customStyle="1" w:styleId="53">
    <w:name w:val="Default"/>
    <w:qFormat/>
    <w:uiPriority w:val="99"/>
    <w:pPr>
      <w:widowControl w:val="0"/>
      <w:autoSpaceDE w:val="0"/>
      <w:autoSpaceDN w:val="0"/>
      <w:adjustRightInd w:val="0"/>
    </w:pPr>
    <w:rPr>
      <w:rFonts w:ascii="宋体_x0010_郥.ā" w:hAnsi="宋体_x0010_郥.ā" w:eastAsia="宋体_x0010_郥.ā" w:cs="Times New Roman"/>
      <w:color w:val="000000"/>
      <w:sz w:val="24"/>
      <w:szCs w:val="22"/>
      <w:lang w:val="en-US" w:eastAsia="zh-CN" w:bidi="ar-SA"/>
    </w:rPr>
  </w:style>
  <w:style w:type="paragraph" w:customStyle="1" w:styleId="54">
    <w:name w:val="u正文"/>
    <w:basedOn w:val="1"/>
    <w:qFormat/>
    <w:uiPriority w:val="0"/>
    <w:pPr>
      <w:spacing w:beforeLines="10" w:afterLines="10" w:line="312" w:lineRule="auto"/>
      <w:ind w:firstLine="200" w:firstLineChars="200"/>
    </w:pPr>
    <w:rPr>
      <w:rFonts w:cs="宋体"/>
      <w:sz w:val="24"/>
      <w:szCs w:val="20"/>
    </w:rPr>
  </w:style>
  <w:style w:type="paragraph" w:customStyle="1" w:styleId="55">
    <w:name w:val="标正"/>
    <w:basedOn w:val="1"/>
    <w:link w:val="60"/>
    <w:qFormat/>
    <w:uiPriority w:val="0"/>
    <w:pPr>
      <w:spacing w:line="480" w:lineRule="exact"/>
      <w:ind w:firstLine="560" w:firstLineChars="200"/>
    </w:pPr>
    <w:rPr>
      <w:rFonts w:ascii="仿宋_GB2312" w:hAnsi="Times New Roman" w:eastAsia="仿宋_GB2312" w:cs="Times New Roman"/>
      <w:kern w:val="0"/>
      <w:sz w:val="28"/>
      <w:szCs w:val="24"/>
    </w:rPr>
  </w:style>
  <w:style w:type="paragraph" w:customStyle="1" w:styleId="56">
    <w:name w:val="表内容"/>
    <w:basedOn w:val="1"/>
    <w:qFormat/>
    <w:uiPriority w:val="0"/>
    <w:pPr>
      <w:widowControl/>
      <w:jc w:val="center"/>
    </w:pPr>
    <w:rPr>
      <w:rFonts w:ascii="仿宋" w:hAnsi="仿宋" w:eastAsia="仿宋" w:cs="宋体"/>
      <w:kern w:val="0"/>
      <w:sz w:val="24"/>
      <w:szCs w:val="24"/>
    </w:rPr>
  </w:style>
  <w:style w:type="paragraph" w:customStyle="1" w:styleId="57">
    <w:name w:val="标表名"/>
    <w:basedOn w:val="1"/>
    <w:autoRedefine/>
    <w:qFormat/>
    <w:uiPriority w:val="0"/>
    <w:pPr>
      <w:wordWrap w:val="0"/>
      <w:spacing w:line="480" w:lineRule="exact"/>
      <w:jc w:val="center"/>
    </w:pPr>
    <w:rPr>
      <w:rFonts w:cs="Times New Roman" w:asciiTheme="minorEastAsia" w:hAnsiTheme="minorEastAsia"/>
      <w:bCs/>
      <w:sz w:val="28"/>
      <w:szCs w:val="28"/>
      <w:lang w:val="en-GB"/>
    </w:rPr>
  </w:style>
  <w:style w:type="paragraph" w:customStyle="1" w:styleId="58">
    <w:name w:val="说明书"/>
    <w:qFormat/>
    <w:uiPriority w:val="0"/>
    <w:pPr>
      <w:spacing w:line="480" w:lineRule="exact"/>
      <w:ind w:firstLine="200" w:firstLineChars="200"/>
      <w:jc w:val="both"/>
    </w:pPr>
    <w:rPr>
      <w:rFonts w:ascii="仿宋_GB2312" w:hAnsi="仿宋" w:eastAsia="仿宋_GB2312" w:cs="Times New Roman"/>
      <w:kern w:val="44"/>
      <w:sz w:val="28"/>
      <w:szCs w:val="44"/>
      <w:lang w:val="en-US" w:eastAsia="zh-CN" w:bidi="ar-SA"/>
    </w:rPr>
  </w:style>
  <w:style w:type="paragraph" w:customStyle="1" w:styleId="59">
    <w:name w:val="zw1"/>
    <w:basedOn w:val="1"/>
    <w:autoRedefine/>
    <w:qFormat/>
    <w:uiPriority w:val="0"/>
    <w:pPr>
      <w:spacing w:line="480" w:lineRule="exact"/>
      <w:ind w:firstLine="567"/>
      <w:textAlignment w:val="center"/>
    </w:pPr>
    <w:rPr>
      <w:rFonts w:ascii="仿宋_GB2312" w:hAnsi="Times New Roman" w:eastAsia="仿宋_GB2312" w:cs="Times New Roman"/>
      <w:kern w:val="0"/>
      <w:sz w:val="28"/>
      <w:szCs w:val="28"/>
      <w:lang w:val="zh-CN"/>
    </w:rPr>
  </w:style>
  <w:style w:type="character" w:customStyle="1" w:styleId="60">
    <w:name w:val="标正 Char"/>
    <w:basedOn w:val="26"/>
    <w:link w:val="55"/>
    <w:autoRedefine/>
    <w:qFormat/>
    <w:uiPriority w:val="0"/>
    <w:rPr>
      <w:rFonts w:ascii="仿宋_GB2312" w:hAnsi="Times New Roman" w:eastAsia="仿宋_GB2312" w:cs="Times New Roman"/>
      <w:kern w:val="0"/>
      <w:sz w:val="28"/>
      <w:szCs w:val="24"/>
    </w:rPr>
  </w:style>
  <w:style w:type="paragraph" w:customStyle="1" w:styleId="61">
    <w:name w:val="标3"/>
    <w:basedOn w:val="1"/>
    <w:autoRedefine/>
    <w:qFormat/>
    <w:uiPriority w:val="0"/>
    <w:pPr>
      <w:spacing w:line="360" w:lineRule="auto"/>
      <w:outlineLvl w:val="2"/>
    </w:pPr>
    <w:rPr>
      <w:rFonts w:ascii="宋体" w:hAnsi="宋体" w:eastAsia="宋体" w:cs="Times New Roman"/>
      <w:b/>
      <w:sz w:val="28"/>
      <w:szCs w:val="28"/>
    </w:rPr>
  </w:style>
  <w:style w:type="paragraph" w:customStyle="1" w:styleId="62">
    <w:name w:val="表头文字"/>
    <w:basedOn w:val="34"/>
    <w:autoRedefine/>
    <w:qFormat/>
    <w:uiPriority w:val="0"/>
    <w:rPr>
      <w:rFonts w:hAnsi="宋体"/>
      <w:b/>
      <w:bCs/>
      <w:szCs w:val="28"/>
    </w:rPr>
  </w:style>
  <w:style w:type="character" w:customStyle="1" w:styleId="63">
    <w:name w:val="15"/>
    <w:basedOn w:val="26"/>
    <w:autoRedefine/>
    <w:qFormat/>
    <w:uiPriority w:val="0"/>
    <w:rPr>
      <w:rFonts w:hint="default" w:ascii="仿宋_GB2312" w:hAnsi="Calibri" w:eastAsia="仿宋_GB2312" w:cs="Times New Roman"/>
      <w:sz w:val="28"/>
      <w:szCs w:val="28"/>
    </w:rPr>
  </w:style>
  <w:style w:type="paragraph" w:customStyle="1" w:styleId="64">
    <w:name w:val="样式1"/>
    <w:basedOn w:val="1"/>
    <w:autoRedefine/>
    <w:qFormat/>
    <w:uiPriority w:val="0"/>
    <w:pPr>
      <w:keepNext w:val="0"/>
      <w:keepLines w:val="0"/>
      <w:widowControl w:val="0"/>
      <w:suppressLineNumbers w:val="0"/>
      <w:spacing w:before="0" w:beforeAutospacing="0" w:after="0" w:afterAutospacing="0" w:line="500" w:lineRule="exact"/>
      <w:ind w:left="0" w:right="0" w:firstLine="200" w:firstLineChars="200"/>
      <w:jc w:val="both"/>
    </w:pPr>
    <w:rPr>
      <w:rFonts w:hint="default" w:ascii="Times New Roman" w:hAnsi="Times New Roman" w:eastAsia="仿宋_GB2312" w:cs="Times New Roman"/>
      <w:kern w:val="2"/>
      <w:sz w:val="26"/>
      <w:szCs w:val="26"/>
      <w:lang w:val="en-US" w:eastAsia="zh-CN" w:bidi="ar"/>
    </w:rPr>
  </w:style>
  <w:style w:type="paragraph" w:customStyle="1" w:styleId="65">
    <w:name w:val="标4"/>
    <w:basedOn w:val="1"/>
    <w:autoRedefine/>
    <w:qFormat/>
    <w:uiPriority w:val="0"/>
    <w:pPr>
      <w:spacing w:line="480" w:lineRule="exact"/>
      <w:ind w:firstLine="280" w:firstLineChars="100"/>
      <w:outlineLvl w:val="3"/>
    </w:pPr>
    <w:rPr>
      <w:rFonts w:ascii="仿宋_GB2312" w:hAnsi="Calibri" w:eastAsia="仿宋_GB2312" w:cs="Times New Roman"/>
      <w:sz w:val="28"/>
      <w:szCs w:val="28"/>
    </w:rPr>
  </w:style>
  <w:style w:type="paragraph" w:customStyle="1" w:styleId="66">
    <w:name w:val="正文宋4"/>
    <w:basedOn w:val="1"/>
    <w:autoRedefine/>
    <w:qFormat/>
    <w:uiPriority w:val="0"/>
    <w:pPr>
      <w:adjustRightInd/>
      <w:snapToGrid/>
      <w:ind w:firstLine="0" w:firstLineChars="0"/>
    </w:pPr>
    <w:rPr>
      <w:szCs w:val="24"/>
    </w:rPr>
  </w:style>
  <w:style w:type="paragraph" w:customStyle="1" w:styleId="67">
    <w:name w:val="图、表内容字体"/>
    <w:basedOn w:val="1"/>
    <w:autoRedefine/>
    <w:qFormat/>
    <w:uiPriority w:val="0"/>
    <w:pPr>
      <w:adjustRightInd/>
      <w:snapToGrid/>
      <w:ind w:firstLine="0" w:firstLineChars="0"/>
      <w:jc w:val="center"/>
    </w:pPr>
    <w:rPr>
      <w:sz w:val="21"/>
      <w:szCs w:val="21"/>
    </w:rPr>
  </w:style>
  <w:style w:type="paragraph" w:customStyle="1" w:styleId="68">
    <w:name w:val="正文黄铁矿"/>
    <w:autoRedefine/>
    <w:qFormat/>
    <w:uiPriority w:val="0"/>
    <w:pPr>
      <w:spacing w:line="360" w:lineRule="auto"/>
      <w:ind w:firstLine="480" w:firstLineChars="200"/>
    </w:pPr>
    <w:rPr>
      <w:rFonts w:ascii="Times New Roman" w:hAnsi="Times New Roman" w:eastAsia="宋体" w:cs="宋体"/>
      <w:color w:val="000000"/>
      <w:kern w:val="2"/>
      <w:sz w:val="24"/>
      <w:lang w:val="en-US" w:eastAsia="zh-CN" w:bidi="ar-SA"/>
    </w:rPr>
  </w:style>
  <w:style w:type="paragraph" w:customStyle="1" w:styleId="69">
    <w:name w:val="正文首行缩进2"/>
    <w:basedOn w:val="14"/>
    <w:next w:val="1"/>
    <w:autoRedefine/>
    <w:qFormat/>
    <w:uiPriority w:val="0"/>
    <w:pPr>
      <w:widowControl/>
      <w:spacing w:after="0" w:line="360" w:lineRule="auto"/>
      <w:ind w:left="0" w:leftChars="0"/>
      <w:jc w:val="center"/>
    </w:pPr>
    <w:rPr>
      <w:rFonts w:ascii="宋体" w:hAnsi="Times New Roman"/>
      <w:color w:val="000000"/>
      <w:kern w:val="0"/>
      <w:sz w:val="24"/>
      <w:szCs w:val="20"/>
    </w:rPr>
  </w:style>
  <w:style w:type="paragraph" w:customStyle="1" w:styleId="70">
    <w:name w:val="题注2"/>
    <w:autoRedefine/>
    <w:qFormat/>
    <w:uiPriority w:val="0"/>
    <w:pPr>
      <w:widowControl w:val="0"/>
      <w:adjustRightInd/>
      <w:snapToGrid w:val="0"/>
      <w:spacing w:before="152" w:after="50" w:afterLines="50" w:line="240" w:lineRule="atLeast"/>
      <w:ind w:firstLine="200" w:firstLineChars="200"/>
      <w:jc w:val="center"/>
    </w:pPr>
    <w:rPr>
      <w:rFonts w:ascii="Arial" w:hAnsi="Arial" w:eastAsia="楷体" w:cs="Arial"/>
      <w:snapToGrid w:val="0"/>
      <w:kern w:val="2"/>
      <w:sz w:val="24"/>
      <w:lang w:val="en-US" w:eastAsia="zh-CN" w:bidi="ar-SA"/>
    </w:rPr>
  </w:style>
  <w:style w:type="paragraph" w:customStyle="1" w:styleId="71">
    <w:name w:val="论文正文"/>
    <w:autoRedefine/>
    <w:qFormat/>
    <w:uiPriority w:val="0"/>
    <w:pPr>
      <w:widowControl w:val="0"/>
      <w:spacing w:line="560" w:lineRule="exact"/>
      <w:ind w:firstLine="200" w:firstLineChars="200"/>
      <w:jc w:val="both"/>
    </w:pPr>
    <w:rPr>
      <w:rFonts w:ascii="Times New Roman" w:hAnsi="Times New Roman" w:eastAsia="宋体" w:cs="Times New Roman"/>
      <w:kern w:val="2"/>
      <w:sz w:val="28"/>
      <w:szCs w:val="21"/>
      <w:lang w:val="en-US" w:eastAsia="zh-CN" w:bidi="ar-SA"/>
    </w:rPr>
  </w:style>
  <w:style w:type="table" w:customStyle="1" w:styleId="72">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9" Type="http://schemas.openxmlformats.org/officeDocument/2006/relationships/fontTable" Target="fontTable.xml"/><Relationship Id="rId28" Type="http://schemas.openxmlformats.org/officeDocument/2006/relationships/numbering" Target="numbering.xml"/><Relationship Id="rId27" Type="http://schemas.openxmlformats.org/officeDocument/2006/relationships/customXml" Target="../customXml/item1.xml"/><Relationship Id="rId26" Type="http://schemas.openxmlformats.org/officeDocument/2006/relationships/image" Target="media/image2.png"/><Relationship Id="rId25" Type="http://schemas.openxmlformats.org/officeDocument/2006/relationships/image" Target="media/image1.png"/><Relationship Id="rId24" Type="http://schemas.openxmlformats.org/officeDocument/2006/relationships/theme" Target="theme/theme1.xml"/><Relationship Id="rId23" Type="http://schemas.openxmlformats.org/officeDocument/2006/relationships/footer" Target="footer10.xml"/><Relationship Id="rId22" Type="http://schemas.openxmlformats.org/officeDocument/2006/relationships/header" Target="header9.xml"/><Relationship Id="rId21" Type="http://schemas.openxmlformats.org/officeDocument/2006/relationships/header" Target="header8.xml"/><Relationship Id="rId20" Type="http://schemas.openxmlformats.org/officeDocument/2006/relationships/footer" Target="footer9.xml"/><Relationship Id="rId2" Type="http://schemas.openxmlformats.org/officeDocument/2006/relationships/settings" Target="settings.xml"/><Relationship Id="rId19" Type="http://schemas.openxmlformats.org/officeDocument/2006/relationships/footer" Target="footer8.xml"/><Relationship Id="rId18" Type="http://schemas.openxmlformats.org/officeDocument/2006/relationships/header" Target="header7.xml"/><Relationship Id="rId17" Type="http://schemas.openxmlformats.org/officeDocument/2006/relationships/header" Target="header6.xml"/><Relationship Id="rId16" Type="http://schemas.openxmlformats.org/officeDocument/2006/relationships/footer" Target="footer7.xml"/><Relationship Id="rId15" Type="http://schemas.openxmlformats.org/officeDocument/2006/relationships/footer" Target="footer6.xml"/><Relationship Id="rId14" Type="http://schemas.openxmlformats.org/officeDocument/2006/relationships/header" Target="header5.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107</Pages>
  <Words>7785</Words>
  <Characters>9925</Characters>
  <Lines>1</Lines>
  <Paragraphs>1</Paragraphs>
  <TotalTime>8</TotalTime>
  <ScaleCrop>false</ScaleCrop>
  <LinksUpToDate>false</LinksUpToDate>
  <CharactersWithSpaces>10053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2016-07-26T07:03:00Z</dcterms:created>
  <dc:creator>Administrator</dc:creator>
  <cp:lastModifiedBy>赣安中心管自强</cp:lastModifiedBy>
  <cp:lastPrinted>2021-05-14T00:52:00Z</cp:lastPrinted>
  <dcterms:modified xsi:type="dcterms:W3CDTF">2025-11-13T02:24:23Z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41D8BB44B3374C81915134BC424AC81F_13</vt:lpwstr>
  </property>
  <property fmtid="{D5CDD505-2E9C-101B-9397-08002B2CF9AE}" pid="4" name="KSOTemplateDocerSaveRecord">
    <vt:lpwstr>eyJoZGlkIjoiN2YzNjBkOTgyNWQ1YTMxYzM3MzMwNWFiODNmOWIzYWMiLCJ1c2VySWQiOiIzODM0NTE4OTIifQ==</vt:lpwstr>
  </property>
</Properties>
</file>